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00" w:val="left"/>
        </w:tabs>
        <w:rPr>
          <w:sz w:val="20"/>
          <w:szCs w:val="20"/>
          <w:color w:val="auto"/>
        </w:rPr>
      </w:pPr>
      <w:r>
        <w:rPr>
          <w:rFonts w:ascii="Arial" w:cs="Arial" w:eastAsia="Arial" w:hAnsi="Arial"/>
          <w:sz w:val="15"/>
          <w:szCs w:val="15"/>
          <w:color w:val="595959"/>
        </w:rPr>
        <w:t xml:space="preserve">June </w:t>
      </w:r>
      <w:r>
        <w:rPr>
          <w:rFonts w:ascii="Arial" w:cs="Arial" w:eastAsia="Arial" w:hAnsi="Arial"/>
          <w:sz w:val="15"/>
          <w:szCs w:val="15"/>
          <w:color w:val="000000"/>
        </w:rPr>
        <w:t>20,</w:t>
      </w:r>
      <w:r>
        <w:rPr>
          <w:rFonts w:ascii="Arial" w:cs="Arial" w:eastAsia="Arial" w:hAnsi="Arial"/>
          <w:sz w:val="15"/>
          <w:szCs w:val="15"/>
          <w:color w:val="595959"/>
        </w:rPr>
        <w:t xml:space="preserve"> 2025</w:t>
      </w:r>
      <w:r>
        <w:rPr>
          <w:sz w:val="20"/>
          <w:szCs w:val="20"/>
          <w:color w:val="auto"/>
        </w:rPr>
        <w:tab/>
      </w:r>
      <w:r>
        <w:rPr>
          <w:rFonts w:ascii="Arial" w:cs="Arial" w:eastAsia="Arial" w:hAnsi="Arial"/>
          <w:sz w:val="14"/>
          <w:szCs w:val="14"/>
          <w:color w:val="auto"/>
        </w:rPr>
        <w:t>Registration Statement Nos. 333-270004 and 333-270004-01;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-554355</wp:posOffset>
            </wp:positionH>
            <wp:positionV relativeFrom="paragraph">
              <wp:posOffset>362585</wp:posOffset>
            </wp:positionV>
            <wp:extent cx="7197090" cy="6462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6462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780"/>
        <w:spacing w:after="0" w:line="276" w:lineRule="auto"/>
        <w:rPr>
          <w:sz w:val="20"/>
          <w:szCs w:val="20"/>
          <w:color w:val="auto"/>
        </w:rPr>
      </w:pPr>
      <w:r>
        <w:rPr>
          <w:rFonts w:ascii="Arial" w:cs="Arial" w:eastAsia="Arial" w:hAnsi="Arial"/>
          <w:sz w:val="26"/>
          <w:szCs w:val="26"/>
          <w:color w:val="404040"/>
        </w:rPr>
        <w:t>JPMorgan Chase Financial Company LLC Structured Investments</w:t>
      </w:r>
    </w:p>
    <w:p>
      <w:pPr>
        <w:spacing w:after="0" w:line="1" w:lineRule="exact"/>
        <w:rPr>
          <w:sz w:val="24"/>
          <w:szCs w:val="24"/>
          <w:color w:val="auto"/>
        </w:rPr>
      </w:pPr>
    </w:p>
    <w:p>
      <w:pPr>
        <w:spacing w:after="0"/>
        <w:rPr>
          <w:sz w:val="20"/>
          <w:szCs w:val="20"/>
          <w:color w:val="auto"/>
        </w:rPr>
      </w:pPr>
      <w:r>
        <w:rPr>
          <w:rFonts w:ascii="Arial" w:cs="Arial" w:eastAsia="Arial" w:hAnsi="Arial"/>
          <w:sz w:val="35"/>
          <w:szCs w:val="35"/>
          <w:color w:val="54301A"/>
        </w:rPr>
        <w:t>$2,000,000</w:t>
      </w:r>
    </w:p>
    <w:p>
      <w:pPr>
        <w:spacing w:after="0" w:line="103" w:lineRule="exact"/>
        <w:rPr>
          <w:sz w:val="24"/>
          <w:szCs w:val="24"/>
          <w:color w:val="auto"/>
        </w:rPr>
      </w:pPr>
    </w:p>
    <w:p>
      <w:pPr>
        <w:ind w:right="220"/>
        <w:spacing w:after="0" w:line="228" w:lineRule="auto"/>
        <w:rPr>
          <w:sz w:val="20"/>
          <w:szCs w:val="20"/>
          <w:color w:val="auto"/>
        </w:rPr>
      </w:pPr>
      <w:r>
        <w:rPr>
          <w:rFonts w:ascii="Arial" w:cs="Arial" w:eastAsia="Arial" w:hAnsi="Arial"/>
          <w:sz w:val="35"/>
          <w:szCs w:val="35"/>
          <w:color w:val="54301A"/>
        </w:rPr>
        <w:t>Bearish Knock-Out Notes Linked to the S&amp;P 500</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Index due December 21, 2026</w:t>
      </w:r>
    </w:p>
    <w:p>
      <w:pPr>
        <w:spacing w:after="0" w:line="65" w:lineRule="exact"/>
        <w:rPr>
          <w:sz w:val="24"/>
          <w:szCs w:val="24"/>
          <w:color w:val="auto"/>
        </w:rPr>
      </w:pPr>
    </w:p>
    <w:p>
      <w:pPr>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125" w:lineRule="exact"/>
        <w:rPr>
          <w:sz w:val="24"/>
          <w:szCs w:val="24"/>
          <w:color w:val="auto"/>
        </w:rPr>
      </w:pPr>
    </w:p>
    <w:p>
      <w:pPr>
        <w:ind w:left="660" w:right="60" w:hanging="333"/>
        <w:spacing w:after="0" w:line="249" w:lineRule="auto"/>
        <w:tabs>
          <w:tab w:leader="none" w:pos="684" w:val="left"/>
        </w:tabs>
        <w:numPr>
          <w:ilvl w:val="0"/>
          <w:numId w:val="1"/>
        </w:numPr>
        <w:rPr>
          <w:rFonts w:ascii="Verdana" w:cs="Verdana" w:eastAsia="Verdana" w:hAnsi="Verdana"/>
          <w:sz w:val="16"/>
          <w:szCs w:val="16"/>
          <w:color w:val="262626"/>
        </w:rPr>
      </w:pPr>
      <w:r>
        <w:rPr>
          <w:rFonts w:ascii="Arial" w:cs="Arial" w:eastAsia="Arial" w:hAnsi="Arial"/>
          <w:sz w:val="16"/>
          <w:szCs w:val="16"/>
          <w:b w:val="1"/>
          <w:bCs w:val="1"/>
          <w:color w:val="262626"/>
        </w:rPr>
        <w:t>The notes provide limited bearish exposure to the S&amp;P 500</w:t>
      </w:r>
      <w:r>
        <w:rPr>
          <w:rFonts w:ascii="Arial" w:cs="Arial" w:eastAsia="Arial" w:hAnsi="Arial"/>
          <w:sz w:val="21"/>
          <w:szCs w:val="21"/>
          <w:b w:val="1"/>
          <w:bCs w:val="1"/>
          <w:color w:val="262626"/>
          <w:vertAlign w:val="superscript"/>
        </w:rPr>
        <w:t>®</w:t>
      </w:r>
      <w:r>
        <w:rPr>
          <w:rFonts w:ascii="Arial" w:cs="Arial" w:eastAsia="Arial" w:hAnsi="Arial"/>
          <w:sz w:val="16"/>
          <w:szCs w:val="16"/>
          <w:b w:val="1"/>
          <w:bCs w:val="1"/>
          <w:color w:val="262626"/>
        </w:rPr>
        <w:t xml:space="preserve"> Index, which we refer to as the Index. </w:t>
      </w:r>
      <w:r>
        <w:rPr>
          <w:rFonts w:ascii="Arial" w:cs="Arial" w:eastAsia="Arial" w:hAnsi="Arial"/>
          <w:sz w:val="16"/>
          <w:szCs w:val="16"/>
          <w:color w:val="262626"/>
        </w:rPr>
        <w:t>The notes are</w:t>
      </w:r>
      <w:r>
        <w:rPr>
          <w:rFonts w:ascii="Arial" w:cs="Arial" w:eastAsia="Arial" w:hAnsi="Arial"/>
          <w:sz w:val="16"/>
          <w:szCs w:val="16"/>
          <w:b w:val="1"/>
          <w:bCs w:val="1"/>
          <w:color w:val="262626"/>
        </w:rPr>
        <w:t xml:space="preserve"> </w:t>
      </w:r>
      <w:r>
        <w:rPr>
          <w:rFonts w:ascii="Arial" w:cs="Arial" w:eastAsia="Arial" w:hAnsi="Arial"/>
          <w:sz w:val="16"/>
          <w:szCs w:val="16"/>
          <w:color w:val="262626"/>
        </w:rPr>
        <w:t>designed for investors who seek a capped, unleveraged positive return based on any depreciation (up to the Knock-Out</w:t>
      </w:r>
    </w:p>
    <w:p>
      <w:pPr>
        <w:spacing w:after="0" w:line="8" w:lineRule="exact"/>
        <w:rPr>
          <w:rFonts w:ascii="Verdana" w:cs="Verdana" w:eastAsia="Verdana" w:hAnsi="Verdana"/>
          <w:sz w:val="16"/>
          <w:szCs w:val="16"/>
          <w:color w:val="262626"/>
        </w:rPr>
      </w:pPr>
    </w:p>
    <w:p>
      <w:pPr>
        <w:jc w:val="both"/>
        <w:ind w:left="660" w:right="80"/>
        <w:spacing w:after="0" w:line="292" w:lineRule="auto"/>
        <w:rPr>
          <w:rFonts w:ascii="Verdana" w:cs="Verdana" w:eastAsia="Verdana" w:hAnsi="Verdana"/>
          <w:sz w:val="16"/>
          <w:szCs w:val="16"/>
          <w:color w:val="262626"/>
        </w:rPr>
      </w:pPr>
      <w:r>
        <w:rPr>
          <w:rFonts w:ascii="Arial" w:cs="Arial" w:eastAsia="Arial" w:hAnsi="Arial"/>
          <w:sz w:val="17"/>
          <w:szCs w:val="17"/>
          <w:color w:val="262626"/>
        </w:rPr>
        <w:t>Percentage of 67.00%) of the Index at maturity if a Knock-Out Event has not occurred. A Knock-Out Event occurs if, on any day during the Monitoring Period, the closing level of the Index is less than the Strike Value by more than the Knock-Out Percentage.</w:t>
      </w:r>
    </w:p>
    <w:p>
      <w:pPr>
        <w:spacing w:after="0" w:line="1" w:lineRule="exact"/>
        <w:rPr>
          <w:rFonts w:ascii="Verdana" w:cs="Verdana" w:eastAsia="Verdana" w:hAnsi="Verdana"/>
          <w:sz w:val="16"/>
          <w:szCs w:val="16"/>
          <w:color w:val="262626"/>
        </w:rPr>
      </w:pPr>
    </w:p>
    <w:p>
      <w:pPr>
        <w:ind w:left="660" w:right="220" w:hanging="333"/>
        <w:spacing w:after="0" w:line="244" w:lineRule="auto"/>
        <w:tabs>
          <w:tab w:leader="none" w:pos="68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If a Knock-Out Event has not occurred and the Index appreciates or is flat over the term of the notes, or if a Knock-Out Event has occurred, investors will receive only the principal amount of their notes at maturity.</w:t>
      </w:r>
    </w:p>
    <w:p>
      <w:pPr>
        <w:spacing w:after="0" w:line="27"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6"/>
          <w:szCs w:val="16"/>
          <w:color w:val="262626"/>
        </w:rPr>
      </w:pPr>
      <w:r>
        <w:rPr>
          <w:rFonts w:ascii="Arial" w:cs="Arial" w:eastAsia="Arial" w:hAnsi="Arial"/>
          <w:sz w:val="16"/>
          <w:szCs w:val="16"/>
          <w:color w:val="262626"/>
        </w:rPr>
        <w:t>Investors should be willing to forgo interest and dividend payments, while seeking full repayment of principal at maturity.</w:t>
      </w:r>
    </w:p>
    <w:p>
      <w:pPr>
        <w:spacing w:after="0" w:line="83" w:lineRule="exact"/>
        <w:rPr>
          <w:rFonts w:ascii="Verdana" w:cs="Verdana" w:eastAsia="Verdana" w:hAnsi="Verdana"/>
          <w:sz w:val="16"/>
          <w:szCs w:val="16"/>
          <w:color w:val="262626"/>
        </w:rPr>
      </w:pPr>
    </w:p>
    <w:p>
      <w:pPr>
        <w:ind w:left="660" w:hanging="333"/>
        <w:spacing w:after="0" w:line="268" w:lineRule="auto"/>
        <w:tabs>
          <w:tab w:leader="none" w:pos="68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27"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Minimum denominations of $1,000 and integral multiples thereof</w:t>
      </w:r>
    </w:p>
    <w:p>
      <w:pPr>
        <w:spacing w:after="0" w:line="70"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6"/>
          <w:szCs w:val="16"/>
          <w:color w:val="262626"/>
        </w:rPr>
      </w:pPr>
      <w:r>
        <w:rPr>
          <w:rFonts w:ascii="Arial" w:cs="Arial" w:eastAsia="Arial" w:hAnsi="Arial"/>
          <w:sz w:val="16"/>
          <w:szCs w:val="16"/>
          <w:color w:val="262626"/>
        </w:rPr>
        <w:t xml:space="preserve">The notes priced on June 20, 2025 (the “Pricing Date”) and are expected to settle on or about June 25, 2025. </w:t>
      </w:r>
      <w:r>
        <w:rPr>
          <w:rFonts w:ascii="Arial" w:cs="Arial" w:eastAsia="Arial" w:hAnsi="Arial"/>
          <w:sz w:val="16"/>
          <w:szCs w:val="16"/>
          <w:b w:val="1"/>
          <w:bCs w:val="1"/>
          <w:color w:val="262626"/>
        </w:rPr>
        <w:t>The Strike</w:t>
      </w:r>
    </w:p>
    <w:p>
      <w:pPr>
        <w:spacing w:after="0" w:line="32" w:lineRule="exact"/>
        <w:rPr>
          <w:rFonts w:ascii="Verdana" w:cs="Verdana" w:eastAsia="Verdana" w:hAnsi="Verdana"/>
          <w:sz w:val="16"/>
          <w:szCs w:val="16"/>
          <w:color w:val="262626"/>
        </w:rPr>
      </w:pPr>
    </w:p>
    <w:p>
      <w:pPr>
        <w:ind w:left="660" w:right="160"/>
        <w:spacing w:after="0" w:line="281" w:lineRule="auto"/>
        <w:rPr>
          <w:rFonts w:ascii="Verdana" w:cs="Verdana" w:eastAsia="Verdana" w:hAnsi="Verdana"/>
          <w:sz w:val="16"/>
          <w:szCs w:val="16"/>
          <w:color w:val="262626"/>
        </w:rPr>
      </w:pPr>
      <w:r>
        <w:rPr>
          <w:rFonts w:ascii="Arial" w:cs="Arial" w:eastAsia="Arial" w:hAnsi="Arial"/>
          <w:sz w:val="17"/>
          <w:szCs w:val="17"/>
          <w:b w:val="1"/>
          <w:bCs w:val="1"/>
          <w:color w:val="262626"/>
        </w:rPr>
        <w:t xml:space="preserve">Value has been determined by reference to the closing level of the Index on June 16, 2025 and </w:t>
      </w:r>
      <w:r>
        <w:rPr>
          <w:rFonts w:ascii="Arial" w:cs="Arial" w:eastAsia="Arial" w:hAnsi="Arial"/>
          <w:sz w:val="17"/>
          <w:szCs w:val="17"/>
          <w:b w:val="1"/>
          <w:bCs w:val="1"/>
          <w:i w:val="1"/>
          <w:iCs w:val="1"/>
          <w:color w:val="262626"/>
        </w:rPr>
        <w:t>not</w:t>
      </w:r>
      <w:r>
        <w:rPr>
          <w:rFonts w:ascii="Arial" w:cs="Arial" w:eastAsia="Arial" w:hAnsi="Arial"/>
          <w:sz w:val="17"/>
          <w:szCs w:val="17"/>
          <w:b w:val="1"/>
          <w:bCs w:val="1"/>
          <w:color w:val="262626"/>
        </w:rPr>
        <w:t xml:space="preserve"> by reference to the closing level of the Index on the Pricing Date</w:t>
      </w:r>
      <w:r>
        <w:rPr>
          <w:rFonts w:ascii="Arial" w:cs="Arial" w:eastAsia="Arial" w:hAnsi="Arial"/>
          <w:sz w:val="17"/>
          <w:szCs w:val="17"/>
          <w:color w:val="262626"/>
        </w:rPr>
        <w:t>.</w:t>
      </w:r>
    </w:p>
    <w:p>
      <w:pPr>
        <w:spacing w:after="0" w:line="2" w:lineRule="exact"/>
        <w:rPr>
          <w:rFonts w:ascii="Verdana" w:cs="Verdana" w:eastAsia="Verdana" w:hAnsi="Verdana"/>
          <w:sz w:val="16"/>
          <w:szCs w:val="16"/>
          <w:color w:val="262626"/>
        </w:rPr>
      </w:pPr>
    </w:p>
    <w:p>
      <w:pPr>
        <w:ind w:left="680" w:hanging="353"/>
        <w:spacing w:after="0"/>
        <w:tabs>
          <w:tab w:leader="none" w:pos="68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CUSIP: 48136EU29</w:t>
      </w:r>
    </w:p>
    <w:p>
      <w:pPr>
        <w:spacing w:after="0" w:line="296" w:lineRule="exact"/>
        <w:rPr>
          <w:sz w:val="24"/>
          <w:szCs w:val="24"/>
          <w:color w:val="auto"/>
        </w:rPr>
      </w:pPr>
    </w:p>
    <w:p>
      <w:pPr>
        <w:ind w:right="120"/>
        <w:spacing w:after="0" w:line="252"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Annex A to the accompanying prospectus addendum, “Risk Factors” beginning on page PS-12 of the accompanying product supplement and “Selected Risk Considerations” beginning on page PS-3 of this pricing supplement.</w:t>
      </w:r>
    </w:p>
    <w:p>
      <w:pPr>
        <w:spacing w:after="0" w:line="13" w:lineRule="exact"/>
        <w:rPr>
          <w:sz w:val="24"/>
          <w:szCs w:val="24"/>
          <w:color w:val="auto"/>
        </w:rPr>
      </w:pPr>
    </w:p>
    <w:p>
      <w:pPr>
        <w:jc w:val="both"/>
        <w:ind w:right="160"/>
        <w:spacing w:after="0" w:line="243" w:lineRule="auto"/>
        <w:rPr>
          <w:sz w:val="20"/>
          <w:szCs w:val="20"/>
          <w:color w:val="auto"/>
        </w:rPr>
      </w:pPr>
      <w:r>
        <w:rPr>
          <w:rFonts w:ascii="Arial" w:cs="Arial" w:eastAsia="Arial" w:hAnsi="Arial"/>
          <w:sz w:val="17"/>
          <w:szCs w:val="17"/>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prospectus and prospectus addendum. Any representation to the contrary is a criminal offense.</w:t>
      </w:r>
    </w:p>
    <w:p>
      <w:pPr>
        <w:spacing w:after="0" w:line="108" w:lineRule="exact"/>
        <w:rPr>
          <w:sz w:val="24"/>
          <w:szCs w:val="24"/>
          <w:color w:val="auto"/>
        </w:rPr>
      </w:pPr>
    </w:p>
    <w:tbl>
      <w:tblPr>
        <w:tblLayout w:type="fixed"/>
        <w:tblInd w:w="42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7"/>
                <w:szCs w:val="17"/>
                <w:color w:val="auto"/>
              </w:rPr>
              <w:t>Price to Public (1)</w:t>
            </w:r>
          </w:p>
        </w:tc>
        <w:tc>
          <w:tcPr>
            <w:tcW w:w="3020" w:type="dxa"/>
            <w:vAlign w:val="bottom"/>
          </w:tcPr>
          <w:p>
            <w:pPr>
              <w:ind w:left="660"/>
              <w:spacing w:after="0"/>
              <w:rPr>
                <w:sz w:val="20"/>
                <w:szCs w:val="20"/>
                <w:color w:val="auto"/>
              </w:rPr>
            </w:pPr>
            <w:r>
              <w:rPr>
                <w:rFonts w:ascii="Arial" w:cs="Arial" w:eastAsia="Arial" w:hAnsi="Arial"/>
                <w:sz w:val="17"/>
                <w:szCs w:val="17"/>
                <w:color w:val="auto"/>
              </w:rPr>
              <w:t>Fees and Commissions (2)</w:t>
            </w:r>
          </w:p>
        </w:tc>
        <w:tc>
          <w:tcPr>
            <w:tcW w:w="1760" w:type="dxa"/>
            <w:vAlign w:val="bottom"/>
          </w:tcPr>
          <w:p>
            <w:pPr>
              <w:ind w:left="360"/>
              <w:spacing w:after="0"/>
              <w:rPr>
                <w:sz w:val="20"/>
                <w:szCs w:val="20"/>
                <w:color w:val="auto"/>
              </w:rPr>
            </w:pPr>
            <w:r>
              <w:rPr>
                <w:rFonts w:ascii="Arial" w:cs="Arial" w:eastAsia="Arial" w:hAnsi="Arial"/>
                <w:sz w:val="17"/>
                <w:szCs w:val="17"/>
                <w:color w:val="auto"/>
                <w:w w:val="97"/>
              </w:rPr>
              <w:t>Proceeds to Issuer</w:t>
            </w:r>
          </w:p>
        </w:tc>
      </w:tr>
      <w:tr>
        <w:trPr>
          <w:trHeight w:val="304"/>
        </w:trPr>
        <w:tc>
          <w:tcPr>
            <w:tcW w:w="1060" w:type="dxa"/>
            <w:vAlign w:val="bottom"/>
          </w:tcPr>
          <w:p>
            <w:pPr>
              <w:spacing w:after="0"/>
              <w:rPr>
                <w:sz w:val="20"/>
                <w:szCs w:val="20"/>
                <w:color w:val="auto"/>
              </w:rPr>
            </w:pPr>
            <w:r>
              <w:rPr>
                <w:rFonts w:ascii="Arial" w:cs="Arial" w:eastAsia="Arial" w:hAnsi="Arial"/>
                <w:sz w:val="17"/>
                <w:szCs w:val="17"/>
                <w:color w:val="404040"/>
              </w:rPr>
              <w:t>Per note</w:t>
            </w:r>
          </w:p>
        </w:tc>
        <w:tc>
          <w:tcPr>
            <w:tcW w:w="2420" w:type="dxa"/>
            <w:vAlign w:val="bottom"/>
          </w:tcPr>
          <w:p>
            <w:pPr>
              <w:ind w:left="440"/>
              <w:spacing w:after="0"/>
              <w:rPr>
                <w:sz w:val="20"/>
                <w:szCs w:val="20"/>
                <w:color w:val="auto"/>
              </w:rPr>
            </w:pPr>
            <w:r>
              <w:rPr>
                <w:rFonts w:ascii="Arial" w:cs="Arial" w:eastAsia="Arial" w:hAnsi="Arial"/>
                <w:sz w:val="17"/>
                <w:szCs w:val="17"/>
                <w:color w:val="404040"/>
              </w:rPr>
              <w:t>$1,000</w:t>
            </w:r>
          </w:p>
        </w:tc>
        <w:tc>
          <w:tcPr>
            <w:tcW w:w="3020" w:type="dxa"/>
            <w:vAlign w:val="bottom"/>
          </w:tcPr>
          <w:p>
            <w:pPr>
              <w:ind w:left="660"/>
              <w:spacing w:after="0"/>
              <w:rPr>
                <w:sz w:val="20"/>
                <w:szCs w:val="20"/>
                <w:color w:val="auto"/>
              </w:rPr>
            </w:pPr>
            <w:r>
              <w:rPr>
                <w:rFonts w:ascii="Arial" w:cs="Arial" w:eastAsia="Arial" w:hAnsi="Arial"/>
                <w:sz w:val="17"/>
                <w:szCs w:val="17"/>
                <w:color w:val="404040"/>
              </w:rPr>
              <w:t>$7.25</w:t>
            </w:r>
          </w:p>
        </w:tc>
        <w:tc>
          <w:tcPr>
            <w:tcW w:w="1760" w:type="dxa"/>
            <w:vAlign w:val="bottom"/>
          </w:tcPr>
          <w:p>
            <w:pPr>
              <w:ind w:left="360"/>
              <w:spacing w:after="0"/>
              <w:rPr>
                <w:sz w:val="20"/>
                <w:szCs w:val="20"/>
                <w:color w:val="auto"/>
              </w:rPr>
            </w:pPr>
            <w:r>
              <w:rPr>
                <w:rFonts w:ascii="Arial" w:cs="Arial" w:eastAsia="Arial" w:hAnsi="Arial"/>
                <w:sz w:val="17"/>
                <w:szCs w:val="17"/>
                <w:color w:val="404040"/>
              </w:rPr>
              <w:t>$992.75</w:t>
            </w:r>
          </w:p>
        </w:tc>
      </w:tr>
      <w:tr>
        <w:trPr>
          <w:trHeight w:val="331"/>
        </w:trPr>
        <w:tc>
          <w:tcPr>
            <w:tcW w:w="1060" w:type="dxa"/>
            <w:vAlign w:val="bottom"/>
          </w:tcPr>
          <w:p>
            <w:pPr>
              <w:spacing w:after="0"/>
              <w:rPr>
                <w:sz w:val="20"/>
                <w:szCs w:val="20"/>
                <w:color w:val="auto"/>
              </w:rPr>
            </w:pPr>
            <w:r>
              <w:rPr>
                <w:rFonts w:ascii="Arial" w:cs="Arial" w:eastAsia="Arial" w:hAnsi="Arial"/>
                <w:sz w:val="17"/>
                <w:szCs w:val="17"/>
                <w:color w:val="404040"/>
              </w:rPr>
              <w:t>Total</w:t>
            </w:r>
          </w:p>
        </w:tc>
        <w:tc>
          <w:tcPr>
            <w:tcW w:w="2420" w:type="dxa"/>
            <w:vAlign w:val="bottom"/>
          </w:tcPr>
          <w:p>
            <w:pPr>
              <w:ind w:left="440"/>
              <w:spacing w:after="0"/>
              <w:rPr>
                <w:sz w:val="20"/>
                <w:szCs w:val="20"/>
                <w:color w:val="auto"/>
              </w:rPr>
            </w:pPr>
            <w:r>
              <w:rPr>
                <w:rFonts w:ascii="Arial" w:cs="Arial" w:eastAsia="Arial" w:hAnsi="Arial"/>
                <w:sz w:val="17"/>
                <w:szCs w:val="17"/>
                <w:color w:val="404040"/>
              </w:rPr>
              <w:t>$2,000,000</w:t>
            </w:r>
          </w:p>
        </w:tc>
        <w:tc>
          <w:tcPr>
            <w:tcW w:w="3020" w:type="dxa"/>
            <w:vAlign w:val="bottom"/>
          </w:tcPr>
          <w:p>
            <w:pPr>
              <w:ind w:left="660"/>
              <w:spacing w:after="0"/>
              <w:rPr>
                <w:sz w:val="20"/>
                <w:szCs w:val="20"/>
                <w:color w:val="auto"/>
              </w:rPr>
            </w:pPr>
            <w:r>
              <w:rPr>
                <w:rFonts w:ascii="Arial" w:cs="Arial" w:eastAsia="Arial" w:hAnsi="Arial"/>
                <w:sz w:val="17"/>
                <w:szCs w:val="17"/>
                <w:color w:val="404040"/>
              </w:rPr>
              <w:t>$14,500</w:t>
            </w:r>
          </w:p>
        </w:tc>
        <w:tc>
          <w:tcPr>
            <w:tcW w:w="1760" w:type="dxa"/>
            <w:vAlign w:val="bottom"/>
          </w:tcPr>
          <w:p>
            <w:pPr>
              <w:ind w:left="360"/>
              <w:spacing w:after="0"/>
              <w:rPr>
                <w:sz w:val="20"/>
                <w:szCs w:val="20"/>
                <w:color w:val="auto"/>
              </w:rPr>
            </w:pPr>
            <w:r>
              <w:rPr>
                <w:rFonts w:ascii="Arial" w:cs="Arial" w:eastAsia="Arial" w:hAnsi="Arial"/>
                <w:sz w:val="17"/>
                <w:szCs w:val="17"/>
                <w:color w:val="404040"/>
              </w:rPr>
              <w:t>$1,985,500</w:t>
            </w:r>
          </w:p>
        </w:tc>
      </w:tr>
    </w:tbl>
    <w:p>
      <w:pPr>
        <w:spacing w:after="0" w:line="116" w:lineRule="exact"/>
        <w:rPr>
          <w:sz w:val="24"/>
          <w:szCs w:val="24"/>
          <w:color w:val="auto"/>
        </w:rPr>
      </w:pPr>
    </w:p>
    <w:p>
      <w:pPr>
        <w:ind w:left="380" w:right="600" w:hanging="10"/>
        <w:spacing w:after="0" w:line="230" w:lineRule="auto"/>
        <w:tabs>
          <w:tab w:leader="none" w:pos="59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See “Supplemental Use of Proceeds” in this pricing supplement for information about the components of the price to public of the notes.</w:t>
      </w:r>
    </w:p>
    <w:p>
      <w:pPr>
        <w:spacing w:after="0" w:line="1" w:lineRule="exact"/>
        <w:rPr>
          <w:rFonts w:ascii="Arial" w:cs="Arial" w:eastAsia="Arial" w:hAnsi="Arial"/>
          <w:sz w:val="15"/>
          <w:szCs w:val="15"/>
          <w:color w:val="404040"/>
        </w:rPr>
      </w:pPr>
    </w:p>
    <w:p>
      <w:pPr>
        <w:ind w:left="380" w:right="840" w:hanging="10"/>
        <w:spacing w:after="0" w:line="224" w:lineRule="auto"/>
        <w:tabs>
          <w:tab w:leader="none" w:pos="59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of $7.25 per $1,000 principal amount note it receives from us to other affiliated or unaffiliated dealers. See “Plan of Distribution (Conflicts of Interest)” in the accompanying product supplement.</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estimated value of the notes, when the terms of the notes were set, was $989.10 per $1,000 principal amount note.</w:t>
      </w:r>
    </w:p>
    <w:p>
      <w:pPr>
        <w:spacing w:after="0"/>
        <w:rPr>
          <w:sz w:val="20"/>
          <w:szCs w:val="20"/>
          <w:color w:val="auto"/>
        </w:rPr>
      </w:pPr>
      <w:r>
        <w:rPr>
          <w:rFonts w:ascii="Arial" w:cs="Arial" w:eastAsia="Arial" w:hAnsi="Arial"/>
          <w:sz w:val="17"/>
          <w:szCs w:val="17"/>
          <w:b w:val="1"/>
          <w:bCs w:val="1"/>
          <w:color w:val="auto"/>
        </w:rPr>
        <w:t>See “The Estimated Value of the Notes” in this pricing supplement for additional information.</w:t>
      </w:r>
    </w:p>
    <w:p>
      <w:pPr>
        <w:spacing w:after="0" w:line="29" w:lineRule="exact"/>
        <w:rPr>
          <w:sz w:val="24"/>
          <w:szCs w:val="24"/>
          <w:color w:val="auto"/>
        </w:rPr>
      </w:pPr>
    </w:p>
    <w:p>
      <w:pPr>
        <w:ind w:right="40"/>
        <w:spacing w:after="0"/>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600"/>
          </w:cols>
          <w:pgMar w:left="1200" w:top="548" w:right="10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right="300"/>
        <w:spacing w:after="0" w:line="250" w:lineRule="auto"/>
        <w:rPr>
          <w:sz w:val="20"/>
          <w:szCs w:val="20"/>
          <w:color w:val="auto"/>
        </w:rPr>
      </w:pPr>
      <w:r>
        <w:rPr>
          <w:rFonts w:ascii="Arial" w:cs="Arial" w:eastAsia="Arial" w:hAnsi="Arial"/>
          <w:sz w:val="15"/>
          <w:szCs w:val="15"/>
          <w:color w:val="6D6E71"/>
        </w:rPr>
        <w:t>Pricing supplement to product supplement no. 3-I dated April 13, 2023, underlying supplement no. 1-I dated April 13, 2023, the prospectus and prospectus supplement, each dated April 13, 2023, and the prospectus addendum dated June 3, 2024</w:t>
      </w:r>
    </w:p>
    <w:p>
      <w:pPr>
        <w:sectPr>
          <w:pgSz w:w="11900" w:h="16838" w:orient="portrait"/>
          <w:cols w:equalWidth="0" w:num="1">
            <w:col w:w="9600"/>
          </w:cols>
          <w:pgMar w:left="1200" w:top="548" w:right="1099"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9"/>
          <w:szCs w:val="19"/>
          <w:b w:val="1"/>
          <w:bCs w:val="1"/>
          <w:color w:val="4E8ABE"/>
        </w:rPr>
        <w:t>Key Terms</w:t>
      </w:r>
    </w:p>
    <w:p>
      <w:pPr>
        <w:spacing w:after="0" w:line="145" w:lineRule="exact"/>
        <w:rPr>
          <w:sz w:val="20"/>
          <w:szCs w:val="20"/>
          <w:color w:val="auto"/>
        </w:rPr>
      </w:pPr>
    </w:p>
    <w:p>
      <w:pPr>
        <w:jc w:val="both"/>
        <w:ind w:left="5" w:right="231"/>
        <w:spacing w:after="0" w:line="336"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spacing w:after="0" w:line="9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Index: </w:t>
      </w:r>
      <w:r>
        <w:rPr>
          <w:rFonts w:ascii="Arial" w:cs="Arial" w:eastAsia="Arial" w:hAnsi="Arial"/>
          <w:sz w:val="17"/>
          <w:szCs w:val="17"/>
          <w:color w:val="000000"/>
        </w:rPr>
        <w:t>The S&amp;P 500</w:t>
      </w:r>
      <w:r>
        <w:rPr>
          <w:rFonts w:ascii="Arial" w:cs="Arial" w:eastAsia="Arial" w:hAnsi="Arial"/>
          <w:sz w:val="22"/>
          <w:szCs w:val="22"/>
          <w:color w:val="000000"/>
          <w:vertAlign w:val="superscript"/>
        </w:rPr>
        <w:t>®</w:t>
      </w:r>
      <w:r>
        <w:rPr>
          <w:rFonts w:ascii="Arial" w:cs="Arial" w:eastAsia="Arial" w:hAnsi="Arial"/>
          <w:sz w:val="17"/>
          <w:szCs w:val="17"/>
          <w:b w:val="1"/>
          <w:bCs w:val="1"/>
          <w:color w:val="54301A"/>
        </w:rPr>
        <w:t xml:space="preserve"> </w:t>
      </w:r>
      <w:r>
        <w:rPr>
          <w:rFonts w:ascii="Arial" w:cs="Arial" w:eastAsia="Arial" w:hAnsi="Arial"/>
          <w:sz w:val="17"/>
          <w:szCs w:val="17"/>
          <w:color w:val="000000"/>
        </w:rPr>
        <w:t>Index (Bloomberg ticker: SPX)</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Downside Participation Rate: </w:t>
      </w:r>
      <w:r>
        <w:rPr>
          <w:rFonts w:ascii="Arial" w:cs="Arial" w:eastAsia="Arial" w:hAnsi="Arial"/>
          <w:sz w:val="17"/>
          <w:szCs w:val="17"/>
          <w:color w:val="000000"/>
        </w:rPr>
        <w:t>100.00%</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Knock-Out Percentage: </w:t>
      </w:r>
      <w:r>
        <w:rPr>
          <w:rFonts w:ascii="Arial" w:cs="Arial" w:eastAsia="Arial" w:hAnsi="Arial"/>
          <w:sz w:val="17"/>
          <w:szCs w:val="17"/>
          <w:color w:val="000000"/>
        </w:rPr>
        <w:t>67.00%</w:t>
      </w:r>
    </w:p>
    <w:p>
      <w:pPr>
        <w:spacing w:after="0" w:line="9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Strike Date: </w:t>
      </w:r>
      <w:r>
        <w:rPr>
          <w:rFonts w:ascii="Arial" w:cs="Arial" w:eastAsia="Arial" w:hAnsi="Arial"/>
          <w:sz w:val="17"/>
          <w:szCs w:val="17"/>
          <w:color w:val="000000"/>
        </w:rPr>
        <w:t>June 16, 2025</w:t>
      </w:r>
    </w:p>
    <w:p>
      <w:pPr>
        <w:spacing w:after="0" w:line="8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June 20, 2025</w:t>
      </w:r>
    </w:p>
    <w:p>
      <w:pPr>
        <w:spacing w:after="0" w:line="96" w:lineRule="exact"/>
        <w:rPr>
          <w:sz w:val="20"/>
          <w:szCs w:val="20"/>
          <w:color w:val="auto"/>
        </w:rPr>
      </w:pPr>
    </w:p>
    <w:p>
      <w:pPr>
        <w:ind w:left="5" w:right="31"/>
        <w:spacing w:after="0" w:line="307" w:lineRule="auto"/>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 June 25,</w:t>
      </w:r>
      <w:r>
        <w:rPr>
          <w:rFonts w:ascii="Arial" w:cs="Arial" w:eastAsia="Arial" w:hAnsi="Arial"/>
          <w:sz w:val="17"/>
          <w:szCs w:val="17"/>
          <w:b w:val="1"/>
          <w:bCs w:val="1"/>
          <w:color w:val="54301A"/>
        </w:rPr>
        <w:t xml:space="preserve"> </w:t>
      </w:r>
      <w:r>
        <w:rPr>
          <w:rFonts w:ascii="Arial" w:cs="Arial" w:eastAsia="Arial" w:hAnsi="Arial"/>
          <w:sz w:val="17"/>
          <w:szCs w:val="17"/>
          <w:color w:val="000000"/>
        </w:rPr>
        <w:t>2025</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Observation Date*: </w:t>
      </w:r>
      <w:r>
        <w:rPr>
          <w:rFonts w:ascii="Arial" w:cs="Arial" w:eastAsia="Arial" w:hAnsi="Arial"/>
          <w:sz w:val="17"/>
          <w:szCs w:val="17"/>
          <w:color w:val="000000"/>
        </w:rPr>
        <w:t>December 16, 2026</w:t>
      </w:r>
    </w:p>
    <w:p>
      <w:pPr>
        <w:spacing w:after="0" w:line="9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December 21, 2026</w:t>
      </w:r>
    </w:p>
    <w:p>
      <w:pPr>
        <w:spacing w:after="0" w:line="340" w:lineRule="exact"/>
        <w:rPr>
          <w:sz w:val="20"/>
          <w:szCs w:val="20"/>
          <w:color w:val="auto"/>
        </w:rPr>
      </w:pPr>
    </w:p>
    <w:p>
      <w:pPr>
        <w:ind w:left="105" w:hanging="105"/>
        <w:spacing w:after="0"/>
        <w:tabs>
          <w:tab w:leader="none" w:pos="105" w:val="left"/>
        </w:tabs>
        <w:numPr>
          <w:ilvl w:val="0"/>
          <w:numId w:val="3"/>
        </w:numPr>
        <w:rPr>
          <w:rFonts w:ascii="Arial" w:cs="Arial" w:eastAsia="Arial" w:hAnsi="Arial"/>
          <w:sz w:val="15"/>
          <w:szCs w:val="15"/>
          <w:color w:val="auto"/>
        </w:rPr>
      </w:pPr>
      <w:r>
        <w:rPr>
          <w:rFonts w:ascii="Arial" w:cs="Arial" w:eastAsia="Arial" w:hAnsi="Arial"/>
          <w:sz w:val="15"/>
          <w:szCs w:val="15"/>
          <w:color w:val="auto"/>
        </w:rPr>
        <w:t>Subject to postponement in the event of a market disruption event</w:t>
      </w:r>
    </w:p>
    <w:p>
      <w:pPr>
        <w:spacing w:after="0" w:line="39" w:lineRule="exact"/>
        <w:rPr>
          <w:rFonts w:ascii="Arial" w:cs="Arial" w:eastAsia="Arial" w:hAnsi="Arial"/>
          <w:sz w:val="15"/>
          <w:szCs w:val="15"/>
          <w:color w:val="auto"/>
        </w:rPr>
      </w:pPr>
    </w:p>
    <w:p>
      <w:pPr>
        <w:jc w:val="both"/>
        <w:ind w:left="5" w:right="251"/>
        <w:spacing w:after="0" w:line="305" w:lineRule="auto"/>
        <w:rPr>
          <w:rFonts w:ascii="Arial" w:cs="Arial" w:eastAsia="Arial" w:hAnsi="Arial"/>
          <w:sz w:val="15"/>
          <w:szCs w:val="15"/>
          <w:color w:val="auto"/>
        </w:rPr>
      </w:pPr>
      <w:r>
        <w:rPr>
          <w:rFonts w:ascii="Arial" w:cs="Arial" w:eastAsia="Arial" w:hAnsi="Arial"/>
          <w:sz w:val="14"/>
          <w:szCs w:val="14"/>
          <w:color w:val="auto"/>
        </w:rPr>
        <w:t>and as described under “General Terms of Notes — Postponement of a Determination Date — Notes Linked to a Single Underlying —</w:t>
      </w:r>
    </w:p>
    <w:p>
      <w:pPr>
        <w:spacing w:after="0" w:line="1" w:lineRule="exact"/>
        <w:rPr>
          <w:rFonts w:ascii="Arial" w:cs="Arial" w:eastAsia="Arial" w:hAnsi="Arial"/>
          <w:sz w:val="15"/>
          <w:szCs w:val="15"/>
          <w:color w:val="auto"/>
        </w:rPr>
      </w:pPr>
    </w:p>
    <w:p>
      <w:pPr>
        <w:ind w:left="5" w:right="511"/>
        <w:spacing w:after="0" w:line="320" w:lineRule="auto"/>
        <w:rPr>
          <w:rFonts w:ascii="Arial" w:cs="Arial" w:eastAsia="Arial" w:hAnsi="Arial"/>
          <w:sz w:val="15"/>
          <w:szCs w:val="15"/>
          <w:color w:val="auto"/>
        </w:rPr>
      </w:pPr>
      <w:r>
        <w:rPr>
          <w:rFonts w:ascii="Arial" w:cs="Arial" w:eastAsia="Arial" w:hAnsi="Arial"/>
          <w:sz w:val="14"/>
          <w:szCs w:val="14"/>
          <w:color w:val="auto"/>
        </w:rPr>
        <w:t>Notes Linked to a Single Underlying (Other Than a Commodity Index)” and “General Terms of Notes — Postponement of a Payment Date” in the accompanying product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PS-1 | Structured Investments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Payment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-185420</wp:posOffset>
            </wp:positionV>
            <wp:extent cx="6437630" cy="8395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7630" cy="8395335"/>
                    </a:xfrm>
                    <a:prstGeom prst="rect">
                      <a:avLst/>
                    </a:prstGeom>
                    <a:noFill/>
                  </pic:spPr>
                </pic:pic>
              </a:graphicData>
            </a:graphic>
          </wp:anchor>
        </w:drawing>
      </w:r>
    </w:p>
    <w:p>
      <w:pPr>
        <w:spacing w:after="0" w:line="62" w:lineRule="exact"/>
        <w:rPr>
          <w:sz w:val="20"/>
          <w:szCs w:val="20"/>
          <w:color w:val="auto"/>
        </w:rPr>
      </w:pPr>
    </w:p>
    <w:p>
      <w:pPr>
        <w:jc w:val="both"/>
        <w:ind w:left="9" w:right="200"/>
        <w:spacing w:after="0" w:line="251" w:lineRule="auto"/>
        <w:rPr>
          <w:sz w:val="20"/>
          <w:szCs w:val="20"/>
          <w:color w:val="auto"/>
        </w:rPr>
      </w:pPr>
      <w:r>
        <w:rPr>
          <w:rFonts w:ascii="Arial" w:cs="Arial" w:eastAsia="Arial" w:hAnsi="Arial"/>
          <w:sz w:val="17"/>
          <w:szCs w:val="17"/>
          <w:color w:val="auto"/>
        </w:rPr>
        <w:t xml:space="preserve">At maturity, you will receive a cash payment, for each $1,000 principal amount note, of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Additional Amount, which may be zero.</w:t>
      </w:r>
    </w:p>
    <w:p>
      <w:pPr>
        <w:spacing w:after="0" w:line="64" w:lineRule="exact"/>
        <w:rPr>
          <w:sz w:val="20"/>
          <w:szCs w:val="20"/>
          <w:color w:val="auto"/>
        </w:rPr>
      </w:pPr>
    </w:p>
    <w:p>
      <w:pPr>
        <w:ind w:left="9" w:right="20"/>
        <w:spacing w:after="0" w:line="250" w:lineRule="auto"/>
        <w:rPr>
          <w:sz w:val="20"/>
          <w:szCs w:val="20"/>
          <w:color w:val="auto"/>
        </w:rPr>
      </w:pPr>
      <w:r>
        <w:rPr>
          <w:rFonts w:ascii="Arial" w:cs="Arial" w:eastAsia="Arial" w:hAnsi="Arial"/>
          <w:sz w:val="17"/>
          <w:szCs w:val="17"/>
          <w:i w:val="1"/>
          <w:iCs w:val="1"/>
          <w:color w:val="auto"/>
        </w:rPr>
        <w:t>You are entitled to repayment of principal in full at maturity, subject to the credit risks of JPMorgan Financial and JPMorgan Chase &amp; Co.</w:t>
      </w:r>
    </w:p>
    <w:p>
      <w:pPr>
        <w:spacing w:after="0" w:line="49" w:lineRule="exact"/>
        <w:rPr>
          <w:sz w:val="20"/>
          <w:szCs w:val="20"/>
          <w:color w:val="auto"/>
        </w:rPr>
      </w:pPr>
    </w:p>
    <w:p>
      <w:pPr>
        <w:ind w:left="9" w:right="600"/>
        <w:spacing w:after="0" w:line="289" w:lineRule="auto"/>
        <w:rPr>
          <w:sz w:val="20"/>
          <w:szCs w:val="20"/>
          <w:color w:val="auto"/>
        </w:rPr>
      </w:pPr>
      <w:r>
        <w:rPr>
          <w:rFonts w:ascii="Arial" w:cs="Arial" w:eastAsia="Arial" w:hAnsi="Arial"/>
          <w:sz w:val="16"/>
          <w:szCs w:val="16"/>
          <w:b w:val="1"/>
          <w:bCs w:val="1"/>
          <w:color w:val="54301A"/>
        </w:rPr>
        <w:t xml:space="preserve">Additional Amount: </w:t>
      </w:r>
      <w:r>
        <w:rPr>
          <w:rFonts w:ascii="Arial" w:cs="Arial" w:eastAsia="Arial" w:hAnsi="Arial"/>
          <w:sz w:val="16"/>
          <w:szCs w:val="16"/>
          <w:color w:val="000000"/>
        </w:rPr>
        <w:t>The Additional Amount payable at</w:t>
      </w:r>
      <w:r>
        <w:rPr>
          <w:rFonts w:ascii="Arial" w:cs="Arial" w:eastAsia="Arial" w:hAnsi="Arial"/>
          <w:sz w:val="16"/>
          <w:szCs w:val="16"/>
          <w:b w:val="1"/>
          <w:bCs w:val="1"/>
          <w:color w:val="54301A"/>
        </w:rPr>
        <w:t xml:space="preserve"> </w:t>
      </w:r>
      <w:r>
        <w:rPr>
          <w:rFonts w:ascii="Arial" w:cs="Arial" w:eastAsia="Arial" w:hAnsi="Arial"/>
          <w:sz w:val="16"/>
          <w:szCs w:val="16"/>
          <w:color w:val="000000"/>
        </w:rPr>
        <w:t>maturity per $1,000 principal amount note will equal:</w:t>
      </w:r>
    </w:p>
    <w:p>
      <w:pPr>
        <w:spacing w:after="0" w:line="33" w:lineRule="exact"/>
        <w:rPr>
          <w:sz w:val="20"/>
          <w:szCs w:val="20"/>
          <w:color w:val="auto"/>
        </w:rPr>
      </w:pPr>
    </w:p>
    <w:p>
      <w:pPr>
        <w:ind w:left="9" w:right="140" w:hanging="9"/>
        <w:spacing w:after="0" w:line="243" w:lineRule="auto"/>
        <w:tabs>
          <w:tab w:leader="none" w:pos="67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if a Knock-Out Event </w:t>
      </w:r>
      <w:r>
        <w:rPr>
          <w:rFonts w:ascii="Arial" w:cs="Arial" w:eastAsia="Arial" w:hAnsi="Arial"/>
          <w:sz w:val="17"/>
          <w:szCs w:val="17"/>
          <w:b w:val="1"/>
          <w:bCs w:val="1"/>
          <w:color w:val="auto"/>
        </w:rPr>
        <w:t>has not</w:t>
      </w:r>
      <w:r>
        <w:rPr>
          <w:rFonts w:ascii="Arial" w:cs="Arial" w:eastAsia="Arial" w:hAnsi="Arial"/>
          <w:sz w:val="17"/>
          <w:szCs w:val="17"/>
          <w:color w:val="auto"/>
        </w:rPr>
        <w:t xml:space="preserve"> occurred: $1,000 × the Bearish Index Return × the Downside Participation Rate,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Additional Amount will not be less than zero;</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p>
    <w:p>
      <w:pPr>
        <w:spacing w:after="0" w:line="68" w:lineRule="exact"/>
        <w:rPr>
          <w:rFonts w:ascii="Arial" w:cs="Arial" w:eastAsia="Arial" w:hAnsi="Arial"/>
          <w:sz w:val="17"/>
          <w:szCs w:val="17"/>
          <w:color w:val="auto"/>
        </w:rPr>
      </w:pPr>
    </w:p>
    <w:p>
      <w:pPr>
        <w:ind w:left="669" w:hanging="669"/>
        <w:spacing w:after="0"/>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if a Knock-Out Event </w:t>
      </w:r>
      <w:r>
        <w:rPr>
          <w:rFonts w:ascii="Arial" w:cs="Arial" w:eastAsia="Arial" w:hAnsi="Arial"/>
          <w:sz w:val="17"/>
          <w:szCs w:val="17"/>
          <w:b w:val="1"/>
          <w:bCs w:val="1"/>
          <w:color w:val="auto"/>
        </w:rPr>
        <w:t>has</w:t>
      </w:r>
      <w:r>
        <w:rPr>
          <w:rFonts w:ascii="Arial" w:cs="Arial" w:eastAsia="Arial" w:hAnsi="Arial"/>
          <w:sz w:val="17"/>
          <w:szCs w:val="17"/>
          <w:color w:val="auto"/>
        </w:rPr>
        <w:t xml:space="preserve"> occurred: $0.</w:t>
      </w:r>
    </w:p>
    <w:p>
      <w:pPr>
        <w:spacing w:after="0" w:line="84" w:lineRule="exact"/>
        <w:rPr>
          <w:sz w:val="20"/>
          <w:szCs w:val="20"/>
          <w:color w:val="auto"/>
        </w:rPr>
      </w:pPr>
    </w:p>
    <w:p>
      <w:pPr>
        <w:ind w:left="9"/>
        <w:spacing w:after="0" w:line="291" w:lineRule="auto"/>
        <w:rPr>
          <w:sz w:val="20"/>
          <w:szCs w:val="20"/>
          <w:color w:val="auto"/>
        </w:rPr>
      </w:pPr>
      <w:r>
        <w:rPr>
          <w:rFonts w:ascii="Arial" w:cs="Arial" w:eastAsia="Arial" w:hAnsi="Arial"/>
          <w:sz w:val="17"/>
          <w:szCs w:val="17"/>
          <w:i w:val="1"/>
          <w:iCs w:val="1"/>
          <w:color w:val="auto"/>
        </w:rPr>
        <w:t>This payout formula results in an effective cap of 67.00% on your return at maturity. Under these circumstances, your maximum payment at maturity is $1,670.00 per $1,000 principal amount note.</w:t>
      </w:r>
    </w:p>
    <w:p>
      <w:pPr>
        <w:spacing w:after="0" w:line="3" w:lineRule="exact"/>
        <w:rPr>
          <w:sz w:val="20"/>
          <w:szCs w:val="20"/>
          <w:color w:val="auto"/>
        </w:rPr>
      </w:pPr>
    </w:p>
    <w:p>
      <w:pPr>
        <w:ind w:left="9" w:right="240"/>
        <w:spacing w:after="0" w:line="243" w:lineRule="auto"/>
        <w:rPr>
          <w:sz w:val="20"/>
          <w:szCs w:val="20"/>
          <w:color w:val="auto"/>
        </w:rPr>
      </w:pPr>
      <w:r>
        <w:rPr>
          <w:rFonts w:ascii="Arial" w:cs="Arial" w:eastAsia="Arial" w:hAnsi="Arial"/>
          <w:sz w:val="17"/>
          <w:szCs w:val="17"/>
          <w:b w:val="1"/>
          <w:bCs w:val="1"/>
          <w:color w:val="54301A"/>
        </w:rPr>
        <w:t xml:space="preserve">Knock-Out Event: </w:t>
      </w:r>
      <w:r>
        <w:rPr>
          <w:rFonts w:ascii="Arial" w:cs="Arial" w:eastAsia="Arial" w:hAnsi="Arial"/>
          <w:sz w:val="17"/>
          <w:szCs w:val="17"/>
          <w:color w:val="000000"/>
        </w:rPr>
        <w:t>A Knock-Out Event occurs if, on any day</w:t>
      </w:r>
      <w:r>
        <w:rPr>
          <w:rFonts w:ascii="Arial" w:cs="Arial" w:eastAsia="Arial" w:hAnsi="Arial"/>
          <w:sz w:val="17"/>
          <w:szCs w:val="17"/>
          <w:b w:val="1"/>
          <w:bCs w:val="1"/>
          <w:color w:val="54301A"/>
        </w:rPr>
        <w:t xml:space="preserve"> </w:t>
      </w:r>
      <w:r>
        <w:rPr>
          <w:rFonts w:ascii="Arial" w:cs="Arial" w:eastAsia="Arial" w:hAnsi="Arial"/>
          <w:sz w:val="17"/>
          <w:szCs w:val="17"/>
          <w:color w:val="000000"/>
        </w:rPr>
        <w:t>during the Monitoring Period, the closing level of the Index is less than the Strike Value by more than the Knock-Out Percentage.</w:t>
      </w:r>
    </w:p>
    <w:p>
      <w:pPr>
        <w:spacing w:after="0" w:line="55" w:lineRule="exact"/>
        <w:rPr>
          <w:sz w:val="20"/>
          <w:szCs w:val="20"/>
          <w:color w:val="auto"/>
        </w:rPr>
      </w:pPr>
    </w:p>
    <w:p>
      <w:pPr>
        <w:ind w:left="9" w:right="120"/>
        <w:spacing w:after="0" w:line="307" w:lineRule="auto"/>
        <w:rPr>
          <w:sz w:val="20"/>
          <w:szCs w:val="20"/>
          <w:color w:val="auto"/>
        </w:rPr>
      </w:pPr>
      <w:r>
        <w:rPr>
          <w:rFonts w:ascii="Arial" w:cs="Arial" w:eastAsia="Arial" w:hAnsi="Arial"/>
          <w:sz w:val="17"/>
          <w:szCs w:val="17"/>
          <w:b w:val="1"/>
          <w:bCs w:val="1"/>
          <w:color w:val="54301A"/>
        </w:rPr>
        <w:t xml:space="preserve">Monitoring Period: </w:t>
      </w:r>
      <w:r>
        <w:rPr>
          <w:rFonts w:ascii="Arial" w:cs="Arial" w:eastAsia="Arial" w:hAnsi="Arial"/>
          <w:sz w:val="17"/>
          <w:szCs w:val="17"/>
          <w:color w:val="000000"/>
        </w:rPr>
        <w:t>The period from but excluding the Pricing</w:t>
      </w:r>
      <w:r>
        <w:rPr>
          <w:rFonts w:ascii="Arial" w:cs="Arial" w:eastAsia="Arial" w:hAnsi="Arial"/>
          <w:sz w:val="17"/>
          <w:szCs w:val="17"/>
          <w:b w:val="1"/>
          <w:bCs w:val="1"/>
          <w:color w:val="54301A"/>
        </w:rPr>
        <w:t xml:space="preserve"> </w:t>
      </w:r>
      <w:r>
        <w:rPr>
          <w:rFonts w:ascii="Arial" w:cs="Arial" w:eastAsia="Arial" w:hAnsi="Arial"/>
          <w:sz w:val="17"/>
          <w:szCs w:val="17"/>
          <w:color w:val="000000"/>
        </w:rPr>
        <w:t>Date to and including the Observation Date</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Bearish Index Return:</w:t>
      </w:r>
    </w:p>
    <w:p>
      <w:pPr>
        <w:spacing w:after="0" w:line="8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(Strike Value – Final Value)</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Strike Value</w:t>
      </w:r>
    </w:p>
    <w:p>
      <w:pPr>
        <w:spacing w:after="0" w:line="109" w:lineRule="exact"/>
        <w:rPr>
          <w:sz w:val="20"/>
          <w:szCs w:val="20"/>
          <w:color w:val="auto"/>
        </w:rPr>
      </w:pPr>
    </w:p>
    <w:p>
      <w:pPr>
        <w:jc w:val="both"/>
        <w:ind w:left="9" w:right="20"/>
        <w:spacing w:after="0" w:line="296" w:lineRule="auto"/>
        <w:rPr>
          <w:sz w:val="20"/>
          <w:szCs w:val="20"/>
          <w:color w:val="auto"/>
        </w:rPr>
      </w:pPr>
      <w:r>
        <w:rPr>
          <w:rFonts w:ascii="Arial" w:cs="Arial" w:eastAsia="Arial" w:hAnsi="Arial"/>
          <w:sz w:val="17"/>
          <w:szCs w:val="17"/>
          <w:b w:val="1"/>
          <w:bCs w:val="1"/>
          <w:color w:val="54301A"/>
        </w:rPr>
        <w:t xml:space="preserve">Strike Value: </w:t>
      </w:r>
      <w:r>
        <w:rPr>
          <w:rFonts w:ascii="Arial" w:cs="Arial" w:eastAsia="Arial" w:hAnsi="Arial"/>
          <w:sz w:val="17"/>
          <w:szCs w:val="17"/>
          <w:color w:val="000000"/>
        </w:rPr>
        <w:t>The closing level of the Index on the Strike Date,</w:t>
      </w:r>
      <w:r>
        <w:rPr>
          <w:rFonts w:ascii="Arial" w:cs="Arial" w:eastAsia="Arial" w:hAnsi="Arial"/>
          <w:sz w:val="17"/>
          <w:szCs w:val="17"/>
          <w:b w:val="1"/>
          <w:bCs w:val="1"/>
          <w:color w:val="54301A"/>
        </w:rPr>
        <w:t xml:space="preserve"> </w:t>
      </w:r>
      <w:r>
        <w:rPr>
          <w:rFonts w:ascii="Arial" w:cs="Arial" w:eastAsia="Arial" w:hAnsi="Arial"/>
          <w:sz w:val="17"/>
          <w:szCs w:val="17"/>
          <w:color w:val="000000"/>
        </w:rPr>
        <w:t xml:space="preserve">which was 6,033.11. </w:t>
      </w:r>
      <w:r>
        <w:rPr>
          <w:rFonts w:ascii="Arial" w:cs="Arial" w:eastAsia="Arial" w:hAnsi="Arial"/>
          <w:sz w:val="17"/>
          <w:szCs w:val="17"/>
          <w:b w:val="1"/>
          <w:bCs w:val="1"/>
          <w:color w:val="000000"/>
        </w:rPr>
        <w:t>The Strike Value is</w:t>
      </w:r>
      <w:r>
        <w:rPr>
          <w:rFonts w:ascii="Arial" w:cs="Arial" w:eastAsia="Arial" w:hAnsi="Arial"/>
          <w:sz w:val="17"/>
          <w:szCs w:val="17"/>
          <w:color w:val="000000"/>
        </w:rPr>
        <w:t xml:space="preserve"> </w:t>
      </w:r>
      <w:r>
        <w:rPr>
          <w:rFonts w:ascii="Arial" w:cs="Arial" w:eastAsia="Arial" w:hAnsi="Arial"/>
          <w:sz w:val="17"/>
          <w:szCs w:val="17"/>
          <w:b w:val="1"/>
          <w:bCs w:val="1"/>
          <w:i w:val="1"/>
          <w:iCs w:val="1"/>
          <w:color w:val="000000"/>
        </w:rPr>
        <w:t>not</w:t>
      </w:r>
      <w:r>
        <w:rPr>
          <w:rFonts w:ascii="Arial" w:cs="Arial" w:eastAsia="Arial" w:hAnsi="Arial"/>
          <w:sz w:val="17"/>
          <w:szCs w:val="17"/>
          <w:color w:val="000000"/>
        </w:rPr>
        <w:t xml:space="preserve"> </w:t>
      </w:r>
      <w:r>
        <w:rPr>
          <w:rFonts w:ascii="Arial" w:cs="Arial" w:eastAsia="Arial" w:hAnsi="Arial"/>
          <w:sz w:val="17"/>
          <w:szCs w:val="17"/>
          <w:b w:val="1"/>
          <w:bCs w:val="1"/>
          <w:color w:val="000000"/>
        </w:rPr>
        <w:t>the closing level</w:t>
      </w:r>
      <w:r>
        <w:rPr>
          <w:rFonts w:ascii="Arial" w:cs="Arial" w:eastAsia="Arial" w:hAnsi="Arial"/>
          <w:sz w:val="17"/>
          <w:szCs w:val="17"/>
          <w:color w:val="000000"/>
        </w:rPr>
        <w:t xml:space="preserve"> </w:t>
      </w:r>
      <w:r>
        <w:rPr>
          <w:rFonts w:ascii="Arial" w:cs="Arial" w:eastAsia="Arial" w:hAnsi="Arial"/>
          <w:sz w:val="17"/>
          <w:szCs w:val="17"/>
          <w:b w:val="1"/>
          <w:bCs w:val="1"/>
          <w:color w:val="000000"/>
        </w:rPr>
        <w:t>of the Index on the Pricing Date.</w:t>
      </w:r>
    </w:p>
    <w:p>
      <w:pPr>
        <w:spacing w:after="0" w:line="18" w:lineRule="exact"/>
        <w:rPr>
          <w:sz w:val="20"/>
          <w:szCs w:val="20"/>
          <w:color w:val="auto"/>
        </w:rPr>
      </w:pPr>
    </w:p>
    <w:p>
      <w:pPr>
        <w:ind w:left="9" w:right="100"/>
        <w:spacing w:after="0" w:line="307"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The closing level of the Index on the Observation</w:t>
      </w:r>
      <w:r>
        <w:rPr>
          <w:rFonts w:ascii="Arial" w:cs="Arial" w:eastAsia="Arial" w:hAnsi="Arial"/>
          <w:sz w:val="17"/>
          <w:szCs w:val="17"/>
          <w:b w:val="1"/>
          <w:bCs w:val="1"/>
          <w:color w:val="54301A"/>
        </w:rPr>
        <w:t xml:space="preserve"> </w:t>
      </w:r>
      <w:r>
        <w:rPr>
          <w:rFonts w:ascii="Arial" w:cs="Arial" w:eastAsia="Arial" w:hAnsi="Arial"/>
          <w:sz w:val="17"/>
          <w:szCs w:val="17"/>
          <w:color w:val="000000"/>
        </w:rPr>
        <w:t>Date</w:t>
      </w:r>
    </w:p>
    <w:p>
      <w:pPr>
        <w:sectPr>
          <w:pgSz w:w="11900" w:h="16838" w:orient="portrait"/>
          <w:cols w:equalWidth="0" w:num="2">
            <w:col w:w="4616" w:space="720"/>
            <w:col w:w="4689"/>
          </w:cols>
          <w:pgMar w:left="995" w:top="1039" w:right="879" w:bottom="1440" w:gutter="0" w:footer="0" w:header="0"/>
        </w:sectPr>
      </w:pPr>
    </w:p>
    <w:bookmarkStart w:id="2" w:name="page3"/>
    <w:bookmarkEnd w:id="2"/>
    <w:p>
      <w:pPr>
        <w:ind w:left="5"/>
        <w:spacing w:after="0"/>
        <w:rPr>
          <w:sz w:val="20"/>
          <w:szCs w:val="20"/>
          <w:color w:val="auto"/>
        </w:rPr>
      </w:pPr>
      <w:r>
        <w:rPr>
          <w:rFonts w:ascii="Arial" w:cs="Arial" w:eastAsia="Arial" w:hAnsi="Arial"/>
          <w:sz w:val="19"/>
          <w:szCs w:val="19"/>
          <w:b w:val="1"/>
          <w:bCs w:val="1"/>
          <w:color w:val="4E8ABE"/>
        </w:rPr>
        <w:t>Supplemental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38100</wp:posOffset>
            </wp:positionV>
            <wp:extent cx="6773545" cy="8479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3545" cy="8479790"/>
                    </a:xfrm>
                    <a:prstGeom prst="rect">
                      <a:avLst/>
                    </a:prstGeom>
                    <a:noFill/>
                  </pic:spPr>
                </pic:pic>
              </a:graphicData>
            </a:graphic>
          </wp:anchor>
        </w:drawing>
      </w:r>
    </w:p>
    <w:p>
      <w:pPr>
        <w:spacing w:after="0" w:line="85" w:lineRule="exact"/>
        <w:rPr>
          <w:sz w:val="20"/>
          <w:szCs w:val="20"/>
          <w:color w:val="auto"/>
        </w:rPr>
      </w:pPr>
    </w:p>
    <w:p>
      <w:pPr>
        <w:ind w:left="5" w:right="160"/>
        <w:spacing w:after="0" w:line="292" w:lineRule="auto"/>
        <w:rPr>
          <w:sz w:val="20"/>
          <w:szCs w:val="20"/>
          <w:color w:val="auto"/>
        </w:rPr>
      </w:pPr>
      <w:r>
        <w:rPr>
          <w:rFonts w:ascii="Arial" w:cs="Arial" w:eastAsia="Arial" w:hAnsi="Arial"/>
          <w:sz w:val="17"/>
          <w:szCs w:val="17"/>
          <w:color w:val="404040"/>
        </w:rPr>
        <w:t>Any values of the Index, and any values derived therefrom, included in this pricing supplement may be corrected, in the event of manifest error or inconsistency, by amendment of this pricing supplement and the corresponding terms of the notes. Notwithstanding anything to the contrary in the indenture governing the notes, that amendment will become effective without consent of the holders of the notes or any other party.</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4E8ABE"/>
        </w:rPr>
        <w:t>Hypothetical Payout Profile</w:t>
      </w:r>
    </w:p>
    <w:p>
      <w:pPr>
        <w:spacing w:after="0" w:line="65" w:lineRule="exact"/>
        <w:rPr>
          <w:sz w:val="20"/>
          <w:szCs w:val="20"/>
          <w:color w:val="auto"/>
        </w:rPr>
      </w:pPr>
    </w:p>
    <w:p>
      <w:pPr>
        <w:ind w:left="5" w:right="560"/>
        <w:spacing w:after="0" w:line="307" w:lineRule="auto"/>
        <w:rPr>
          <w:sz w:val="20"/>
          <w:szCs w:val="20"/>
          <w:color w:val="auto"/>
        </w:rPr>
      </w:pPr>
      <w:r>
        <w:rPr>
          <w:rFonts w:ascii="Arial" w:cs="Arial" w:eastAsia="Arial" w:hAnsi="Arial"/>
          <w:sz w:val="17"/>
          <w:szCs w:val="17"/>
          <w:color w:val="404040"/>
        </w:rPr>
        <w:t>The following table illustrates the hypothetical payment at maturity on the notes linked to a hypothetical Index. The hypothetical payments set forth below assume the following:</w:t>
      </w:r>
    </w:p>
    <w:p>
      <w:pPr>
        <w:spacing w:after="0" w:line="82" w:lineRule="exact"/>
        <w:rPr>
          <w:sz w:val="20"/>
          <w:szCs w:val="20"/>
          <w:color w:val="auto"/>
        </w:rPr>
      </w:pPr>
    </w:p>
    <w:p>
      <w:pPr>
        <w:ind w:left="365" w:hanging="365"/>
        <w:spacing w:after="0"/>
        <w:tabs>
          <w:tab w:leader="none" w:pos="36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Strike Value of 100.00;</w:t>
      </w:r>
    </w:p>
    <w:p>
      <w:pPr>
        <w:spacing w:after="0" w:line="110" w:lineRule="exact"/>
        <w:rPr>
          <w:rFonts w:ascii="Verdana" w:cs="Verdana" w:eastAsia="Verdana" w:hAnsi="Verdana"/>
          <w:sz w:val="17"/>
          <w:szCs w:val="17"/>
          <w:color w:val="404040"/>
        </w:rPr>
      </w:pPr>
    </w:p>
    <w:p>
      <w:pPr>
        <w:ind w:left="365" w:hanging="365"/>
        <w:spacing w:after="0"/>
        <w:tabs>
          <w:tab w:leader="none" w:pos="36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Downside Participation Rate of 100.00%; and</w:t>
      </w:r>
    </w:p>
    <w:p>
      <w:pPr>
        <w:spacing w:after="0" w:line="97" w:lineRule="exact"/>
        <w:rPr>
          <w:rFonts w:ascii="Verdana" w:cs="Verdana" w:eastAsia="Verdana" w:hAnsi="Verdana"/>
          <w:sz w:val="17"/>
          <w:szCs w:val="17"/>
          <w:color w:val="404040"/>
        </w:rPr>
      </w:pPr>
    </w:p>
    <w:p>
      <w:pPr>
        <w:ind w:left="365" w:hanging="365"/>
        <w:spacing w:after="0"/>
        <w:tabs>
          <w:tab w:leader="none" w:pos="36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Knock-Out Percentage of 67.00%.</w:t>
      </w:r>
    </w:p>
    <w:p>
      <w:pPr>
        <w:spacing w:after="0" w:line="97" w:lineRule="exact"/>
        <w:rPr>
          <w:sz w:val="20"/>
          <w:szCs w:val="20"/>
          <w:color w:val="auto"/>
        </w:rPr>
      </w:pPr>
    </w:p>
    <w:p>
      <w:pPr>
        <w:ind w:left="5"/>
        <w:spacing w:after="0" w:line="292" w:lineRule="auto"/>
        <w:rPr>
          <w:sz w:val="20"/>
          <w:szCs w:val="20"/>
          <w:color w:val="auto"/>
        </w:rPr>
      </w:pPr>
      <w:r>
        <w:rPr>
          <w:rFonts w:ascii="Arial" w:cs="Arial" w:eastAsia="Arial" w:hAnsi="Arial"/>
          <w:sz w:val="17"/>
          <w:szCs w:val="17"/>
          <w:color w:val="404040"/>
        </w:rPr>
        <w:t>As used in this section, the Index Return is equal to (Final Value – Strike Value) / Strike Value. The hypothetical Strike Value of 100.00 has been chosen for illustrative purposes only and does not represent the actual Strike Value. The actual Strike Value is the closing level of the Index on the Strike Date and is specified under “Key Terms — Strike Value” in this pricing supplement. For historical data regarding the actual closing levels of the Index, please see the historical information set forth under “The Index” in this pricing supplement.</w:t>
      </w:r>
    </w:p>
    <w:p>
      <w:pPr>
        <w:spacing w:after="0" w:line="42" w:lineRule="exact"/>
        <w:rPr>
          <w:sz w:val="20"/>
          <w:szCs w:val="20"/>
          <w:color w:val="auto"/>
        </w:rPr>
      </w:pPr>
    </w:p>
    <w:p>
      <w:pPr>
        <w:ind w:left="5" w:right="240"/>
        <w:spacing w:after="0" w:line="341" w:lineRule="auto"/>
        <w:rPr>
          <w:sz w:val="20"/>
          <w:szCs w:val="20"/>
          <w:color w:val="auto"/>
        </w:rPr>
      </w:pPr>
      <w:r>
        <w:rPr>
          <w:rFonts w:ascii="Arial" w:cs="Arial" w:eastAsia="Arial" w:hAnsi="Arial"/>
          <w:sz w:val="16"/>
          <w:szCs w:val="16"/>
          <w:color w:val="404040"/>
        </w:rPr>
        <w:t>Each hypothetical payment at maturity set forth below is for illustrative purposes only and may not be the actual payment at maturity applicable to a purchaser of the notes. The numbers appearing in the following table have been rounded for ease of analysis.</w:t>
      </w:r>
    </w:p>
    <w:p>
      <w:pPr>
        <w:spacing w:after="0" w:line="20" w:lineRule="exact"/>
        <w:rPr>
          <w:sz w:val="20"/>
          <w:szCs w:val="20"/>
          <w:color w:val="auto"/>
        </w:rPr>
      </w:pPr>
    </w:p>
    <w:p>
      <w:pPr>
        <w:ind w:left="1185" w:right="360" w:hanging="2351"/>
        <w:spacing w:after="0" w:line="273" w:lineRule="auto"/>
        <w:tabs>
          <w:tab w:leader="none" w:pos="1165" w:val="left"/>
        </w:tabs>
        <w:rPr>
          <w:sz w:val="20"/>
          <w:szCs w:val="20"/>
          <w:color w:val="auto"/>
        </w:rPr>
      </w:pPr>
      <w:r>
        <w:rPr>
          <w:rFonts w:ascii="Arial" w:cs="Arial" w:eastAsia="Arial" w:hAnsi="Arial"/>
          <w:sz w:val="17"/>
          <w:szCs w:val="17"/>
          <w:color w:val="404040"/>
        </w:rPr>
        <w:t>Final Value</w:t>
        <w:tab/>
        <w:t>Index Return Bearish A Knock-Out Event Has Not Occurred (1) A Knock-Out Event Has Occurred (1) Index</w:t>
      </w:r>
    </w:p>
    <w:p>
      <w:pPr>
        <w:spacing w:after="0" w:line="241" w:lineRule="exact"/>
        <w:rPr>
          <w:sz w:val="20"/>
          <w:szCs w:val="20"/>
          <w:color w:val="auto"/>
        </w:rPr>
      </w:pPr>
    </w:p>
    <w:p>
      <w:pPr>
        <w:ind w:left="2485"/>
        <w:spacing w:after="0"/>
        <w:rPr>
          <w:sz w:val="20"/>
          <w:szCs w:val="20"/>
          <w:color w:val="auto"/>
        </w:rPr>
      </w:pPr>
      <w:r>
        <w:rPr>
          <w:rFonts w:ascii="Arial" w:cs="Arial" w:eastAsia="Arial" w:hAnsi="Arial"/>
          <w:sz w:val="17"/>
          <w:szCs w:val="17"/>
          <w:color w:val="404040"/>
        </w:rPr>
        <w:t>Return</w:t>
      </w:r>
    </w:p>
    <w:p>
      <w:pPr>
        <w:spacing w:after="0" w:line="109" w:lineRule="exact"/>
        <w:rPr>
          <w:sz w:val="20"/>
          <w:szCs w:val="20"/>
          <w:color w:val="auto"/>
        </w:rPr>
      </w:pPr>
    </w:p>
    <w:tbl>
      <w:tblPr>
        <w:tblLayout w:type="fixed"/>
        <w:tblInd w:w="225" w:type="dxa"/>
        <w:tblCellMar>
          <w:top w:w="0" w:type="dxa"/>
          <w:left w:w="0" w:type="dxa"/>
          <w:bottom w:w="0" w:type="dxa"/>
          <w:right w:w="0" w:type="dxa"/>
        </w:tblCellMar>
      </w:tblPr>
      <w:tr>
        <w:trPr>
          <w:trHeight w:val="221"/>
        </w:trPr>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tcPr>
          <w:p>
            <w:pPr>
              <w:ind w:left="180"/>
              <w:spacing w:after="0"/>
              <w:rPr>
                <w:sz w:val="20"/>
                <w:szCs w:val="20"/>
                <w:color w:val="auto"/>
              </w:rPr>
            </w:pPr>
            <w:r>
              <w:rPr>
                <w:rFonts w:ascii="Arial" w:cs="Arial" w:eastAsia="Arial" w:hAnsi="Arial"/>
                <w:sz w:val="17"/>
                <w:szCs w:val="17"/>
                <w:color w:val="404040"/>
              </w:rPr>
              <w:t>Additional Amount</w:t>
            </w:r>
          </w:p>
        </w:tc>
        <w:tc>
          <w:tcPr>
            <w:tcW w:w="1760" w:type="dxa"/>
            <w:vAlign w:val="bottom"/>
          </w:tcPr>
          <w:p>
            <w:pPr>
              <w:ind w:left="120"/>
              <w:spacing w:after="0"/>
              <w:rPr>
                <w:sz w:val="20"/>
                <w:szCs w:val="20"/>
                <w:color w:val="auto"/>
              </w:rPr>
            </w:pPr>
            <w:r>
              <w:rPr>
                <w:rFonts w:ascii="Arial" w:cs="Arial" w:eastAsia="Arial" w:hAnsi="Arial"/>
                <w:sz w:val="17"/>
                <w:szCs w:val="17"/>
                <w:color w:val="404040"/>
              </w:rPr>
              <w:t>Payment at Maturity</w:t>
            </w:r>
          </w:p>
        </w:tc>
        <w:tc>
          <w:tcPr>
            <w:tcW w:w="1300" w:type="dxa"/>
            <w:vAlign w:val="bottom"/>
          </w:tcPr>
          <w:p>
            <w:pPr>
              <w:jc w:val="center"/>
              <w:ind w:right="157"/>
              <w:spacing w:after="0"/>
              <w:rPr>
                <w:sz w:val="20"/>
                <w:szCs w:val="20"/>
                <w:color w:val="auto"/>
              </w:rPr>
            </w:pPr>
            <w:r>
              <w:rPr>
                <w:rFonts w:ascii="Arial" w:cs="Arial" w:eastAsia="Arial" w:hAnsi="Arial"/>
                <w:sz w:val="17"/>
                <w:szCs w:val="17"/>
                <w:color w:val="404040"/>
                <w:w w:val="99"/>
              </w:rPr>
              <w:t>Additional</w:t>
            </w:r>
          </w:p>
        </w:tc>
        <w:tc>
          <w:tcPr>
            <w:tcW w:w="1240" w:type="dxa"/>
            <w:vAlign w:val="bottom"/>
          </w:tcPr>
          <w:p>
            <w:pPr>
              <w:jc w:val="right"/>
              <w:spacing w:after="0"/>
              <w:rPr>
                <w:sz w:val="20"/>
                <w:szCs w:val="20"/>
                <w:color w:val="auto"/>
              </w:rPr>
            </w:pPr>
            <w:r>
              <w:rPr>
                <w:rFonts w:ascii="Arial" w:cs="Arial" w:eastAsia="Arial" w:hAnsi="Arial"/>
                <w:sz w:val="17"/>
                <w:szCs w:val="17"/>
                <w:color w:val="404040"/>
              </w:rPr>
              <w:t>Payment at</w:t>
            </w:r>
          </w:p>
        </w:tc>
      </w:tr>
      <w:tr>
        <w:trPr>
          <w:trHeight w:val="238"/>
        </w:trPr>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404040"/>
              </w:rPr>
              <w:t>Amount</w:t>
            </w:r>
          </w:p>
        </w:tc>
        <w:tc>
          <w:tcPr>
            <w:tcW w:w="1240" w:type="dxa"/>
            <w:vAlign w:val="bottom"/>
          </w:tcPr>
          <w:p>
            <w:pPr>
              <w:jc w:val="right"/>
              <w:ind w:right="157"/>
              <w:spacing w:after="0"/>
              <w:rPr>
                <w:sz w:val="20"/>
                <w:szCs w:val="20"/>
                <w:color w:val="auto"/>
              </w:rPr>
            </w:pPr>
            <w:r>
              <w:rPr>
                <w:rFonts w:ascii="Arial" w:cs="Arial" w:eastAsia="Arial" w:hAnsi="Arial"/>
                <w:sz w:val="17"/>
                <w:szCs w:val="17"/>
                <w:color w:val="404040"/>
              </w:rPr>
              <w:t>Maturity</w:t>
            </w:r>
          </w:p>
        </w:tc>
      </w:tr>
      <w:tr>
        <w:trPr>
          <w:trHeight w:val="318"/>
        </w:trPr>
        <w:tc>
          <w:tcPr>
            <w:tcW w:w="720" w:type="dxa"/>
            <w:vAlign w:val="bottom"/>
          </w:tcPr>
          <w:p>
            <w:pPr>
              <w:spacing w:after="0"/>
              <w:rPr>
                <w:sz w:val="20"/>
                <w:szCs w:val="20"/>
                <w:color w:val="auto"/>
              </w:rPr>
            </w:pPr>
            <w:r>
              <w:rPr>
                <w:rFonts w:ascii="Arial" w:cs="Arial" w:eastAsia="Arial" w:hAnsi="Arial"/>
                <w:sz w:val="17"/>
                <w:szCs w:val="17"/>
                <w:color w:val="404040"/>
              </w:rPr>
              <w:t>180.00</w:t>
            </w:r>
          </w:p>
        </w:tc>
        <w:tc>
          <w:tcPr>
            <w:tcW w:w="1220" w:type="dxa"/>
            <w:vAlign w:val="bottom"/>
          </w:tcPr>
          <w:p>
            <w:pPr>
              <w:ind w:left="220"/>
              <w:spacing w:after="0"/>
              <w:rPr>
                <w:sz w:val="20"/>
                <w:szCs w:val="20"/>
                <w:color w:val="auto"/>
              </w:rPr>
            </w:pPr>
            <w:r>
              <w:rPr>
                <w:rFonts w:ascii="Arial" w:cs="Arial" w:eastAsia="Arial" w:hAnsi="Arial"/>
                <w:sz w:val="17"/>
                <w:szCs w:val="17"/>
                <w:color w:val="404040"/>
              </w:rPr>
              <w:t>80.00%</w:t>
            </w:r>
          </w:p>
        </w:tc>
        <w:tc>
          <w:tcPr>
            <w:tcW w:w="1120" w:type="dxa"/>
            <w:vAlign w:val="bottom"/>
          </w:tcPr>
          <w:p>
            <w:pPr>
              <w:ind w:left="300"/>
              <w:spacing w:after="0"/>
              <w:rPr>
                <w:sz w:val="20"/>
                <w:szCs w:val="20"/>
                <w:color w:val="auto"/>
              </w:rPr>
            </w:pPr>
            <w:r>
              <w:rPr>
                <w:rFonts w:ascii="Arial" w:cs="Arial" w:eastAsia="Arial" w:hAnsi="Arial"/>
                <w:sz w:val="17"/>
                <w:szCs w:val="17"/>
                <w:color w:val="404040"/>
              </w:rPr>
              <w:t>-80.00%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165.00</w:t>
            </w:r>
          </w:p>
        </w:tc>
        <w:tc>
          <w:tcPr>
            <w:tcW w:w="1220" w:type="dxa"/>
            <w:vAlign w:val="bottom"/>
          </w:tcPr>
          <w:p>
            <w:pPr>
              <w:ind w:left="220"/>
              <w:spacing w:after="0"/>
              <w:rPr>
                <w:sz w:val="20"/>
                <w:szCs w:val="20"/>
                <w:color w:val="auto"/>
              </w:rPr>
            </w:pPr>
            <w:r>
              <w:rPr>
                <w:rFonts w:ascii="Arial" w:cs="Arial" w:eastAsia="Arial" w:hAnsi="Arial"/>
                <w:sz w:val="17"/>
                <w:szCs w:val="17"/>
                <w:color w:val="404040"/>
              </w:rPr>
              <w:t>65.00%</w:t>
            </w:r>
          </w:p>
        </w:tc>
        <w:tc>
          <w:tcPr>
            <w:tcW w:w="1120" w:type="dxa"/>
            <w:vAlign w:val="bottom"/>
          </w:tcPr>
          <w:p>
            <w:pPr>
              <w:ind w:left="300"/>
              <w:spacing w:after="0"/>
              <w:rPr>
                <w:sz w:val="20"/>
                <w:szCs w:val="20"/>
                <w:color w:val="auto"/>
              </w:rPr>
            </w:pPr>
            <w:r>
              <w:rPr>
                <w:rFonts w:ascii="Arial" w:cs="Arial" w:eastAsia="Arial" w:hAnsi="Arial"/>
                <w:sz w:val="17"/>
                <w:szCs w:val="17"/>
                <w:color w:val="404040"/>
              </w:rPr>
              <w:t>-65.00%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150.00</w:t>
            </w:r>
          </w:p>
        </w:tc>
        <w:tc>
          <w:tcPr>
            <w:tcW w:w="1220" w:type="dxa"/>
            <w:vAlign w:val="bottom"/>
          </w:tcPr>
          <w:p>
            <w:pPr>
              <w:ind w:left="220"/>
              <w:spacing w:after="0"/>
              <w:rPr>
                <w:sz w:val="20"/>
                <w:szCs w:val="20"/>
                <w:color w:val="auto"/>
              </w:rPr>
            </w:pPr>
            <w:r>
              <w:rPr>
                <w:rFonts w:ascii="Arial" w:cs="Arial" w:eastAsia="Arial" w:hAnsi="Arial"/>
                <w:sz w:val="17"/>
                <w:szCs w:val="17"/>
                <w:color w:val="404040"/>
              </w:rPr>
              <w:t>50.00%</w:t>
            </w:r>
          </w:p>
        </w:tc>
        <w:tc>
          <w:tcPr>
            <w:tcW w:w="1120" w:type="dxa"/>
            <w:vAlign w:val="bottom"/>
          </w:tcPr>
          <w:p>
            <w:pPr>
              <w:ind w:left="300"/>
              <w:spacing w:after="0"/>
              <w:rPr>
                <w:sz w:val="20"/>
                <w:szCs w:val="20"/>
                <w:color w:val="auto"/>
              </w:rPr>
            </w:pPr>
            <w:r>
              <w:rPr>
                <w:rFonts w:ascii="Arial" w:cs="Arial" w:eastAsia="Arial" w:hAnsi="Arial"/>
                <w:sz w:val="17"/>
                <w:szCs w:val="17"/>
                <w:color w:val="404040"/>
              </w:rPr>
              <w:t>-50.00%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140.00</w:t>
            </w:r>
          </w:p>
        </w:tc>
        <w:tc>
          <w:tcPr>
            <w:tcW w:w="1220" w:type="dxa"/>
            <w:vAlign w:val="bottom"/>
          </w:tcPr>
          <w:p>
            <w:pPr>
              <w:ind w:left="220"/>
              <w:spacing w:after="0"/>
              <w:rPr>
                <w:sz w:val="20"/>
                <w:szCs w:val="20"/>
                <w:color w:val="auto"/>
              </w:rPr>
            </w:pPr>
            <w:r>
              <w:rPr>
                <w:rFonts w:ascii="Arial" w:cs="Arial" w:eastAsia="Arial" w:hAnsi="Arial"/>
                <w:sz w:val="17"/>
                <w:szCs w:val="17"/>
                <w:color w:val="404040"/>
              </w:rPr>
              <w:t>40.00%</w:t>
            </w:r>
          </w:p>
        </w:tc>
        <w:tc>
          <w:tcPr>
            <w:tcW w:w="1120" w:type="dxa"/>
            <w:vAlign w:val="bottom"/>
          </w:tcPr>
          <w:p>
            <w:pPr>
              <w:ind w:left="300"/>
              <w:spacing w:after="0"/>
              <w:rPr>
                <w:sz w:val="20"/>
                <w:szCs w:val="20"/>
                <w:color w:val="auto"/>
              </w:rPr>
            </w:pPr>
            <w:r>
              <w:rPr>
                <w:rFonts w:ascii="Arial" w:cs="Arial" w:eastAsia="Arial" w:hAnsi="Arial"/>
                <w:sz w:val="17"/>
                <w:szCs w:val="17"/>
                <w:color w:val="404040"/>
              </w:rPr>
              <w:t>-40.00%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130.00</w:t>
            </w:r>
          </w:p>
        </w:tc>
        <w:tc>
          <w:tcPr>
            <w:tcW w:w="1220" w:type="dxa"/>
            <w:vAlign w:val="bottom"/>
          </w:tcPr>
          <w:p>
            <w:pPr>
              <w:ind w:left="220"/>
              <w:spacing w:after="0"/>
              <w:rPr>
                <w:sz w:val="20"/>
                <w:szCs w:val="20"/>
                <w:color w:val="auto"/>
              </w:rPr>
            </w:pPr>
            <w:r>
              <w:rPr>
                <w:rFonts w:ascii="Arial" w:cs="Arial" w:eastAsia="Arial" w:hAnsi="Arial"/>
                <w:sz w:val="17"/>
                <w:szCs w:val="17"/>
                <w:color w:val="404040"/>
              </w:rPr>
              <w:t>30.00%</w:t>
            </w:r>
          </w:p>
        </w:tc>
        <w:tc>
          <w:tcPr>
            <w:tcW w:w="1120" w:type="dxa"/>
            <w:vAlign w:val="bottom"/>
          </w:tcPr>
          <w:p>
            <w:pPr>
              <w:ind w:left="300"/>
              <w:spacing w:after="0"/>
              <w:rPr>
                <w:sz w:val="20"/>
                <w:szCs w:val="20"/>
                <w:color w:val="auto"/>
              </w:rPr>
            </w:pPr>
            <w:r>
              <w:rPr>
                <w:rFonts w:ascii="Arial" w:cs="Arial" w:eastAsia="Arial" w:hAnsi="Arial"/>
                <w:sz w:val="17"/>
                <w:szCs w:val="17"/>
                <w:color w:val="404040"/>
              </w:rPr>
              <w:t>-30.00%</w:t>
            </w:r>
          </w:p>
        </w:tc>
        <w:tc>
          <w:tcPr>
            <w:tcW w:w="1640" w:type="dxa"/>
            <w:vAlign w:val="bottom"/>
          </w:tcPr>
          <w:p>
            <w:pPr>
              <w:ind w:left="36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120.00</w:t>
            </w:r>
          </w:p>
        </w:tc>
        <w:tc>
          <w:tcPr>
            <w:tcW w:w="1220" w:type="dxa"/>
            <w:vAlign w:val="bottom"/>
          </w:tcPr>
          <w:p>
            <w:pPr>
              <w:ind w:left="220"/>
              <w:spacing w:after="0"/>
              <w:rPr>
                <w:sz w:val="20"/>
                <w:szCs w:val="20"/>
                <w:color w:val="auto"/>
              </w:rPr>
            </w:pPr>
            <w:r>
              <w:rPr>
                <w:rFonts w:ascii="Arial" w:cs="Arial" w:eastAsia="Arial" w:hAnsi="Arial"/>
                <w:sz w:val="17"/>
                <w:szCs w:val="17"/>
                <w:color w:val="404040"/>
              </w:rPr>
              <w:t>20.00%</w:t>
            </w:r>
          </w:p>
        </w:tc>
        <w:tc>
          <w:tcPr>
            <w:tcW w:w="1120" w:type="dxa"/>
            <w:vAlign w:val="bottom"/>
          </w:tcPr>
          <w:p>
            <w:pPr>
              <w:ind w:left="300"/>
              <w:spacing w:after="0"/>
              <w:rPr>
                <w:sz w:val="20"/>
                <w:szCs w:val="20"/>
                <w:color w:val="auto"/>
              </w:rPr>
            </w:pPr>
            <w:r>
              <w:rPr>
                <w:rFonts w:ascii="Arial" w:cs="Arial" w:eastAsia="Arial" w:hAnsi="Arial"/>
                <w:sz w:val="17"/>
                <w:szCs w:val="17"/>
                <w:color w:val="404040"/>
              </w:rPr>
              <w:t>-20.00%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110.00</w:t>
            </w:r>
          </w:p>
        </w:tc>
        <w:tc>
          <w:tcPr>
            <w:tcW w:w="1220" w:type="dxa"/>
            <w:vAlign w:val="bottom"/>
          </w:tcPr>
          <w:p>
            <w:pPr>
              <w:ind w:left="220"/>
              <w:spacing w:after="0"/>
              <w:rPr>
                <w:sz w:val="20"/>
                <w:szCs w:val="20"/>
                <w:color w:val="auto"/>
              </w:rPr>
            </w:pPr>
            <w:r>
              <w:rPr>
                <w:rFonts w:ascii="Arial" w:cs="Arial" w:eastAsia="Arial" w:hAnsi="Arial"/>
                <w:sz w:val="17"/>
                <w:szCs w:val="17"/>
                <w:color w:val="404040"/>
              </w:rPr>
              <w:t>10.00%</w:t>
            </w:r>
          </w:p>
        </w:tc>
        <w:tc>
          <w:tcPr>
            <w:tcW w:w="1120" w:type="dxa"/>
            <w:vAlign w:val="bottom"/>
          </w:tcPr>
          <w:p>
            <w:pPr>
              <w:ind w:left="300"/>
              <w:spacing w:after="0"/>
              <w:rPr>
                <w:sz w:val="20"/>
                <w:szCs w:val="20"/>
                <w:color w:val="auto"/>
              </w:rPr>
            </w:pPr>
            <w:r>
              <w:rPr>
                <w:rFonts w:ascii="Arial" w:cs="Arial" w:eastAsia="Arial" w:hAnsi="Arial"/>
                <w:sz w:val="17"/>
                <w:szCs w:val="17"/>
                <w:color w:val="404040"/>
              </w:rPr>
              <w:t>-10.00%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105.00</w:t>
            </w:r>
          </w:p>
        </w:tc>
        <w:tc>
          <w:tcPr>
            <w:tcW w:w="1220" w:type="dxa"/>
            <w:vAlign w:val="bottom"/>
          </w:tcPr>
          <w:p>
            <w:pPr>
              <w:ind w:left="220"/>
              <w:spacing w:after="0"/>
              <w:rPr>
                <w:sz w:val="20"/>
                <w:szCs w:val="20"/>
                <w:color w:val="auto"/>
              </w:rPr>
            </w:pPr>
            <w:r>
              <w:rPr>
                <w:rFonts w:ascii="Arial" w:cs="Arial" w:eastAsia="Arial" w:hAnsi="Arial"/>
                <w:sz w:val="17"/>
                <w:szCs w:val="17"/>
                <w:color w:val="404040"/>
              </w:rPr>
              <w:t>5.00%</w:t>
            </w:r>
          </w:p>
        </w:tc>
        <w:tc>
          <w:tcPr>
            <w:tcW w:w="1120" w:type="dxa"/>
            <w:vAlign w:val="bottom"/>
          </w:tcPr>
          <w:p>
            <w:pPr>
              <w:ind w:left="300"/>
              <w:spacing w:after="0"/>
              <w:rPr>
                <w:sz w:val="20"/>
                <w:szCs w:val="20"/>
                <w:color w:val="auto"/>
              </w:rPr>
            </w:pPr>
            <w:r>
              <w:rPr>
                <w:rFonts w:ascii="Arial" w:cs="Arial" w:eastAsia="Arial" w:hAnsi="Arial"/>
                <w:sz w:val="17"/>
                <w:szCs w:val="17"/>
                <w:color w:val="404040"/>
              </w:rPr>
              <w:t>-5.00%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100.00</w:t>
            </w:r>
          </w:p>
        </w:tc>
        <w:tc>
          <w:tcPr>
            <w:tcW w:w="1220" w:type="dxa"/>
            <w:vAlign w:val="bottom"/>
          </w:tcPr>
          <w:p>
            <w:pPr>
              <w:ind w:left="220"/>
              <w:spacing w:after="0"/>
              <w:rPr>
                <w:sz w:val="20"/>
                <w:szCs w:val="20"/>
                <w:color w:val="auto"/>
              </w:rPr>
            </w:pPr>
            <w:r>
              <w:rPr>
                <w:rFonts w:ascii="Arial" w:cs="Arial" w:eastAsia="Arial" w:hAnsi="Arial"/>
                <w:sz w:val="17"/>
                <w:szCs w:val="17"/>
                <w:color w:val="404040"/>
              </w:rPr>
              <w:t>0.00%</w:t>
            </w:r>
          </w:p>
        </w:tc>
        <w:tc>
          <w:tcPr>
            <w:tcW w:w="1120" w:type="dxa"/>
            <w:vAlign w:val="bottom"/>
          </w:tcPr>
          <w:p>
            <w:pPr>
              <w:ind w:left="300"/>
              <w:spacing w:after="0"/>
              <w:rPr>
                <w:sz w:val="20"/>
                <w:szCs w:val="20"/>
                <w:color w:val="auto"/>
              </w:rPr>
            </w:pPr>
            <w:r>
              <w:rPr>
                <w:rFonts w:ascii="Arial" w:cs="Arial" w:eastAsia="Arial" w:hAnsi="Arial"/>
                <w:sz w:val="17"/>
                <w:szCs w:val="17"/>
                <w:color w:val="404040"/>
              </w:rPr>
              <w:t>0.00%</w:t>
            </w:r>
          </w:p>
        </w:tc>
        <w:tc>
          <w:tcPr>
            <w:tcW w:w="1640" w:type="dxa"/>
            <w:vAlign w:val="bottom"/>
          </w:tcPr>
          <w:p>
            <w:pPr>
              <w:ind w:left="400"/>
              <w:spacing w:after="0"/>
              <w:rPr>
                <w:sz w:val="20"/>
                <w:szCs w:val="20"/>
                <w:color w:val="auto"/>
              </w:rPr>
            </w:pPr>
            <w:r>
              <w:rPr>
                <w:rFonts w:ascii="Arial" w:cs="Arial" w:eastAsia="Arial" w:hAnsi="Arial"/>
                <w:sz w:val="17"/>
                <w:szCs w:val="17"/>
                <w:color w:val="404040"/>
              </w:rPr>
              <w:t>$0.00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99.00</w:t>
            </w:r>
          </w:p>
        </w:tc>
        <w:tc>
          <w:tcPr>
            <w:tcW w:w="1220" w:type="dxa"/>
            <w:vAlign w:val="bottom"/>
          </w:tcPr>
          <w:p>
            <w:pPr>
              <w:ind w:left="220"/>
              <w:spacing w:after="0"/>
              <w:rPr>
                <w:sz w:val="20"/>
                <w:szCs w:val="20"/>
                <w:color w:val="auto"/>
              </w:rPr>
            </w:pPr>
            <w:r>
              <w:rPr>
                <w:rFonts w:ascii="Arial" w:cs="Arial" w:eastAsia="Arial" w:hAnsi="Arial"/>
                <w:sz w:val="17"/>
                <w:szCs w:val="17"/>
                <w:color w:val="404040"/>
              </w:rPr>
              <w:t>-1.00%</w:t>
            </w:r>
          </w:p>
        </w:tc>
        <w:tc>
          <w:tcPr>
            <w:tcW w:w="1120" w:type="dxa"/>
            <w:vAlign w:val="bottom"/>
          </w:tcPr>
          <w:p>
            <w:pPr>
              <w:ind w:left="300"/>
              <w:spacing w:after="0"/>
              <w:rPr>
                <w:sz w:val="20"/>
                <w:szCs w:val="20"/>
                <w:color w:val="auto"/>
              </w:rPr>
            </w:pPr>
            <w:r>
              <w:rPr>
                <w:rFonts w:ascii="Arial" w:cs="Arial" w:eastAsia="Arial" w:hAnsi="Arial"/>
                <w:sz w:val="17"/>
                <w:szCs w:val="17"/>
                <w:color w:val="404040"/>
              </w:rPr>
              <w:t>1.00%</w:t>
            </w:r>
          </w:p>
        </w:tc>
        <w:tc>
          <w:tcPr>
            <w:tcW w:w="1640" w:type="dxa"/>
            <w:vAlign w:val="bottom"/>
          </w:tcPr>
          <w:p>
            <w:pPr>
              <w:ind w:left="400"/>
              <w:spacing w:after="0"/>
              <w:rPr>
                <w:sz w:val="20"/>
                <w:szCs w:val="20"/>
                <w:color w:val="auto"/>
              </w:rPr>
            </w:pPr>
            <w:r>
              <w:rPr>
                <w:rFonts w:ascii="Arial" w:cs="Arial" w:eastAsia="Arial" w:hAnsi="Arial"/>
                <w:sz w:val="17"/>
                <w:szCs w:val="17"/>
                <w:color w:val="404040"/>
              </w:rPr>
              <w:t>$10.00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$1,010.00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95.00</w:t>
            </w:r>
          </w:p>
        </w:tc>
        <w:tc>
          <w:tcPr>
            <w:tcW w:w="1220" w:type="dxa"/>
            <w:vAlign w:val="bottom"/>
          </w:tcPr>
          <w:p>
            <w:pPr>
              <w:ind w:left="220"/>
              <w:spacing w:after="0"/>
              <w:rPr>
                <w:sz w:val="20"/>
                <w:szCs w:val="20"/>
                <w:color w:val="auto"/>
              </w:rPr>
            </w:pPr>
            <w:r>
              <w:rPr>
                <w:rFonts w:ascii="Arial" w:cs="Arial" w:eastAsia="Arial" w:hAnsi="Arial"/>
                <w:sz w:val="17"/>
                <w:szCs w:val="17"/>
                <w:color w:val="404040"/>
              </w:rPr>
              <w:t>-5.00%</w:t>
            </w:r>
          </w:p>
        </w:tc>
        <w:tc>
          <w:tcPr>
            <w:tcW w:w="1120" w:type="dxa"/>
            <w:vAlign w:val="bottom"/>
          </w:tcPr>
          <w:p>
            <w:pPr>
              <w:ind w:left="300"/>
              <w:spacing w:after="0"/>
              <w:rPr>
                <w:sz w:val="20"/>
                <w:szCs w:val="20"/>
                <w:color w:val="auto"/>
              </w:rPr>
            </w:pPr>
            <w:r>
              <w:rPr>
                <w:rFonts w:ascii="Arial" w:cs="Arial" w:eastAsia="Arial" w:hAnsi="Arial"/>
                <w:sz w:val="17"/>
                <w:szCs w:val="17"/>
                <w:color w:val="404040"/>
              </w:rPr>
              <w:t>5.00%</w:t>
            </w:r>
          </w:p>
        </w:tc>
        <w:tc>
          <w:tcPr>
            <w:tcW w:w="1640" w:type="dxa"/>
            <w:vAlign w:val="bottom"/>
          </w:tcPr>
          <w:p>
            <w:pPr>
              <w:ind w:left="400"/>
              <w:spacing w:after="0"/>
              <w:rPr>
                <w:sz w:val="20"/>
                <w:szCs w:val="20"/>
                <w:color w:val="auto"/>
              </w:rPr>
            </w:pPr>
            <w:r>
              <w:rPr>
                <w:rFonts w:ascii="Arial" w:cs="Arial" w:eastAsia="Arial" w:hAnsi="Arial"/>
                <w:sz w:val="17"/>
                <w:szCs w:val="17"/>
                <w:color w:val="404040"/>
              </w:rPr>
              <w:t>$50.00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$1,050.00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90.00</w:t>
            </w:r>
          </w:p>
        </w:tc>
        <w:tc>
          <w:tcPr>
            <w:tcW w:w="1220" w:type="dxa"/>
            <w:vAlign w:val="bottom"/>
          </w:tcPr>
          <w:p>
            <w:pPr>
              <w:ind w:left="220"/>
              <w:spacing w:after="0"/>
              <w:rPr>
                <w:sz w:val="20"/>
                <w:szCs w:val="20"/>
                <w:color w:val="auto"/>
              </w:rPr>
            </w:pPr>
            <w:r>
              <w:rPr>
                <w:rFonts w:ascii="Arial" w:cs="Arial" w:eastAsia="Arial" w:hAnsi="Arial"/>
                <w:sz w:val="17"/>
                <w:szCs w:val="17"/>
                <w:color w:val="404040"/>
              </w:rPr>
              <w:t>-10.00%</w:t>
            </w:r>
          </w:p>
        </w:tc>
        <w:tc>
          <w:tcPr>
            <w:tcW w:w="1120" w:type="dxa"/>
            <w:vAlign w:val="bottom"/>
          </w:tcPr>
          <w:p>
            <w:pPr>
              <w:ind w:left="300"/>
              <w:spacing w:after="0"/>
              <w:rPr>
                <w:sz w:val="20"/>
                <w:szCs w:val="20"/>
                <w:color w:val="auto"/>
              </w:rPr>
            </w:pPr>
            <w:r>
              <w:rPr>
                <w:rFonts w:ascii="Arial" w:cs="Arial" w:eastAsia="Arial" w:hAnsi="Arial"/>
                <w:sz w:val="17"/>
                <w:szCs w:val="17"/>
                <w:color w:val="404040"/>
              </w:rPr>
              <w:t>10.00%</w:t>
            </w:r>
          </w:p>
        </w:tc>
        <w:tc>
          <w:tcPr>
            <w:tcW w:w="1640" w:type="dxa"/>
            <w:vAlign w:val="bottom"/>
          </w:tcPr>
          <w:p>
            <w:pPr>
              <w:ind w:left="400"/>
              <w:spacing w:after="0"/>
              <w:rPr>
                <w:sz w:val="20"/>
                <w:szCs w:val="20"/>
                <w:color w:val="auto"/>
              </w:rPr>
            </w:pPr>
            <w:r>
              <w:rPr>
                <w:rFonts w:ascii="Arial" w:cs="Arial" w:eastAsia="Arial" w:hAnsi="Arial"/>
                <w:sz w:val="17"/>
                <w:szCs w:val="17"/>
                <w:color w:val="404040"/>
              </w:rPr>
              <w:t>$100.00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$1,100.00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80.00</w:t>
            </w:r>
          </w:p>
        </w:tc>
        <w:tc>
          <w:tcPr>
            <w:tcW w:w="1220" w:type="dxa"/>
            <w:vAlign w:val="bottom"/>
          </w:tcPr>
          <w:p>
            <w:pPr>
              <w:ind w:left="220"/>
              <w:spacing w:after="0"/>
              <w:rPr>
                <w:sz w:val="20"/>
                <w:szCs w:val="20"/>
                <w:color w:val="auto"/>
              </w:rPr>
            </w:pPr>
            <w:r>
              <w:rPr>
                <w:rFonts w:ascii="Arial" w:cs="Arial" w:eastAsia="Arial" w:hAnsi="Arial"/>
                <w:sz w:val="17"/>
                <w:szCs w:val="17"/>
                <w:color w:val="404040"/>
              </w:rPr>
              <w:t>-20.00%</w:t>
            </w:r>
          </w:p>
        </w:tc>
        <w:tc>
          <w:tcPr>
            <w:tcW w:w="1120" w:type="dxa"/>
            <w:vAlign w:val="bottom"/>
          </w:tcPr>
          <w:p>
            <w:pPr>
              <w:ind w:left="300"/>
              <w:spacing w:after="0"/>
              <w:rPr>
                <w:sz w:val="20"/>
                <w:szCs w:val="20"/>
                <w:color w:val="auto"/>
              </w:rPr>
            </w:pPr>
            <w:r>
              <w:rPr>
                <w:rFonts w:ascii="Arial" w:cs="Arial" w:eastAsia="Arial" w:hAnsi="Arial"/>
                <w:sz w:val="17"/>
                <w:szCs w:val="17"/>
                <w:color w:val="404040"/>
              </w:rPr>
              <w:t>20.00%</w:t>
            </w:r>
          </w:p>
        </w:tc>
        <w:tc>
          <w:tcPr>
            <w:tcW w:w="1640" w:type="dxa"/>
            <w:vAlign w:val="bottom"/>
          </w:tcPr>
          <w:p>
            <w:pPr>
              <w:ind w:left="400"/>
              <w:spacing w:after="0"/>
              <w:rPr>
                <w:sz w:val="20"/>
                <w:szCs w:val="20"/>
                <w:color w:val="auto"/>
              </w:rPr>
            </w:pPr>
            <w:r>
              <w:rPr>
                <w:rFonts w:ascii="Arial" w:cs="Arial" w:eastAsia="Arial" w:hAnsi="Arial"/>
                <w:sz w:val="17"/>
                <w:szCs w:val="17"/>
                <w:color w:val="404040"/>
              </w:rPr>
              <w:t>$200.00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$1,200.00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70.00</w:t>
            </w:r>
          </w:p>
        </w:tc>
        <w:tc>
          <w:tcPr>
            <w:tcW w:w="1220" w:type="dxa"/>
            <w:vAlign w:val="bottom"/>
          </w:tcPr>
          <w:p>
            <w:pPr>
              <w:ind w:left="220"/>
              <w:spacing w:after="0"/>
              <w:rPr>
                <w:sz w:val="20"/>
                <w:szCs w:val="20"/>
                <w:color w:val="auto"/>
              </w:rPr>
            </w:pPr>
            <w:r>
              <w:rPr>
                <w:rFonts w:ascii="Arial" w:cs="Arial" w:eastAsia="Arial" w:hAnsi="Arial"/>
                <w:sz w:val="17"/>
                <w:szCs w:val="17"/>
                <w:color w:val="404040"/>
              </w:rPr>
              <w:t>-30.00%</w:t>
            </w:r>
          </w:p>
        </w:tc>
        <w:tc>
          <w:tcPr>
            <w:tcW w:w="1120" w:type="dxa"/>
            <w:vAlign w:val="bottom"/>
          </w:tcPr>
          <w:p>
            <w:pPr>
              <w:ind w:left="300"/>
              <w:spacing w:after="0"/>
              <w:rPr>
                <w:sz w:val="20"/>
                <w:szCs w:val="20"/>
                <w:color w:val="auto"/>
              </w:rPr>
            </w:pPr>
            <w:r>
              <w:rPr>
                <w:rFonts w:ascii="Arial" w:cs="Arial" w:eastAsia="Arial" w:hAnsi="Arial"/>
                <w:sz w:val="17"/>
                <w:szCs w:val="17"/>
                <w:color w:val="404040"/>
              </w:rPr>
              <w:t>30.00%</w:t>
            </w:r>
          </w:p>
        </w:tc>
        <w:tc>
          <w:tcPr>
            <w:tcW w:w="1640" w:type="dxa"/>
            <w:vAlign w:val="bottom"/>
          </w:tcPr>
          <w:p>
            <w:pPr>
              <w:ind w:left="400"/>
              <w:spacing w:after="0"/>
              <w:rPr>
                <w:sz w:val="20"/>
                <w:szCs w:val="20"/>
                <w:color w:val="auto"/>
              </w:rPr>
            </w:pPr>
            <w:r>
              <w:rPr>
                <w:rFonts w:ascii="Arial" w:cs="Arial" w:eastAsia="Arial" w:hAnsi="Arial"/>
                <w:sz w:val="17"/>
                <w:szCs w:val="17"/>
                <w:color w:val="404040"/>
              </w:rPr>
              <w:t>$300.00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$1,300.00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60.00</w:t>
            </w:r>
          </w:p>
        </w:tc>
        <w:tc>
          <w:tcPr>
            <w:tcW w:w="1220" w:type="dxa"/>
            <w:vAlign w:val="bottom"/>
          </w:tcPr>
          <w:p>
            <w:pPr>
              <w:ind w:left="220"/>
              <w:spacing w:after="0"/>
              <w:rPr>
                <w:sz w:val="20"/>
                <w:szCs w:val="20"/>
                <w:color w:val="auto"/>
              </w:rPr>
            </w:pPr>
            <w:r>
              <w:rPr>
                <w:rFonts w:ascii="Arial" w:cs="Arial" w:eastAsia="Arial" w:hAnsi="Arial"/>
                <w:sz w:val="17"/>
                <w:szCs w:val="17"/>
                <w:color w:val="404040"/>
              </w:rPr>
              <w:t>-40.00%</w:t>
            </w:r>
          </w:p>
        </w:tc>
        <w:tc>
          <w:tcPr>
            <w:tcW w:w="1120" w:type="dxa"/>
            <w:vAlign w:val="bottom"/>
          </w:tcPr>
          <w:p>
            <w:pPr>
              <w:ind w:left="300"/>
              <w:spacing w:after="0"/>
              <w:rPr>
                <w:sz w:val="20"/>
                <w:szCs w:val="20"/>
                <w:color w:val="auto"/>
              </w:rPr>
            </w:pPr>
            <w:r>
              <w:rPr>
                <w:rFonts w:ascii="Arial" w:cs="Arial" w:eastAsia="Arial" w:hAnsi="Arial"/>
                <w:sz w:val="17"/>
                <w:szCs w:val="17"/>
                <w:color w:val="404040"/>
              </w:rPr>
              <w:t>40.00%</w:t>
            </w:r>
          </w:p>
        </w:tc>
        <w:tc>
          <w:tcPr>
            <w:tcW w:w="1640" w:type="dxa"/>
            <w:vAlign w:val="bottom"/>
          </w:tcPr>
          <w:p>
            <w:pPr>
              <w:ind w:left="400"/>
              <w:spacing w:after="0"/>
              <w:rPr>
                <w:sz w:val="20"/>
                <w:szCs w:val="20"/>
                <w:color w:val="auto"/>
              </w:rPr>
            </w:pPr>
            <w:r>
              <w:rPr>
                <w:rFonts w:ascii="Arial" w:cs="Arial" w:eastAsia="Arial" w:hAnsi="Arial"/>
                <w:sz w:val="17"/>
                <w:szCs w:val="17"/>
                <w:color w:val="404040"/>
              </w:rPr>
              <w:t>$400.00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$1,400.00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50.00</w:t>
            </w:r>
          </w:p>
        </w:tc>
        <w:tc>
          <w:tcPr>
            <w:tcW w:w="1220" w:type="dxa"/>
            <w:vAlign w:val="bottom"/>
          </w:tcPr>
          <w:p>
            <w:pPr>
              <w:ind w:left="220"/>
              <w:spacing w:after="0"/>
              <w:rPr>
                <w:sz w:val="20"/>
                <w:szCs w:val="20"/>
                <w:color w:val="auto"/>
              </w:rPr>
            </w:pPr>
            <w:r>
              <w:rPr>
                <w:rFonts w:ascii="Arial" w:cs="Arial" w:eastAsia="Arial" w:hAnsi="Arial"/>
                <w:sz w:val="17"/>
                <w:szCs w:val="17"/>
                <w:color w:val="404040"/>
              </w:rPr>
              <w:t>-50.00%</w:t>
            </w:r>
          </w:p>
        </w:tc>
        <w:tc>
          <w:tcPr>
            <w:tcW w:w="1120" w:type="dxa"/>
            <w:vAlign w:val="bottom"/>
          </w:tcPr>
          <w:p>
            <w:pPr>
              <w:ind w:left="300"/>
              <w:spacing w:after="0"/>
              <w:rPr>
                <w:sz w:val="20"/>
                <w:szCs w:val="20"/>
                <w:color w:val="auto"/>
              </w:rPr>
            </w:pPr>
            <w:r>
              <w:rPr>
                <w:rFonts w:ascii="Arial" w:cs="Arial" w:eastAsia="Arial" w:hAnsi="Arial"/>
                <w:sz w:val="17"/>
                <w:szCs w:val="17"/>
                <w:color w:val="404040"/>
              </w:rPr>
              <w:t>50.00%</w:t>
            </w:r>
          </w:p>
        </w:tc>
        <w:tc>
          <w:tcPr>
            <w:tcW w:w="1640" w:type="dxa"/>
            <w:vAlign w:val="bottom"/>
          </w:tcPr>
          <w:p>
            <w:pPr>
              <w:ind w:left="400"/>
              <w:spacing w:after="0"/>
              <w:rPr>
                <w:sz w:val="20"/>
                <w:szCs w:val="20"/>
                <w:color w:val="auto"/>
              </w:rPr>
            </w:pPr>
            <w:r>
              <w:rPr>
                <w:rFonts w:ascii="Arial" w:cs="Arial" w:eastAsia="Arial" w:hAnsi="Arial"/>
                <w:sz w:val="17"/>
                <w:szCs w:val="17"/>
                <w:color w:val="404040"/>
              </w:rPr>
              <w:t>$500.00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$1,500.00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40.00</w:t>
            </w:r>
          </w:p>
        </w:tc>
        <w:tc>
          <w:tcPr>
            <w:tcW w:w="1220" w:type="dxa"/>
            <w:vAlign w:val="bottom"/>
          </w:tcPr>
          <w:p>
            <w:pPr>
              <w:ind w:left="220"/>
              <w:spacing w:after="0"/>
              <w:rPr>
                <w:sz w:val="20"/>
                <w:szCs w:val="20"/>
                <w:color w:val="auto"/>
              </w:rPr>
            </w:pPr>
            <w:r>
              <w:rPr>
                <w:rFonts w:ascii="Arial" w:cs="Arial" w:eastAsia="Arial" w:hAnsi="Arial"/>
                <w:sz w:val="17"/>
                <w:szCs w:val="17"/>
                <w:color w:val="404040"/>
              </w:rPr>
              <w:t>-60.00%</w:t>
            </w:r>
          </w:p>
        </w:tc>
        <w:tc>
          <w:tcPr>
            <w:tcW w:w="1120" w:type="dxa"/>
            <w:vAlign w:val="bottom"/>
          </w:tcPr>
          <w:p>
            <w:pPr>
              <w:ind w:left="300"/>
              <w:spacing w:after="0"/>
              <w:rPr>
                <w:sz w:val="20"/>
                <w:szCs w:val="20"/>
                <w:color w:val="auto"/>
              </w:rPr>
            </w:pPr>
            <w:r>
              <w:rPr>
                <w:rFonts w:ascii="Arial" w:cs="Arial" w:eastAsia="Arial" w:hAnsi="Arial"/>
                <w:sz w:val="17"/>
                <w:szCs w:val="17"/>
                <w:color w:val="404040"/>
              </w:rPr>
              <w:t>60.00%</w:t>
            </w:r>
          </w:p>
        </w:tc>
        <w:tc>
          <w:tcPr>
            <w:tcW w:w="1640" w:type="dxa"/>
            <w:vAlign w:val="bottom"/>
          </w:tcPr>
          <w:p>
            <w:pPr>
              <w:ind w:left="400"/>
              <w:spacing w:after="0"/>
              <w:rPr>
                <w:sz w:val="20"/>
                <w:szCs w:val="20"/>
                <w:color w:val="auto"/>
              </w:rPr>
            </w:pPr>
            <w:r>
              <w:rPr>
                <w:rFonts w:ascii="Arial" w:cs="Arial" w:eastAsia="Arial" w:hAnsi="Arial"/>
                <w:sz w:val="17"/>
                <w:szCs w:val="17"/>
                <w:color w:val="404040"/>
              </w:rPr>
              <w:t>$600.00</w:t>
            </w:r>
          </w:p>
        </w:tc>
        <w:tc>
          <w:tcPr>
            <w:tcW w:w="1760" w:type="dxa"/>
            <w:vAlign w:val="bottom"/>
          </w:tcPr>
          <w:p>
            <w:pPr>
              <w:ind w:left="140"/>
              <w:spacing w:after="0"/>
              <w:rPr>
                <w:sz w:val="20"/>
                <w:szCs w:val="20"/>
                <w:color w:val="auto"/>
              </w:rPr>
            </w:pPr>
            <w:r>
              <w:rPr>
                <w:rFonts w:ascii="Arial" w:cs="Arial" w:eastAsia="Arial" w:hAnsi="Arial"/>
                <w:sz w:val="17"/>
                <w:szCs w:val="17"/>
                <w:color w:val="404040"/>
              </w:rPr>
              <w:t>$1,600.00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33.00</w:t>
            </w:r>
          </w:p>
        </w:tc>
        <w:tc>
          <w:tcPr>
            <w:tcW w:w="1220" w:type="dxa"/>
            <w:vAlign w:val="bottom"/>
          </w:tcPr>
          <w:p>
            <w:pPr>
              <w:ind w:left="220"/>
              <w:spacing w:after="0"/>
              <w:rPr>
                <w:sz w:val="20"/>
                <w:szCs w:val="20"/>
                <w:color w:val="auto"/>
              </w:rPr>
            </w:pPr>
            <w:r>
              <w:rPr>
                <w:rFonts w:ascii="Arial" w:cs="Arial" w:eastAsia="Arial" w:hAnsi="Arial"/>
                <w:sz w:val="17"/>
                <w:szCs w:val="17"/>
                <w:color w:val="404040"/>
              </w:rPr>
              <w:t>-67.00%</w:t>
            </w:r>
          </w:p>
        </w:tc>
        <w:tc>
          <w:tcPr>
            <w:tcW w:w="1120" w:type="dxa"/>
            <w:vAlign w:val="bottom"/>
          </w:tcPr>
          <w:p>
            <w:pPr>
              <w:ind w:left="300"/>
              <w:spacing w:after="0"/>
              <w:rPr>
                <w:sz w:val="20"/>
                <w:szCs w:val="20"/>
                <w:color w:val="auto"/>
              </w:rPr>
            </w:pPr>
            <w:r>
              <w:rPr>
                <w:rFonts w:ascii="Arial" w:cs="Arial" w:eastAsia="Arial" w:hAnsi="Arial"/>
                <w:sz w:val="17"/>
                <w:szCs w:val="17"/>
                <w:color w:val="404040"/>
              </w:rPr>
              <w:t>67.00%</w:t>
            </w:r>
          </w:p>
        </w:tc>
        <w:tc>
          <w:tcPr>
            <w:tcW w:w="1640" w:type="dxa"/>
            <w:vAlign w:val="bottom"/>
          </w:tcPr>
          <w:p>
            <w:pPr>
              <w:ind w:left="400"/>
              <w:spacing w:after="0"/>
              <w:rPr>
                <w:sz w:val="20"/>
                <w:szCs w:val="20"/>
                <w:color w:val="auto"/>
              </w:rPr>
            </w:pPr>
            <w:r>
              <w:rPr>
                <w:rFonts w:ascii="Arial" w:cs="Arial" w:eastAsia="Arial" w:hAnsi="Arial"/>
                <w:sz w:val="17"/>
                <w:szCs w:val="17"/>
                <w:color w:val="404040"/>
              </w:rPr>
              <w:t>$670.00</w:t>
            </w:r>
          </w:p>
        </w:tc>
        <w:tc>
          <w:tcPr>
            <w:tcW w:w="1760" w:type="dxa"/>
            <w:vAlign w:val="bottom"/>
          </w:tcPr>
          <w:p>
            <w:pPr>
              <w:ind w:left="120"/>
              <w:spacing w:after="0"/>
              <w:rPr>
                <w:sz w:val="20"/>
                <w:szCs w:val="20"/>
                <w:color w:val="auto"/>
              </w:rPr>
            </w:pPr>
            <w:r>
              <w:rPr>
                <w:rFonts w:ascii="Arial" w:cs="Arial" w:eastAsia="Arial" w:hAnsi="Arial"/>
                <w:sz w:val="17"/>
                <w:szCs w:val="17"/>
                <w:color w:val="404040"/>
              </w:rPr>
              <w:t>$1,670.00</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30.00</w:t>
            </w:r>
          </w:p>
        </w:tc>
        <w:tc>
          <w:tcPr>
            <w:tcW w:w="1220" w:type="dxa"/>
            <w:vAlign w:val="bottom"/>
          </w:tcPr>
          <w:p>
            <w:pPr>
              <w:ind w:left="220"/>
              <w:spacing w:after="0"/>
              <w:rPr>
                <w:sz w:val="20"/>
                <w:szCs w:val="20"/>
                <w:color w:val="auto"/>
              </w:rPr>
            </w:pPr>
            <w:r>
              <w:rPr>
                <w:rFonts w:ascii="Arial" w:cs="Arial" w:eastAsia="Arial" w:hAnsi="Arial"/>
                <w:sz w:val="17"/>
                <w:szCs w:val="17"/>
                <w:color w:val="404040"/>
              </w:rPr>
              <w:t>-70.00%</w:t>
            </w:r>
          </w:p>
        </w:tc>
        <w:tc>
          <w:tcPr>
            <w:tcW w:w="1120" w:type="dxa"/>
            <w:vAlign w:val="bottom"/>
          </w:tcPr>
          <w:p>
            <w:pPr>
              <w:ind w:left="300"/>
              <w:spacing w:after="0"/>
              <w:rPr>
                <w:sz w:val="20"/>
                <w:szCs w:val="20"/>
                <w:color w:val="auto"/>
              </w:rPr>
            </w:pPr>
            <w:r>
              <w:rPr>
                <w:rFonts w:ascii="Arial" w:cs="Arial" w:eastAsia="Arial" w:hAnsi="Arial"/>
                <w:sz w:val="17"/>
                <w:szCs w:val="17"/>
                <w:color w:val="404040"/>
              </w:rPr>
              <w:t>70.00%</w:t>
            </w:r>
          </w:p>
        </w:tc>
        <w:tc>
          <w:tcPr>
            <w:tcW w:w="1640" w:type="dxa"/>
            <w:vAlign w:val="bottom"/>
          </w:tcPr>
          <w:p>
            <w:pPr>
              <w:ind w:left="400"/>
              <w:spacing w:after="0"/>
              <w:rPr>
                <w:sz w:val="20"/>
                <w:szCs w:val="20"/>
                <w:color w:val="auto"/>
              </w:rPr>
            </w:pPr>
            <w:r>
              <w:rPr>
                <w:rFonts w:ascii="Arial" w:cs="Arial" w:eastAsia="Arial" w:hAnsi="Arial"/>
                <w:sz w:val="17"/>
                <w:szCs w:val="17"/>
                <w:color w:val="404040"/>
              </w:rPr>
              <w:t>N/A</w:t>
            </w:r>
          </w:p>
        </w:tc>
        <w:tc>
          <w:tcPr>
            <w:tcW w:w="1760" w:type="dxa"/>
            <w:vAlign w:val="bottom"/>
          </w:tcPr>
          <w:p>
            <w:pPr>
              <w:ind w:left="140"/>
              <w:spacing w:after="0"/>
              <w:rPr>
                <w:sz w:val="20"/>
                <w:szCs w:val="20"/>
                <w:color w:val="auto"/>
              </w:rPr>
            </w:pPr>
            <w:r>
              <w:rPr>
                <w:rFonts w:ascii="Arial" w:cs="Arial" w:eastAsia="Arial" w:hAnsi="Arial"/>
                <w:sz w:val="17"/>
                <w:szCs w:val="17"/>
                <w:color w:val="404040"/>
              </w:rPr>
              <w:t>N/A</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65"/>
        </w:trPr>
        <w:tc>
          <w:tcPr>
            <w:tcW w:w="720" w:type="dxa"/>
            <w:vAlign w:val="bottom"/>
          </w:tcPr>
          <w:p>
            <w:pPr>
              <w:spacing w:after="0"/>
              <w:rPr>
                <w:sz w:val="20"/>
                <w:szCs w:val="20"/>
                <w:color w:val="auto"/>
              </w:rPr>
            </w:pPr>
            <w:r>
              <w:rPr>
                <w:rFonts w:ascii="Arial" w:cs="Arial" w:eastAsia="Arial" w:hAnsi="Arial"/>
                <w:sz w:val="17"/>
                <w:szCs w:val="17"/>
                <w:color w:val="404040"/>
              </w:rPr>
              <w:t>20.00</w:t>
            </w:r>
          </w:p>
        </w:tc>
        <w:tc>
          <w:tcPr>
            <w:tcW w:w="1220" w:type="dxa"/>
            <w:vAlign w:val="bottom"/>
          </w:tcPr>
          <w:p>
            <w:pPr>
              <w:ind w:left="220"/>
              <w:spacing w:after="0"/>
              <w:rPr>
                <w:sz w:val="20"/>
                <w:szCs w:val="20"/>
                <w:color w:val="auto"/>
              </w:rPr>
            </w:pPr>
            <w:r>
              <w:rPr>
                <w:rFonts w:ascii="Arial" w:cs="Arial" w:eastAsia="Arial" w:hAnsi="Arial"/>
                <w:sz w:val="17"/>
                <w:szCs w:val="17"/>
                <w:color w:val="404040"/>
              </w:rPr>
              <w:t>-80.00%</w:t>
            </w:r>
          </w:p>
        </w:tc>
        <w:tc>
          <w:tcPr>
            <w:tcW w:w="1120" w:type="dxa"/>
            <w:vAlign w:val="bottom"/>
          </w:tcPr>
          <w:p>
            <w:pPr>
              <w:ind w:left="300"/>
              <w:spacing w:after="0"/>
              <w:rPr>
                <w:sz w:val="20"/>
                <w:szCs w:val="20"/>
                <w:color w:val="auto"/>
              </w:rPr>
            </w:pPr>
            <w:r>
              <w:rPr>
                <w:rFonts w:ascii="Arial" w:cs="Arial" w:eastAsia="Arial" w:hAnsi="Arial"/>
                <w:sz w:val="17"/>
                <w:szCs w:val="17"/>
                <w:color w:val="404040"/>
              </w:rPr>
              <w:t>80.00%</w:t>
            </w:r>
          </w:p>
        </w:tc>
        <w:tc>
          <w:tcPr>
            <w:tcW w:w="1640" w:type="dxa"/>
            <w:vAlign w:val="bottom"/>
          </w:tcPr>
          <w:p>
            <w:pPr>
              <w:ind w:left="400"/>
              <w:spacing w:after="0"/>
              <w:rPr>
                <w:sz w:val="20"/>
                <w:szCs w:val="20"/>
                <w:color w:val="auto"/>
              </w:rPr>
            </w:pPr>
            <w:r>
              <w:rPr>
                <w:rFonts w:ascii="Arial" w:cs="Arial" w:eastAsia="Arial" w:hAnsi="Arial"/>
                <w:sz w:val="17"/>
                <w:szCs w:val="17"/>
                <w:color w:val="404040"/>
              </w:rPr>
              <w:t>N/A</w:t>
            </w:r>
          </w:p>
        </w:tc>
        <w:tc>
          <w:tcPr>
            <w:tcW w:w="1760" w:type="dxa"/>
            <w:vAlign w:val="bottom"/>
          </w:tcPr>
          <w:p>
            <w:pPr>
              <w:ind w:left="140"/>
              <w:spacing w:after="0"/>
              <w:rPr>
                <w:sz w:val="20"/>
                <w:szCs w:val="20"/>
                <w:color w:val="auto"/>
              </w:rPr>
            </w:pPr>
            <w:r>
              <w:rPr>
                <w:rFonts w:ascii="Arial" w:cs="Arial" w:eastAsia="Arial" w:hAnsi="Arial"/>
                <w:sz w:val="17"/>
                <w:szCs w:val="17"/>
                <w:color w:val="404040"/>
              </w:rPr>
              <w:t>N/A</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51"/>
        </w:trPr>
        <w:tc>
          <w:tcPr>
            <w:tcW w:w="720" w:type="dxa"/>
            <w:vAlign w:val="bottom"/>
          </w:tcPr>
          <w:p>
            <w:pPr>
              <w:spacing w:after="0"/>
              <w:rPr>
                <w:sz w:val="20"/>
                <w:szCs w:val="20"/>
                <w:color w:val="auto"/>
              </w:rPr>
            </w:pPr>
            <w:r>
              <w:rPr>
                <w:rFonts w:ascii="Arial" w:cs="Arial" w:eastAsia="Arial" w:hAnsi="Arial"/>
                <w:sz w:val="17"/>
                <w:szCs w:val="17"/>
                <w:color w:val="404040"/>
              </w:rPr>
              <w:t>10.00</w:t>
            </w:r>
          </w:p>
        </w:tc>
        <w:tc>
          <w:tcPr>
            <w:tcW w:w="1220" w:type="dxa"/>
            <w:vAlign w:val="bottom"/>
          </w:tcPr>
          <w:p>
            <w:pPr>
              <w:ind w:left="220"/>
              <w:spacing w:after="0"/>
              <w:rPr>
                <w:sz w:val="20"/>
                <w:szCs w:val="20"/>
                <w:color w:val="auto"/>
              </w:rPr>
            </w:pPr>
            <w:r>
              <w:rPr>
                <w:rFonts w:ascii="Arial" w:cs="Arial" w:eastAsia="Arial" w:hAnsi="Arial"/>
                <w:sz w:val="17"/>
                <w:szCs w:val="17"/>
                <w:color w:val="404040"/>
              </w:rPr>
              <w:t>-90.00%</w:t>
            </w:r>
          </w:p>
        </w:tc>
        <w:tc>
          <w:tcPr>
            <w:tcW w:w="1120" w:type="dxa"/>
            <w:vAlign w:val="bottom"/>
          </w:tcPr>
          <w:p>
            <w:pPr>
              <w:ind w:left="300"/>
              <w:spacing w:after="0"/>
              <w:rPr>
                <w:sz w:val="20"/>
                <w:szCs w:val="20"/>
                <w:color w:val="auto"/>
              </w:rPr>
            </w:pPr>
            <w:r>
              <w:rPr>
                <w:rFonts w:ascii="Arial" w:cs="Arial" w:eastAsia="Arial" w:hAnsi="Arial"/>
                <w:sz w:val="17"/>
                <w:szCs w:val="17"/>
                <w:color w:val="404040"/>
              </w:rPr>
              <w:t>90.00%</w:t>
            </w:r>
          </w:p>
        </w:tc>
        <w:tc>
          <w:tcPr>
            <w:tcW w:w="1640" w:type="dxa"/>
            <w:vAlign w:val="bottom"/>
          </w:tcPr>
          <w:p>
            <w:pPr>
              <w:ind w:left="400"/>
              <w:spacing w:after="0"/>
              <w:rPr>
                <w:sz w:val="20"/>
                <w:szCs w:val="20"/>
                <w:color w:val="auto"/>
              </w:rPr>
            </w:pPr>
            <w:r>
              <w:rPr>
                <w:rFonts w:ascii="Arial" w:cs="Arial" w:eastAsia="Arial" w:hAnsi="Arial"/>
                <w:sz w:val="17"/>
                <w:szCs w:val="17"/>
                <w:color w:val="404040"/>
              </w:rPr>
              <w:t>N/A</w:t>
            </w:r>
          </w:p>
        </w:tc>
        <w:tc>
          <w:tcPr>
            <w:tcW w:w="1760" w:type="dxa"/>
            <w:vAlign w:val="bottom"/>
          </w:tcPr>
          <w:p>
            <w:pPr>
              <w:ind w:left="140"/>
              <w:spacing w:after="0"/>
              <w:rPr>
                <w:sz w:val="20"/>
                <w:szCs w:val="20"/>
                <w:color w:val="auto"/>
              </w:rPr>
            </w:pPr>
            <w:r>
              <w:rPr>
                <w:rFonts w:ascii="Arial" w:cs="Arial" w:eastAsia="Arial" w:hAnsi="Arial"/>
                <w:sz w:val="17"/>
                <w:szCs w:val="17"/>
                <w:color w:val="404040"/>
              </w:rPr>
              <w:t>N/A</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r>
        <w:trPr>
          <w:trHeight w:val="278"/>
        </w:trPr>
        <w:tc>
          <w:tcPr>
            <w:tcW w:w="720" w:type="dxa"/>
            <w:vAlign w:val="bottom"/>
          </w:tcPr>
          <w:p>
            <w:pPr>
              <w:spacing w:after="0"/>
              <w:rPr>
                <w:sz w:val="20"/>
                <w:szCs w:val="20"/>
                <w:color w:val="auto"/>
              </w:rPr>
            </w:pPr>
            <w:r>
              <w:rPr>
                <w:rFonts w:ascii="Arial" w:cs="Arial" w:eastAsia="Arial" w:hAnsi="Arial"/>
                <w:sz w:val="17"/>
                <w:szCs w:val="17"/>
                <w:color w:val="404040"/>
              </w:rPr>
              <w:t>0.00</w:t>
            </w:r>
          </w:p>
        </w:tc>
        <w:tc>
          <w:tcPr>
            <w:tcW w:w="1220" w:type="dxa"/>
            <w:vAlign w:val="bottom"/>
          </w:tcPr>
          <w:p>
            <w:pPr>
              <w:ind w:left="220"/>
              <w:spacing w:after="0"/>
              <w:rPr>
                <w:sz w:val="20"/>
                <w:szCs w:val="20"/>
                <w:color w:val="auto"/>
              </w:rPr>
            </w:pPr>
            <w:r>
              <w:rPr>
                <w:rFonts w:ascii="Arial" w:cs="Arial" w:eastAsia="Arial" w:hAnsi="Arial"/>
                <w:sz w:val="17"/>
                <w:szCs w:val="17"/>
                <w:color w:val="404040"/>
              </w:rPr>
              <w:t>-100.00%</w:t>
            </w:r>
          </w:p>
        </w:tc>
        <w:tc>
          <w:tcPr>
            <w:tcW w:w="1120" w:type="dxa"/>
            <w:vAlign w:val="bottom"/>
          </w:tcPr>
          <w:p>
            <w:pPr>
              <w:ind w:left="300"/>
              <w:spacing w:after="0"/>
              <w:rPr>
                <w:sz w:val="20"/>
                <w:szCs w:val="20"/>
                <w:color w:val="auto"/>
              </w:rPr>
            </w:pPr>
            <w:r>
              <w:rPr>
                <w:rFonts w:ascii="Arial" w:cs="Arial" w:eastAsia="Arial" w:hAnsi="Arial"/>
                <w:sz w:val="17"/>
                <w:szCs w:val="17"/>
                <w:color w:val="404040"/>
              </w:rPr>
              <w:t>100.00%</w:t>
            </w:r>
          </w:p>
        </w:tc>
        <w:tc>
          <w:tcPr>
            <w:tcW w:w="1640" w:type="dxa"/>
            <w:vAlign w:val="bottom"/>
          </w:tcPr>
          <w:p>
            <w:pPr>
              <w:ind w:left="400"/>
              <w:spacing w:after="0"/>
              <w:rPr>
                <w:sz w:val="20"/>
                <w:szCs w:val="20"/>
                <w:color w:val="auto"/>
              </w:rPr>
            </w:pPr>
            <w:r>
              <w:rPr>
                <w:rFonts w:ascii="Arial" w:cs="Arial" w:eastAsia="Arial" w:hAnsi="Arial"/>
                <w:sz w:val="17"/>
                <w:szCs w:val="17"/>
                <w:color w:val="404040"/>
              </w:rPr>
              <w:t>N/A</w:t>
            </w:r>
          </w:p>
        </w:tc>
        <w:tc>
          <w:tcPr>
            <w:tcW w:w="1760" w:type="dxa"/>
            <w:vAlign w:val="bottom"/>
          </w:tcPr>
          <w:p>
            <w:pPr>
              <w:ind w:left="140"/>
              <w:spacing w:after="0"/>
              <w:rPr>
                <w:sz w:val="20"/>
                <w:szCs w:val="20"/>
                <w:color w:val="auto"/>
              </w:rPr>
            </w:pPr>
            <w:r>
              <w:rPr>
                <w:rFonts w:ascii="Arial" w:cs="Arial" w:eastAsia="Arial" w:hAnsi="Arial"/>
                <w:sz w:val="17"/>
                <w:szCs w:val="17"/>
                <w:color w:val="404040"/>
              </w:rPr>
              <w:t>N/A</w:t>
            </w:r>
          </w:p>
        </w:tc>
        <w:tc>
          <w:tcPr>
            <w:tcW w:w="1300" w:type="dxa"/>
            <w:vAlign w:val="bottom"/>
          </w:tcPr>
          <w:p>
            <w:pPr>
              <w:jc w:val="center"/>
              <w:ind w:right="197"/>
              <w:spacing w:after="0"/>
              <w:rPr>
                <w:sz w:val="20"/>
                <w:szCs w:val="20"/>
                <w:color w:val="auto"/>
              </w:rPr>
            </w:pPr>
            <w:r>
              <w:rPr>
                <w:rFonts w:ascii="Arial" w:cs="Arial" w:eastAsia="Arial" w:hAnsi="Arial"/>
                <w:sz w:val="17"/>
                <w:szCs w:val="17"/>
                <w:color w:val="404040"/>
                <w:w w:val="98"/>
              </w:rPr>
              <w:t>$0.00</w:t>
            </w:r>
          </w:p>
        </w:tc>
        <w:tc>
          <w:tcPr>
            <w:tcW w:w="1240" w:type="dxa"/>
            <w:vAlign w:val="bottom"/>
          </w:tcPr>
          <w:p>
            <w:pPr>
              <w:jc w:val="right"/>
              <w:spacing w:after="0"/>
              <w:rPr>
                <w:sz w:val="20"/>
                <w:szCs w:val="20"/>
                <w:color w:val="auto"/>
              </w:rPr>
            </w:pPr>
            <w:r>
              <w:rPr>
                <w:rFonts w:ascii="Arial" w:cs="Arial" w:eastAsia="Arial" w:hAnsi="Arial"/>
                <w:sz w:val="17"/>
                <w:szCs w:val="17"/>
                <w:color w:val="404040"/>
              </w:rPr>
              <w:t>$1,000.00</w:t>
            </w:r>
          </w:p>
        </w:tc>
      </w:tr>
    </w:tbl>
    <w:p>
      <w:pPr>
        <w:spacing w:after="0" w:line="110" w:lineRule="exact"/>
        <w:rPr>
          <w:sz w:val="20"/>
          <w:szCs w:val="20"/>
          <w:color w:val="auto"/>
        </w:rPr>
      </w:pPr>
    </w:p>
    <w:p>
      <w:pPr>
        <w:ind w:left="5" w:right="60" w:hanging="5"/>
        <w:spacing w:after="0" w:line="307" w:lineRule="auto"/>
        <w:tabs>
          <w:tab w:leader="none" w:pos="255" w:val="left"/>
        </w:tabs>
        <w:numPr>
          <w:ilvl w:val="0"/>
          <w:numId w:val="6"/>
        </w:numPr>
        <w:rPr>
          <w:rFonts w:ascii="Arial" w:cs="Arial" w:eastAsia="Arial" w:hAnsi="Arial"/>
          <w:sz w:val="17"/>
          <w:szCs w:val="17"/>
          <w:color w:val="404040"/>
        </w:rPr>
      </w:pPr>
      <w:r>
        <w:rPr>
          <w:rFonts w:ascii="Arial" w:cs="Arial" w:eastAsia="Arial" w:hAnsi="Arial"/>
          <w:sz w:val="17"/>
          <w:szCs w:val="17"/>
          <w:color w:val="404040"/>
        </w:rPr>
        <w:t>A Knock-Out Event occurs if, on any day during the Monitoring Period, the closing level of the Index is less than the Strike Value by more than the Knock-Out Percentage.</w:t>
      </w:r>
    </w:p>
    <w:p>
      <w:pPr>
        <w:spacing w:after="0" w:line="200" w:lineRule="exact"/>
        <w:rPr>
          <w:sz w:val="20"/>
          <w:szCs w:val="20"/>
          <w:color w:val="auto"/>
        </w:rPr>
      </w:pPr>
    </w:p>
    <w:p>
      <w:pPr>
        <w:spacing w:after="0" w:line="293"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PS-2 | Structured Investments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45"/>
          </w:cols>
          <w:pgMar w:left="995" w:top="893" w:right="959" w:bottom="1440" w:gutter="0" w:footer="0" w:header="0"/>
        </w:sectPr>
      </w:pPr>
    </w:p>
    <w:bookmarkStart w:id="3" w:name="page4"/>
    <w:bookmarkEnd w:id="3"/>
    <w:p>
      <w:pPr>
        <w:ind w:left="5"/>
        <w:spacing w:after="0"/>
        <w:rPr>
          <w:sz w:val="20"/>
          <w:szCs w:val="20"/>
          <w:color w:val="auto"/>
        </w:rPr>
      </w:pPr>
      <w:r>
        <w:rPr>
          <w:rFonts w:ascii="Arial" w:cs="Arial" w:eastAsia="Arial" w:hAnsi="Arial"/>
          <w:sz w:val="19"/>
          <w:szCs w:val="19"/>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38100</wp:posOffset>
            </wp:positionV>
            <wp:extent cx="6437630" cy="8479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7630" cy="8479790"/>
                    </a:xfrm>
                    <a:prstGeom prst="rect">
                      <a:avLst/>
                    </a:prstGeom>
                    <a:noFill/>
                  </pic:spPr>
                </pic:pic>
              </a:graphicData>
            </a:graphic>
          </wp:anchor>
        </w:drawing>
      </w:r>
    </w:p>
    <w:p>
      <w:pPr>
        <w:spacing w:after="0" w:line="98" w:lineRule="exact"/>
        <w:rPr>
          <w:sz w:val="20"/>
          <w:szCs w:val="20"/>
          <w:color w:val="auto"/>
        </w:rPr>
      </w:pPr>
    </w:p>
    <w:p>
      <w:pPr>
        <w:ind w:left="5" w:right="40"/>
        <w:spacing w:after="0" w:line="297" w:lineRule="auto"/>
        <w:rPr>
          <w:sz w:val="20"/>
          <w:szCs w:val="20"/>
          <w:color w:val="auto"/>
        </w:rPr>
      </w:pPr>
      <w:r>
        <w:rPr>
          <w:rFonts w:ascii="Arial" w:cs="Arial" w:eastAsia="Arial" w:hAnsi="Arial"/>
          <w:sz w:val="17"/>
          <w:szCs w:val="17"/>
          <w:color w:val="404040"/>
        </w:rPr>
        <w:t xml:space="preserve">At maturity, investors will receive a cash payment, for each $1,000 principal amount note, of $1,000 </w:t>
      </w:r>
      <w:r>
        <w:rPr>
          <w:rFonts w:ascii="Arial" w:cs="Arial" w:eastAsia="Arial" w:hAnsi="Arial"/>
          <w:sz w:val="17"/>
          <w:szCs w:val="17"/>
          <w:i w:val="1"/>
          <w:iCs w:val="1"/>
          <w:color w:val="404040"/>
        </w:rPr>
        <w:t>plus</w:t>
      </w:r>
      <w:r>
        <w:rPr>
          <w:rFonts w:ascii="Arial" w:cs="Arial" w:eastAsia="Arial" w:hAnsi="Arial"/>
          <w:sz w:val="17"/>
          <w:szCs w:val="17"/>
          <w:color w:val="404040"/>
        </w:rPr>
        <w:t xml:space="preserve"> the Additional Amount, which may be zero. The value of the Additional Amount depends on whether a Knock-Out Event has occurred. A Knock-Out Event occurs if, on any day during the Monitoring Period, the closing level of the Index is less than the Strike Value by more than the Knock-Out Percentage of 67.00%.</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No Knock-Out Event Scenario:</w:t>
      </w:r>
    </w:p>
    <w:p>
      <w:pPr>
        <w:spacing w:after="0" w:line="96" w:lineRule="exact"/>
        <w:rPr>
          <w:sz w:val="20"/>
          <w:szCs w:val="20"/>
          <w:color w:val="auto"/>
        </w:rPr>
      </w:pPr>
    </w:p>
    <w:p>
      <w:pPr>
        <w:ind w:left="5"/>
        <w:spacing w:after="0" w:line="353" w:lineRule="auto"/>
        <w:rPr>
          <w:sz w:val="20"/>
          <w:szCs w:val="20"/>
          <w:color w:val="auto"/>
        </w:rPr>
      </w:pPr>
      <w:r>
        <w:rPr>
          <w:rFonts w:ascii="Arial" w:cs="Arial" w:eastAsia="Arial" w:hAnsi="Arial"/>
          <w:sz w:val="16"/>
          <w:szCs w:val="16"/>
          <w:color w:val="404040"/>
        </w:rPr>
        <w:t xml:space="preserve">If a Knock-Out Event has not occurred, the Additional Amount per $1,000 principal amount note will be equal to $1,000 </w:t>
      </w:r>
      <w:r>
        <w:rPr>
          <w:rFonts w:ascii="Arial" w:cs="Arial" w:eastAsia="Arial" w:hAnsi="Arial"/>
          <w:sz w:val="16"/>
          <w:szCs w:val="16"/>
          <w:i w:val="1"/>
          <w:iCs w:val="1"/>
          <w:color w:val="404040"/>
        </w:rPr>
        <w:t>times</w:t>
      </w:r>
      <w:r>
        <w:rPr>
          <w:rFonts w:ascii="Arial" w:cs="Arial" w:eastAsia="Arial" w:hAnsi="Arial"/>
          <w:sz w:val="16"/>
          <w:szCs w:val="16"/>
          <w:color w:val="404040"/>
        </w:rPr>
        <w:t xml:space="preserve"> the Bearish Index Return </w:t>
      </w:r>
      <w:r>
        <w:rPr>
          <w:rFonts w:ascii="Arial" w:cs="Arial" w:eastAsia="Arial" w:hAnsi="Arial"/>
          <w:sz w:val="16"/>
          <w:szCs w:val="16"/>
          <w:i w:val="1"/>
          <w:iCs w:val="1"/>
          <w:color w:val="404040"/>
        </w:rPr>
        <w:t>times</w:t>
      </w:r>
      <w:r>
        <w:rPr>
          <w:rFonts w:ascii="Arial" w:cs="Arial" w:eastAsia="Arial" w:hAnsi="Arial"/>
          <w:sz w:val="16"/>
          <w:szCs w:val="16"/>
          <w:color w:val="404040"/>
        </w:rPr>
        <w:t xml:space="preserve"> the Downside Participation Rate of 100.00%,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the Additional Amount will not be less than zero.</w:t>
      </w:r>
    </w:p>
    <w:p>
      <w:pPr>
        <w:spacing w:after="0" w:line="1" w:lineRule="exact"/>
        <w:rPr>
          <w:sz w:val="20"/>
          <w:szCs w:val="20"/>
          <w:color w:val="auto"/>
        </w:rPr>
      </w:pPr>
    </w:p>
    <w:p>
      <w:pPr>
        <w:ind w:left="505" w:right="400" w:hanging="338"/>
        <w:spacing w:after="0" w:line="309" w:lineRule="auto"/>
        <w:tabs>
          <w:tab w:leader="none" w:pos="528" w:val="left"/>
        </w:tabs>
        <w:numPr>
          <w:ilvl w:val="0"/>
          <w:numId w:val="7"/>
        </w:numPr>
        <w:rPr>
          <w:rFonts w:ascii="Verdana" w:cs="Verdana" w:eastAsia="Verdana" w:hAnsi="Verdana"/>
          <w:sz w:val="17"/>
          <w:szCs w:val="17"/>
          <w:color w:val="404040"/>
        </w:rPr>
      </w:pPr>
      <w:r>
        <w:rPr>
          <w:rFonts w:ascii="Arial" w:cs="Arial" w:eastAsia="Arial" w:hAnsi="Arial"/>
          <w:sz w:val="17"/>
          <w:szCs w:val="17"/>
          <w:color w:val="404040"/>
        </w:rPr>
        <w:t>For example, if (i) a Knock-Out Event has not occurred and (ii) the closing level of the Index declines 10.00%, investors will receive at maturity a return equal to 10.00%, or $1,100.00 per $1,000 principal amount note.</w:t>
      </w:r>
    </w:p>
    <w:p>
      <w:pPr>
        <w:spacing w:after="0" w:line="37" w:lineRule="exact"/>
        <w:rPr>
          <w:rFonts w:ascii="Verdana" w:cs="Verdana" w:eastAsia="Verdana" w:hAnsi="Verdana"/>
          <w:sz w:val="17"/>
          <w:szCs w:val="17"/>
          <w:color w:val="404040"/>
        </w:rPr>
      </w:pPr>
    </w:p>
    <w:p>
      <w:pPr>
        <w:ind w:left="505" w:right="300" w:hanging="338"/>
        <w:spacing w:after="0" w:line="293" w:lineRule="auto"/>
        <w:tabs>
          <w:tab w:leader="none" w:pos="528" w:val="left"/>
        </w:tabs>
        <w:numPr>
          <w:ilvl w:val="0"/>
          <w:numId w:val="7"/>
        </w:numPr>
        <w:rPr>
          <w:rFonts w:ascii="Verdana" w:cs="Verdana" w:eastAsia="Verdana" w:hAnsi="Verdana"/>
          <w:sz w:val="17"/>
          <w:szCs w:val="17"/>
          <w:color w:val="404040"/>
        </w:rPr>
      </w:pPr>
      <w:r>
        <w:rPr>
          <w:rFonts w:ascii="Arial" w:cs="Arial" w:eastAsia="Arial" w:hAnsi="Arial"/>
          <w:sz w:val="17"/>
          <w:szCs w:val="17"/>
          <w:color w:val="404040"/>
        </w:rPr>
        <w:t>For example, if (i) a Knock-Out Event has not occurred and (ii) the closing level of the Index increases 10.00%, investors will receive at maturity the principal amount of their notes.</w:t>
      </w:r>
    </w:p>
    <w:p>
      <w:pPr>
        <w:spacing w:after="0" w:line="51" w:lineRule="exact"/>
        <w:rPr>
          <w:rFonts w:ascii="Verdana" w:cs="Verdana" w:eastAsia="Verdana" w:hAnsi="Verdana"/>
          <w:sz w:val="17"/>
          <w:szCs w:val="17"/>
          <w:color w:val="404040"/>
        </w:rPr>
      </w:pPr>
    </w:p>
    <w:p>
      <w:pPr>
        <w:ind w:left="505" w:right="400" w:hanging="338"/>
        <w:spacing w:after="0" w:line="291" w:lineRule="auto"/>
        <w:tabs>
          <w:tab w:leader="none" w:pos="528" w:val="left"/>
        </w:tabs>
        <w:numPr>
          <w:ilvl w:val="0"/>
          <w:numId w:val="7"/>
        </w:numPr>
        <w:rPr>
          <w:rFonts w:ascii="Verdana" w:cs="Verdana" w:eastAsia="Verdana" w:hAnsi="Verdana"/>
          <w:sz w:val="17"/>
          <w:szCs w:val="17"/>
          <w:color w:val="404040"/>
        </w:rPr>
      </w:pPr>
      <w:r>
        <w:rPr>
          <w:rFonts w:ascii="Arial" w:cs="Arial" w:eastAsia="Arial" w:hAnsi="Arial"/>
          <w:sz w:val="17"/>
          <w:szCs w:val="17"/>
          <w:color w:val="404040"/>
        </w:rPr>
        <w:t>For example, if (i) a Knock-Out Event has not occurred and (ii) the closing level of the Index declines 67.00%, investors will receive at maturity a return equal to 67.00%, or $1,670.00 per $1,000 principal amount note, which reflects the maximum payment at maturity.</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Knock-Out Event Scenario:</w:t>
      </w:r>
    </w:p>
    <w:p>
      <w:pPr>
        <w:spacing w:after="0" w:line="109" w:lineRule="exact"/>
        <w:rPr>
          <w:sz w:val="20"/>
          <w:szCs w:val="20"/>
          <w:color w:val="auto"/>
        </w:rPr>
      </w:pPr>
    </w:p>
    <w:p>
      <w:pPr>
        <w:ind w:left="5"/>
        <w:spacing w:after="0" w:line="307" w:lineRule="auto"/>
        <w:rPr>
          <w:sz w:val="20"/>
          <w:szCs w:val="20"/>
          <w:color w:val="auto"/>
        </w:rPr>
      </w:pPr>
      <w:r>
        <w:rPr>
          <w:rFonts w:ascii="Arial" w:cs="Arial" w:eastAsia="Arial" w:hAnsi="Arial"/>
          <w:sz w:val="17"/>
          <w:szCs w:val="17"/>
          <w:color w:val="404040"/>
        </w:rPr>
        <w:t>If a Knock-Out Event has occurred, the Additional Amount will be zero and investors will receive at maturity only the principal amount of their notes.</w:t>
      </w:r>
    </w:p>
    <w:p>
      <w:pPr>
        <w:spacing w:after="0" w:line="43" w:lineRule="exact"/>
        <w:rPr>
          <w:sz w:val="20"/>
          <w:szCs w:val="20"/>
          <w:color w:val="auto"/>
        </w:rPr>
      </w:pPr>
    </w:p>
    <w:p>
      <w:pPr>
        <w:ind w:left="505" w:right="100" w:hanging="338"/>
        <w:spacing w:after="0" w:line="293" w:lineRule="auto"/>
        <w:tabs>
          <w:tab w:leader="none" w:pos="528" w:val="left"/>
        </w:tabs>
        <w:numPr>
          <w:ilvl w:val="0"/>
          <w:numId w:val="8"/>
        </w:numPr>
        <w:rPr>
          <w:rFonts w:ascii="Verdana" w:cs="Verdana" w:eastAsia="Verdana" w:hAnsi="Verdana"/>
          <w:sz w:val="17"/>
          <w:szCs w:val="17"/>
          <w:color w:val="404040"/>
        </w:rPr>
      </w:pPr>
      <w:r>
        <w:rPr>
          <w:rFonts w:ascii="Arial" w:cs="Arial" w:eastAsia="Arial" w:hAnsi="Arial"/>
          <w:sz w:val="17"/>
          <w:szCs w:val="17"/>
          <w:color w:val="404040"/>
        </w:rPr>
        <w:t>For example, if (i) a Knock-Out Event has occurred and (ii) the closing level of the Index declines 10.00%, investors will receive at maturity the principal amount of their notes.</w:t>
      </w:r>
    </w:p>
    <w:p>
      <w:pPr>
        <w:spacing w:after="0" w:line="51" w:lineRule="exact"/>
        <w:rPr>
          <w:rFonts w:ascii="Verdana" w:cs="Verdana" w:eastAsia="Verdana" w:hAnsi="Verdana"/>
          <w:sz w:val="17"/>
          <w:szCs w:val="17"/>
          <w:color w:val="404040"/>
        </w:rPr>
      </w:pPr>
    </w:p>
    <w:p>
      <w:pPr>
        <w:ind w:left="505" w:hanging="338"/>
        <w:spacing w:after="0" w:line="293" w:lineRule="auto"/>
        <w:tabs>
          <w:tab w:leader="none" w:pos="528" w:val="left"/>
        </w:tabs>
        <w:numPr>
          <w:ilvl w:val="0"/>
          <w:numId w:val="8"/>
        </w:numPr>
        <w:rPr>
          <w:rFonts w:ascii="Verdana" w:cs="Verdana" w:eastAsia="Verdana" w:hAnsi="Verdana"/>
          <w:sz w:val="17"/>
          <w:szCs w:val="17"/>
          <w:color w:val="404040"/>
        </w:rPr>
      </w:pPr>
      <w:r>
        <w:rPr>
          <w:rFonts w:ascii="Arial" w:cs="Arial" w:eastAsia="Arial" w:hAnsi="Arial"/>
          <w:sz w:val="17"/>
          <w:szCs w:val="17"/>
          <w:color w:val="404040"/>
        </w:rPr>
        <w:t>For example, if (i) a Knock-Out Event has occurred and (ii) the closing level of the Index increases 10.00%, investors will receive at maturity the principal amount of their notes.</w:t>
      </w:r>
    </w:p>
    <w:p>
      <w:pPr>
        <w:spacing w:after="0" w:line="51" w:lineRule="exact"/>
        <w:rPr>
          <w:sz w:val="20"/>
          <w:szCs w:val="20"/>
          <w:color w:val="auto"/>
        </w:rPr>
      </w:pPr>
    </w:p>
    <w:p>
      <w:pPr>
        <w:ind w:left="5" w:right="20"/>
        <w:spacing w:after="0" w:line="291"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13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4E8ABE"/>
        </w:rPr>
        <w:t>Selected Risk Considerations</w:t>
      </w:r>
    </w:p>
    <w:p>
      <w:pPr>
        <w:spacing w:after="0" w:line="131" w:lineRule="exact"/>
        <w:rPr>
          <w:sz w:val="20"/>
          <w:szCs w:val="20"/>
          <w:color w:val="auto"/>
        </w:rPr>
      </w:pPr>
    </w:p>
    <w:p>
      <w:pPr>
        <w:ind w:left="5" w:right="440"/>
        <w:spacing w:after="0" w:line="341"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prospectus supplement and product supplement and in Annex A to the accompanying prospectus addendum.</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Notes Generally</w:t>
      </w:r>
    </w:p>
    <w:p>
      <w:pPr>
        <w:spacing w:after="0" w:line="188" w:lineRule="exact"/>
        <w:rPr>
          <w:sz w:val="20"/>
          <w:szCs w:val="20"/>
          <w:color w:val="auto"/>
        </w:rPr>
      </w:pPr>
    </w:p>
    <w:p>
      <w:pPr>
        <w:ind w:left="365" w:hanging="365"/>
        <w:spacing w:after="0"/>
        <w:tabs>
          <w:tab w:leader="none" w:pos="365"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THE NOTES MAY NOT PAY MORE THAN THE PRINCIPAL AMOUNT AT MATURITY —</w:t>
      </w:r>
    </w:p>
    <w:p>
      <w:pPr>
        <w:spacing w:after="0" w:line="97" w:lineRule="exact"/>
        <w:rPr>
          <w:sz w:val="20"/>
          <w:szCs w:val="20"/>
          <w:color w:val="auto"/>
        </w:rPr>
      </w:pPr>
    </w:p>
    <w:p>
      <w:pPr>
        <w:jc w:val="both"/>
        <w:ind w:left="325"/>
        <w:spacing w:after="0" w:line="291" w:lineRule="auto"/>
        <w:rPr>
          <w:sz w:val="20"/>
          <w:szCs w:val="20"/>
          <w:color w:val="auto"/>
        </w:rPr>
      </w:pPr>
      <w:r>
        <w:rPr>
          <w:rFonts w:ascii="Arial" w:cs="Arial" w:eastAsia="Arial" w:hAnsi="Arial"/>
          <w:sz w:val="17"/>
          <w:szCs w:val="17"/>
          <w:color w:val="404040"/>
        </w:rPr>
        <w:t>If a Knock-Out Event has not occurred and the Final Value is greater than or equal to the Strike Value, or if a Knock-Out Event has occurred, you will receive only the principal amount of your notes at maturity, and you will not be compensated for any loss in value due to inflation and other factors relating to the value of money over time.</w:t>
      </w:r>
    </w:p>
    <w:p>
      <w:pPr>
        <w:spacing w:after="0" w:line="149" w:lineRule="exact"/>
        <w:rPr>
          <w:sz w:val="20"/>
          <w:szCs w:val="20"/>
          <w:color w:val="auto"/>
        </w:rPr>
      </w:pPr>
    </w:p>
    <w:p>
      <w:pPr>
        <w:ind w:left="365" w:hanging="365"/>
        <w:spacing w:after="0"/>
        <w:tabs>
          <w:tab w:leader="none" w:pos="36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NOTES ARE BEARISH ON THE INDEX —</w:t>
      </w:r>
    </w:p>
    <w:p>
      <w:pPr>
        <w:spacing w:after="0" w:line="84" w:lineRule="exact"/>
        <w:rPr>
          <w:sz w:val="20"/>
          <w:szCs w:val="20"/>
          <w:color w:val="auto"/>
        </w:rPr>
      </w:pPr>
    </w:p>
    <w:p>
      <w:pPr>
        <w:ind w:left="325" w:right="240"/>
        <w:spacing w:after="0" w:line="307" w:lineRule="auto"/>
        <w:rPr>
          <w:sz w:val="20"/>
          <w:szCs w:val="20"/>
          <w:color w:val="auto"/>
        </w:rPr>
      </w:pPr>
      <w:r>
        <w:rPr>
          <w:rFonts w:ascii="Arial" w:cs="Arial" w:eastAsia="Arial" w:hAnsi="Arial"/>
          <w:sz w:val="17"/>
          <w:szCs w:val="17"/>
          <w:color w:val="404040"/>
        </w:rPr>
        <w:t>Because the notes are bearish on the Index, your return on the notes will not benefit from any appreciation of the Index over the term of the notes.</w:t>
      </w:r>
    </w:p>
    <w:p>
      <w:pPr>
        <w:spacing w:after="0" w:line="122" w:lineRule="exact"/>
        <w:rPr>
          <w:sz w:val="20"/>
          <w:szCs w:val="20"/>
          <w:color w:val="auto"/>
        </w:rPr>
      </w:pPr>
    </w:p>
    <w:p>
      <w:pPr>
        <w:ind w:left="365" w:hanging="365"/>
        <w:spacing w:after="0"/>
        <w:tabs>
          <w:tab w:leader="none" w:pos="365" w:val="left"/>
        </w:tabs>
        <w:numPr>
          <w:ilvl w:val="0"/>
          <w:numId w:val="11"/>
        </w:numPr>
        <w:rPr>
          <w:rFonts w:ascii="Verdana" w:cs="Verdana" w:eastAsia="Verdana" w:hAnsi="Verdana"/>
          <w:sz w:val="17"/>
          <w:szCs w:val="17"/>
          <w:color w:val="404040"/>
        </w:rPr>
      </w:pPr>
      <w:r>
        <w:rPr>
          <w:rFonts w:ascii="Arial" w:cs="Arial" w:eastAsia="Arial" w:hAnsi="Arial"/>
          <w:sz w:val="17"/>
          <w:szCs w:val="17"/>
          <w:b w:val="1"/>
          <w:bCs w:val="1"/>
          <w:color w:val="404040"/>
        </w:rPr>
        <w:t>YOUR MAXIMUM GAIN ON THE NOTES IS LIMITED BY THE KNOCK-OUT PERCENTAGE —</w:t>
      </w:r>
    </w:p>
    <w:p>
      <w:pPr>
        <w:spacing w:after="0" w:line="97" w:lineRule="exact"/>
        <w:rPr>
          <w:sz w:val="20"/>
          <w:szCs w:val="20"/>
          <w:color w:val="auto"/>
        </w:rPr>
      </w:pPr>
    </w:p>
    <w:p>
      <w:pPr>
        <w:ind w:left="325" w:right="320"/>
        <w:spacing w:after="0" w:line="291" w:lineRule="auto"/>
        <w:rPr>
          <w:sz w:val="20"/>
          <w:szCs w:val="20"/>
          <w:color w:val="auto"/>
        </w:rPr>
      </w:pPr>
      <w:r>
        <w:rPr>
          <w:rFonts w:ascii="Arial" w:cs="Arial" w:eastAsia="Arial" w:hAnsi="Arial"/>
          <w:sz w:val="17"/>
          <w:szCs w:val="17"/>
          <w:color w:val="404040"/>
        </w:rPr>
        <w:t>Because the payment at maturity will not reflect the Bearish Index Return if a Knock-Out Event has occurred, the Knock-Out Percentage is effectively a cap on your return at maturity. The maximum payment at maturity is $1,670.00 per $1,000 principal amount note.</w:t>
      </w:r>
    </w:p>
    <w:p>
      <w:pPr>
        <w:spacing w:after="0" w:line="110" w:lineRule="exact"/>
        <w:rPr>
          <w:sz w:val="20"/>
          <w:szCs w:val="20"/>
          <w:color w:val="auto"/>
        </w:rPr>
      </w:pPr>
    </w:p>
    <w:p>
      <w:pPr>
        <w:ind w:left="365" w:hanging="365"/>
        <w:spacing w:after="0"/>
        <w:tabs>
          <w:tab w:leader="none" w:pos="365"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CREDIT RISKS OF JPMORGAN FINANCIAL AND JPMORGAN CHASE &amp; CO. —</w:t>
      </w:r>
    </w:p>
    <w:p>
      <w:pPr>
        <w:spacing w:after="0" w:line="45" w:lineRule="exact"/>
        <w:rPr>
          <w:sz w:val="20"/>
          <w:szCs w:val="20"/>
          <w:color w:val="auto"/>
        </w:rPr>
      </w:pPr>
    </w:p>
    <w:p>
      <w:pPr>
        <w:ind w:left="325" w:right="140"/>
        <w:spacing w:after="0" w:line="315" w:lineRule="auto"/>
        <w:rPr>
          <w:sz w:val="20"/>
          <w:szCs w:val="20"/>
          <w:color w:val="auto"/>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200" w:lineRule="exact"/>
        <w:rPr>
          <w:sz w:val="20"/>
          <w:szCs w:val="20"/>
          <w:color w:val="auto"/>
        </w:rPr>
      </w:pPr>
    </w:p>
    <w:p>
      <w:pPr>
        <w:spacing w:after="0" w:line="303"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PS-3 | Structured Investments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65"/>
          </w:cols>
          <w:pgMar w:left="995" w:top="893" w:right="939" w:bottom="1440" w:gutter="0" w:footer="0" w:header="0"/>
        </w:sectPr>
      </w:pPr>
    </w:p>
    <w:bookmarkStart w:id="4" w:name="page5"/>
    <w:bookmarkEnd w:id="4"/>
    <w:p>
      <w:pPr>
        <w:ind w:left="365" w:hanging="365"/>
        <w:spacing w:after="0"/>
        <w:tabs>
          <w:tab w:leader="none" w:pos="365" w:val="left"/>
        </w:tabs>
        <w:numPr>
          <w:ilvl w:val="0"/>
          <w:numId w:val="13"/>
        </w:numPr>
        <w:rPr>
          <w:rFonts w:ascii="Verdana" w:cs="Verdana" w:eastAsia="Verdana" w:hAnsi="Verdana"/>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w:t>
      </w:r>
    </w:p>
    <w:p>
      <w:pPr>
        <w:spacing w:after="0" w:line="34" w:lineRule="exact"/>
        <w:rPr>
          <w:rFonts w:ascii="Verdana" w:cs="Verdana" w:eastAsia="Verdana" w:hAnsi="Verdana"/>
          <w:sz w:val="16"/>
          <w:szCs w:val="16"/>
          <w:color w:val="404040"/>
        </w:rPr>
      </w:pPr>
    </w:p>
    <w:p>
      <w:pPr>
        <w:ind w:left="325"/>
        <w:spacing w:after="0"/>
        <w:rPr>
          <w:rFonts w:ascii="Verdana" w:cs="Verdana" w:eastAsia="Verdana" w:hAnsi="Verdana"/>
          <w:sz w:val="16"/>
          <w:szCs w:val="16"/>
          <w:color w:val="404040"/>
        </w:rPr>
      </w:pPr>
      <w:r>
        <w:rPr>
          <w:rFonts w:ascii="Arial" w:cs="Arial" w:eastAsia="Arial" w:hAnsi="Arial"/>
          <w:sz w:val="17"/>
          <w:szCs w:val="17"/>
          <w:b w:val="1"/>
          <w:bCs w:val="1"/>
          <w:color w:val="404040"/>
        </w:rPr>
        <w:t>—</w:t>
      </w:r>
    </w:p>
    <w:p>
      <w:pPr>
        <w:spacing w:after="0" w:line="29" w:lineRule="exact"/>
        <w:rPr>
          <w:rFonts w:ascii="Verdana" w:cs="Verdana" w:eastAsia="Verdana" w:hAnsi="Verdana"/>
          <w:sz w:val="16"/>
          <w:szCs w:val="16"/>
          <w:color w:val="404040"/>
        </w:rPr>
      </w:pPr>
    </w:p>
    <w:p>
      <w:pPr>
        <w:ind w:left="325" w:right="20"/>
        <w:spacing w:after="0" w:line="297" w:lineRule="auto"/>
        <w:rPr>
          <w:rFonts w:ascii="Verdana" w:cs="Verdana" w:eastAsia="Verdana" w:hAnsi="Verdana"/>
          <w:sz w:val="16"/>
          <w:szCs w:val="16"/>
          <w:color w:val="404040"/>
        </w:rPr>
      </w:pPr>
      <w:r>
        <w:rPr>
          <w:rFonts w:ascii="Arial" w:cs="Arial" w:eastAsia="Arial" w:hAnsi="Arial"/>
          <w:sz w:val="16"/>
          <w:szCs w:val="16"/>
          <w:color w:val="404040"/>
        </w:rPr>
        <w:t>As a finance subsidiary of JPMorgan Chase &amp; Co., we have no independent operations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w:t>
      </w:r>
    </w:p>
    <w:p>
      <w:pPr>
        <w:spacing w:after="0" w:line="1" w:lineRule="exact"/>
        <w:rPr>
          <w:rFonts w:ascii="Verdana" w:cs="Verdana" w:eastAsia="Verdana" w:hAnsi="Verdana"/>
          <w:sz w:val="16"/>
          <w:szCs w:val="16"/>
          <w:color w:val="404040"/>
        </w:rPr>
      </w:pPr>
    </w:p>
    <w:p>
      <w:pPr>
        <w:ind w:left="325" w:right="80"/>
        <w:spacing w:after="0" w:line="302" w:lineRule="auto"/>
        <w:rPr>
          <w:rFonts w:ascii="Verdana" w:cs="Verdana" w:eastAsia="Verdana" w:hAnsi="Verdana"/>
          <w:sz w:val="16"/>
          <w:szCs w:val="16"/>
          <w:color w:val="404040"/>
        </w:rPr>
      </w:pPr>
      <w:r>
        <w:rPr>
          <w:rFonts w:ascii="Arial" w:cs="Arial" w:eastAsia="Arial" w:hAnsi="Arial"/>
          <w:sz w:val="16"/>
          <w:szCs w:val="16"/>
          <w:color w:val="404040"/>
        </w:rPr>
        <w:t>JPMorgan Chase &amp; Co. or under other intercompany agreements. As a result, we are dependent upon payments from JPMorgan Chase &amp; Co. to meet our obligations under the notes. We are not a key operating subsidiary of JPMorgan Chase &amp; Co. and in a</w:t>
      </w:r>
    </w:p>
    <w:p>
      <w:pPr>
        <w:ind w:left="325" w:right="320"/>
        <w:spacing w:after="0" w:line="292" w:lineRule="auto"/>
        <w:rPr>
          <w:rFonts w:ascii="Verdana" w:cs="Verdana" w:eastAsia="Verdana" w:hAnsi="Verdana"/>
          <w:sz w:val="16"/>
          <w:szCs w:val="16"/>
          <w:color w:val="404040"/>
        </w:rPr>
      </w:pPr>
      <w:r>
        <w:rPr>
          <w:rFonts w:ascii="Arial" w:cs="Arial" w:eastAsia="Arial" w:hAnsi="Arial"/>
          <w:sz w:val="17"/>
          <w:szCs w:val="17"/>
          <w:color w:val="404040"/>
        </w:rPr>
        <w:t xml:space="preserve">bankruptcy or resolution of JPMorgan Chase &amp; Co. we are not expected to have sufficient resources to meet our obligations in respect of the notes as they come due. If JPMorgan Chase &amp; Co. does not make payments to us and we are unable to make payments on the notes, you may have to seek payment under the related guarantee by JPMorgan Chase &amp; Co., and that guarantee will rank </w:t>
      </w:r>
      <w:r>
        <w:rPr>
          <w:rFonts w:ascii="Arial" w:cs="Arial" w:eastAsia="Arial" w:hAnsi="Arial"/>
          <w:sz w:val="17"/>
          <w:szCs w:val="17"/>
          <w:i w:val="1"/>
          <w:iCs w:val="1"/>
          <w:color w:val="404040"/>
        </w:rPr>
        <w:t>pari passu</w:t>
      </w:r>
      <w:r>
        <w:rPr>
          <w:rFonts w:ascii="Arial" w:cs="Arial" w:eastAsia="Arial" w:hAnsi="Arial"/>
          <w:sz w:val="17"/>
          <w:szCs w:val="17"/>
          <w:color w:val="404040"/>
        </w:rPr>
        <w:t xml:space="preserve"> with all other unsecured and unsubordinated obligations of JPMorgan Chase &amp; Co. For more information, see the accompanying prospectus addendum.</w:t>
      </w:r>
    </w:p>
    <w:p>
      <w:pPr>
        <w:spacing w:after="0" w:line="121" w:lineRule="exact"/>
        <w:rPr>
          <w:rFonts w:ascii="Verdana" w:cs="Verdana" w:eastAsia="Verdana" w:hAnsi="Verdana"/>
          <w:sz w:val="16"/>
          <w:szCs w:val="16"/>
          <w:color w:val="404040"/>
        </w:rPr>
      </w:pPr>
    </w:p>
    <w:p>
      <w:pPr>
        <w:ind w:left="365" w:hanging="365"/>
        <w:spacing w:after="0"/>
        <w:tabs>
          <w:tab w:leader="none" w:pos="365"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A KNOCK-OUT EVENT MAY OCCUR ON ANY DAY DURING THE MONITORING PERIOD —</w:t>
      </w:r>
    </w:p>
    <w:p>
      <w:pPr>
        <w:spacing w:after="0" w:line="97" w:lineRule="exact"/>
        <w:rPr>
          <w:sz w:val="20"/>
          <w:szCs w:val="20"/>
          <w:color w:val="auto"/>
        </w:rPr>
      </w:pPr>
    </w:p>
    <w:p>
      <w:pPr>
        <w:ind w:left="325" w:right="60"/>
        <w:spacing w:after="0" w:line="291" w:lineRule="auto"/>
        <w:rPr>
          <w:sz w:val="20"/>
          <w:szCs w:val="20"/>
          <w:color w:val="auto"/>
        </w:rPr>
      </w:pPr>
      <w:r>
        <w:rPr>
          <w:rFonts w:ascii="Arial" w:cs="Arial" w:eastAsia="Arial" w:hAnsi="Arial"/>
          <w:sz w:val="17"/>
          <w:szCs w:val="17"/>
          <w:color w:val="404040"/>
        </w:rPr>
        <w:t>If, on any day during the Monitoring Period, the closing level of the Index is less than the Strike Value by more than the Knock-Out Percentage (</w:t>
      </w:r>
      <w:r>
        <w:rPr>
          <w:rFonts w:ascii="Arial" w:cs="Arial" w:eastAsia="Arial" w:hAnsi="Arial"/>
          <w:sz w:val="17"/>
          <w:szCs w:val="17"/>
          <w:i w:val="1"/>
          <w:iCs w:val="1"/>
          <w:color w:val="404040"/>
        </w:rPr>
        <w:t>i.e.</w:t>
      </w:r>
      <w:r>
        <w:rPr>
          <w:rFonts w:ascii="Arial" w:cs="Arial" w:eastAsia="Arial" w:hAnsi="Arial"/>
          <w:sz w:val="17"/>
          <w:szCs w:val="17"/>
          <w:color w:val="404040"/>
        </w:rPr>
        <w:t>, a Knock-Out Event occurs), you will receive at maturity only the principal amount of your notes, and you will not participate in the Bearish Index Return, regardless of any depreciation of the Index, which may be significant.</w:t>
      </w:r>
    </w:p>
    <w:p>
      <w:pPr>
        <w:spacing w:after="0" w:line="136" w:lineRule="exact"/>
        <w:rPr>
          <w:sz w:val="20"/>
          <w:szCs w:val="20"/>
          <w:color w:val="auto"/>
        </w:rPr>
      </w:pPr>
    </w:p>
    <w:p>
      <w:pPr>
        <w:ind w:left="365" w:hanging="365"/>
        <w:spacing w:after="0"/>
        <w:tabs>
          <w:tab w:leader="none" w:pos="365"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THE NOTES DO NOT PAY INTEREST.</w:t>
      </w:r>
    </w:p>
    <w:p>
      <w:pPr>
        <w:spacing w:after="0" w:line="110" w:lineRule="exact"/>
        <w:rPr>
          <w:rFonts w:ascii="Verdana" w:cs="Verdana" w:eastAsia="Verdana" w:hAnsi="Verdana"/>
          <w:sz w:val="17"/>
          <w:szCs w:val="17"/>
          <w:color w:val="404040"/>
        </w:rPr>
      </w:pPr>
    </w:p>
    <w:p>
      <w:pPr>
        <w:ind w:left="325" w:right="520" w:hanging="325"/>
        <w:spacing w:after="0" w:line="319" w:lineRule="auto"/>
        <w:tabs>
          <w:tab w:leader="none" w:pos="349"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YOU WILL NOT RECEIVE DIVIDENDS ON THE SECURITIES INCLUDED IN THE INDEX OR HAVE ANY RIGHTS WITH RESPECT TO THOSE SECURITIES.</w:t>
      </w:r>
    </w:p>
    <w:p>
      <w:pPr>
        <w:spacing w:after="0" w:line="87" w:lineRule="exact"/>
        <w:rPr>
          <w:rFonts w:ascii="Verdana" w:cs="Verdana" w:eastAsia="Verdana" w:hAnsi="Verdana"/>
          <w:sz w:val="17"/>
          <w:szCs w:val="17"/>
          <w:color w:val="404040"/>
        </w:rPr>
      </w:pPr>
    </w:p>
    <w:p>
      <w:pPr>
        <w:ind w:left="365" w:hanging="365"/>
        <w:spacing w:after="0"/>
        <w:tabs>
          <w:tab w:leader="none" w:pos="365"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LACK OF LIQUIDITY —</w:t>
      </w:r>
    </w:p>
    <w:p>
      <w:pPr>
        <w:spacing w:after="0" w:line="84" w:lineRule="exact"/>
        <w:rPr>
          <w:sz w:val="20"/>
          <w:szCs w:val="20"/>
          <w:color w:val="auto"/>
        </w:rPr>
      </w:pPr>
    </w:p>
    <w:p>
      <w:pPr>
        <w:ind w:left="325" w:right="140"/>
        <w:spacing w:after="0" w:line="326" w:lineRule="auto"/>
        <w:rPr>
          <w:sz w:val="20"/>
          <w:szCs w:val="20"/>
          <w:color w:val="auto"/>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Conflicts of Interest</w:t>
      </w:r>
    </w:p>
    <w:p>
      <w:pPr>
        <w:spacing w:after="0" w:line="188" w:lineRule="exact"/>
        <w:rPr>
          <w:sz w:val="20"/>
          <w:szCs w:val="20"/>
          <w:color w:val="auto"/>
        </w:rPr>
      </w:pPr>
    </w:p>
    <w:p>
      <w:pPr>
        <w:ind w:left="365" w:hanging="365"/>
        <w:spacing w:after="0"/>
        <w:tabs>
          <w:tab w:leader="none" w:pos="365" w:val="left"/>
        </w:tabs>
        <w:numPr>
          <w:ilvl w:val="0"/>
          <w:numId w:val="15"/>
        </w:numPr>
        <w:rPr>
          <w:rFonts w:ascii="Verdana" w:cs="Verdana" w:eastAsia="Verdana" w:hAnsi="Verdana"/>
          <w:sz w:val="17"/>
          <w:szCs w:val="17"/>
          <w:color w:val="404040"/>
        </w:rPr>
      </w:pPr>
      <w:r>
        <w:rPr>
          <w:rFonts w:ascii="Arial" w:cs="Arial" w:eastAsia="Arial" w:hAnsi="Arial"/>
          <w:sz w:val="17"/>
          <w:szCs w:val="17"/>
          <w:b w:val="1"/>
          <w:bCs w:val="1"/>
          <w:color w:val="404040"/>
        </w:rPr>
        <w:t>POTENTIAL CONFLICTS —</w:t>
      </w:r>
    </w:p>
    <w:p>
      <w:pPr>
        <w:spacing w:after="0" w:line="97" w:lineRule="exact"/>
        <w:rPr>
          <w:sz w:val="20"/>
          <w:szCs w:val="20"/>
          <w:color w:val="auto"/>
        </w:rPr>
      </w:pPr>
    </w:p>
    <w:p>
      <w:pPr>
        <w:ind w:left="325" w:right="80"/>
        <w:spacing w:after="0" w:line="288" w:lineRule="auto"/>
        <w:rPr>
          <w:sz w:val="20"/>
          <w:szCs w:val="20"/>
          <w:color w:val="auto"/>
        </w:rPr>
      </w:pPr>
      <w:r>
        <w:rPr>
          <w:rFonts w:ascii="Arial" w:cs="Arial" w:eastAsia="Arial" w:hAnsi="Arial"/>
          <w:sz w:val="17"/>
          <w:szCs w:val="17"/>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Estimated Value and Secondary Market Prices of the Notes</w:t>
      </w:r>
    </w:p>
    <w:p>
      <w:pPr>
        <w:spacing w:after="0" w:line="188" w:lineRule="exact"/>
        <w:rPr>
          <w:sz w:val="20"/>
          <w:szCs w:val="20"/>
          <w:color w:val="auto"/>
        </w:rPr>
      </w:pPr>
    </w:p>
    <w:p>
      <w:pPr>
        <w:ind w:left="325" w:right="400" w:hanging="325"/>
        <w:spacing w:after="0" w:line="315" w:lineRule="auto"/>
        <w:tabs>
          <w:tab w:leader="none" w:pos="349" w:val="left"/>
        </w:tabs>
        <w:numPr>
          <w:ilvl w:val="0"/>
          <w:numId w:val="16"/>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LOWER THAN THE ORIGINAL ISSUE PRICE (PRICE TO PUBLIC) OF THE NOTES —</w:t>
      </w:r>
    </w:p>
    <w:p>
      <w:pPr>
        <w:spacing w:after="0" w:line="1" w:lineRule="exact"/>
        <w:rPr>
          <w:sz w:val="20"/>
          <w:szCs w:val="20"/>
          <w:color w:val="auto"/>
        </w:rPr>
      </w:pPr>
    </w:p>
    <w:p>
      <w:pPr>
        <w:ind w:left="325"/>
        <w:spacing w:after="0" w:line="292" w:lineRule="auto"/>
        <w:rPr>
          <w:sz w:val="20"/>
          <w:szCs w:val="20"/>
          <w:color w:val="auto"/>
        </w:rPr>
      </w:pPr>
      <w:r>
        <w:rPr>
          <w:rFonts w:ascii="Arial" w:cs="Arial" w:eastAsia="Arial" w:hAnsi="Arial"/>
          <w:sz w:val="17"/>
          <w:szCs w:val="17"/>
          <w:color w:val="404040"/>
        </w:rPr>
        <w:t>The estimated value of the notes is only an estimate determined by reference to several factors. The original issue price of the notes exceeds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134" w:lineRule="exact"/>
        <w:rPr>
          <w:sz w:val="20"/>
          <w:szCs w:val="20"/>
          <w:color w:val="auto"/>
        </w:rPr>
      </w:pPr>
    </w:p>
    <w:p>
      <w:pPr>
        <w:ind w:left="325" w:right="240" w:hanging="325"/>
        <w:spacing w:after="0" w:line="303" w:lineRule="auto"/>
        <w:tabs>
          <w:tab w:leader="none" w:pos="349" w:val="left"/>
        </w:tabs>
        <w:numPr>
          <w:ilvl w:val="0"/>
          <w:numId w:val="17"/>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spacing w:after="0" w:line="8" w:lineRule="exact"/>
        <w:rPr>
          <w:sz w:val="20"/>
          <w:szCs w:val="20"/>
          <w:color w:val="auto"/>
        </w:rPr>
      </w:pPr>
    </w:p>
    <w:p>
      <w:pPr>
        <w:ind w:left="325"/>
        <w:spacing w:after="0"/>
        <w:rPr>
          <w:sz w:val="20"/>
          <w:szCs w:val="20"/>
          <w:color w:val="auto"/>
        </w:rPr>
      </w:pPr>
      <w:r>
        <w:rPr>
          <w:rFonts w:ascii="Arial" w:cs="Arial" w:eastAsia="Arial" w:hAnsi="Arial"/>
          <w:sz w:val="17"/>
          <w:szCs w:val="17"/>
          <w:color w:val="404040"/>
        </w:rPr>
        <w:t>See “The Estimated Value of the Notes” in this pricing supplement.</w:t>
      </w:r>
    </w:p>
    <w:p>
      <w:pPr>
        <w:spacing w:after="0" w:line="202" w:lineRule="exact"/>
        <w:rPr>
          <w:sz w:val="20"/>
          <w:szCs w:val="20"/>
          <w:color w:val="auto"/>
        </w:rPr>
      </w:pPr>
    </w:p>
    <w:p>
      <w:pPr>
        <w:ind w:left="365" w:hanging="365"/>
        <w:spacing w:after="0"/>
        <w:tabs>
          <w:tab w:leader="none" w:pos="365" w:val="left"/>
        </w:tabs>
        <w:numPr>
          <w:ilvl w:val="0"/>
          <w:numId w:val="1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spacing w:after="0" w:line="97" w:lineRule="exact"/>
        <w:rPr>
          <w:sz w:val="20"/>
          <w:szCs w:val="20"/>
          <w:color w:val="auto"/>
        </w:rPr>
      </w:pPr>
    </w:p>
    <w:p>
      <w:pPr>
        <w:ind w:left="325" w:right="20"/>
        <w:spacing w:after="0" w:line="310" w:lineRule="auto"/>
        <w:rPr>
          <w:sz w:val="20"/>
          <w:szCs w:val="20"/>
          <w:color w:val="auto"/>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24130</wp:posOffset>
            </wp:positionV>
            <wp:extent cx="637857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116"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PS-4 | Structured Investments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45"/>
          </w:cols>
          <w:pgMar w:left="995" w:top="899" w:right="959" w:bottom="1440" w:gutter="0" w:footer="0" w:header="0"/>
        </w:sectPr>
      </w:pPr>
    </w:p>
    <w:bookmarkStart w:id="5" w:name="page6"/>
    <w:bookmarkEnd w:id="5"/>
    <w:p>
      <w:pPr>
        <w:ind w:left="325" w:right="680"/>
        <w:spacing w:after="0" w:line="307" w:lineRule="auto"/>
        <w:rPr>
          <w:sz w:val="20"/>
          <w:szCs w:val="20"/>
          <w:color w:val="auto"/>
        </w:rPr>
      </w:pPr>
      <w:r>
        <w:rPr>
          <w:rFonts w:ascii="Arial" w:cs="Arial" w:eastAsia="Arial" w:hAnsi="Arial"/>
          <w:sz w:val="17"/>
          <w:szCs w:val="17"/>
          <w:color w:val="404040"/>
        </w:rPr>
        <w:t>internal funding rate and any potential changes to that rate may have an adverse effect on the terms of the notes and any secondary market prices of the notes. See “The Estimated Value of the Notes” in this pricing supplement.</w:t>
      </w:r>
    </w:p>
    <w:p>
      <w:pPr>
        <w:spacing w:after="0" w:line="135" w:lineRule="exact"/>
        <w:rPr>
          <w:sz w:val="20"/>
          <w:szCs w:val="20"/>
          <w:color w:val="auto"/>
        </w:rPr>
      </w:pPr>
    </w:p>
    <w:p>
      <w:pPr>
        <w:ind w:left="325" w:right="220" w:hanging="325"/>
        <w:spacing w:after="0" w:line="288" w:lineRule="auto"/>
        <w:tabs>
          <w:tab w:leader="none" w:pos="349" w:val="left"/>
        </w:tabs>
        <w:numPr>
          <w:ilvl w:val="0"/>
          <w:numId w:val="19"/>
        </w:numPr>
        <w:rPr>
          <w:rFonts w:ascii="Verdana" w:cs="Verdana" w:eastAsia="Verdana" w:hAnsi="Verdana"/>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spacing w:after="0" w:line="37" w:lineRule="exact"/>
        <w:rPr>
          <w:sz w:val="20"/>
          <w:szCs w:val="20"/>
          <w:color w:val="auto"/>
        </w:rPr>
      </w:pPr>
    </w:p>
    <w:p>
      <w:pPr>
        <w:ind w:left="325" w:right="20"/>
        <w:spacing w:after="0" w:line="288" w:lineRule="auto"/>
        <w:rPr>
          <w:sz w:val="20"/>
          <w:szCs w:val="20"/>
          <w:color w:val="auto"/>
        </w:rPr>
      </w:pPr>
      <w:r>
        <w:rPr>
          <w:rFonts w:ascii="Arial" w:cs="Arial" w:eastAsia="Arial" w:hAnsi="Arial"/>
          <w:sz w:val="17"/>
          <w:szCs w:val="17"/>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37" w:lineRule="exact"/>
        <w:rPr>
          <w:sz w:val="20"/>
          <w:szCs w:val="20"/>
          <w:color w:val="auto"/>
        </w:rPr>
      </w:pPr>
    </w:p>
    <w:p>
      <w:pPr>
        <w:ind w:left="325" w:right="300" w:hanging="325"/>
        <w:spacing w:after="0" w:line="315" w:lineRule="auto"/>
        <w:tabs>
          <w:tab w:leader="none" w:pos="349" w:val="left"/>
        </w:tabs>
        <w:numPr>
          <w:ilvl w:val="0"/>
          <w:numId w:val="20"/>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spacing w:after="0" w:line="1" w:lineRule="exact"/>
        <w:rPr>
          <w:sz w:val="20"/>
          <w:szCs w:val="20"/>
          <w:color w:val="auto"/>
        </w:rPr>
      </w:pPr>
    </w:p>
    <w:p>
      <w:pPr>
        <w:ind w:left="325"/>
        <w:spacing w:after="0" w:line="288" w:lineRule="auto"/>
        <w:rPr>
          <w:sz w:val="20"/>
          <w:szCs w:val="20"/>
          <w:color w:val="auto"/>
        </w:rPr>
      </w:pPr>
      <w:r>
        <w:rPr>
          <w:rFonts w:ascii="Arial" w:cs="Arial" w:eastAsia="Arial" w:hAnsi="Arial"/>
          <w:sz w:val="17"/>
          <w:szCs w:val="17"/>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01" w:lineRule="exact"/>
        <w:rPr>
          <w:sz w:val="20"/>
          <w:szCs w:val="20"/>
          <w:color w:val="auto"/>
        </w:rPr>
      </w:pPr>
    </w:p>
    <w:p>
      <w:pPr>
        <w:ind w:left="365" w:hanging="365"/>
        <w:spacing w:after="0"/>
        <w:tabs>
          <w:tab w:leader="none" w:pos="365" w:val="left"/>
        </w:tabs>
        <w:numPr>
          <w:ilvl w:val="0"/>
          <w:numId w:val="21"/>
        </w:numPr>
        <w:rPr>
          <w:rFonts w:ascii="Verdana" w:cs="Verdana" w:eastAsia="Verdana" w:hAnsi="Verdana"/>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70" w:lineRule="exact"/>
        <w:rPr>
          <w:sz w:val="20"/>
          <w:szCs w:val="20"/>
          <w:color w:val="auto"/>
        </w:rPr>
      </w:pPr>
    </w:p>
    <w:p>
      <w:pPr>
        <w:ind w:left="325"/>
        <w:spacing w:after="0" w:line="286" w:lineRule="auto"/>
        <w:rPr>
          <w:sz w:val="20"/>
          <w:szCs w:val="20"/>
          <w:color w:val="auto"/>
        </w:rPr>
      </w:pPr>
      <w:r>
        <w:rPr>
          <w:rFonts w:ascii="Arial" w:cs="Arial" w:eastAsia="Arial" w:hAnsi="Arial"/>
          <w:sz w:val="17"/>
          <w:szCs w:val="17"/>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 of the Index.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Index</w:t>
      </w:r>
    </w:p>
    <w:p>
      <w:pPr>
        <w:spacing w:after="0" w:line="188" w:lineRule="exact"/>
        <w:rPr>
          <w:sz w:val="20"/>
          <w:szCs w:val="20"/>
          <w:color w:val="auto"/>
        </w:rPr>
      </w:pPr>
    </w:p>
    <w:p>
      <w:pPr>
        <w:ind w:left="365" w:hanging="365"/>
        <w:spacing w:after="0"/>
        <w:tabs>
          <w:tab w:leader="none" w:pos="365" w:val="left"/>
        </w:tabs>
        <w:numPr>
          <w:ilvl w:val="0"/>
          <w:numId w:val="22"/>
        </w:numPr>
        <w:rPr>
          <w:rFonts w:ascii="Verdana" w:cs="Verdana" w:eastAsia="Verdana" w:hAnsi="Verdana"/>
          <w:sz w:val="17"/>
          <w:szCs w:val="17"/>
          <w:color w:val="404040"/>
        </w:rPr>
      </w:pPr>
      <w:r>
        <w:rPr>
          <w:rFonts w:ascii="Arial" w:cs="Arial" w:eastAsia="Arial" w:hAnsi="Arial"/>
          <w:sz w:val="17"/>
          <w:szCs w:val="17"/>
          <w:b w:val="1"/>
          <w:bCs w:val="1"/>
          <w:color w:val="404040"/>
        </w:rPr>
        <w:t>JPMORGAN CHASE &amp; CO. IS CURRENTLY ONE OF THE COMPANIES THAT MAKE UP THE INDEX,</w:t>
      </w:r>
    </w:p>
    <w:p>
      <w:pPr>
        <w:spacing w:after="0" w:line="84" w:lineRule="exact"/>
        <w:rPr>
          <w:sz w:val="20"/>
          <w:szCs w:val="20"/>
          <w:color w:val="auto"/>
        </w:rPr>
      </w:pPr>
    </w:p>
    <w:p>
      <w:pPr>
        <w:ind w:left="325" w:right="180"/>
        <w:spacing w:after="0" w:line="323" w:lineRule="auto"/>
        <w:rPr>
          <w:sz w:val="20"/>
          <w:szCs w:val="20"/>
          <w:color w:val="auto"/>
        </w:rPr>
      </w:pPr>
      <w:r>
        <w:rPr>
          <w:rFonts w:ascii="Arial" w:cs="Arial" w:eastAsia="Arial" w:hAnsi="Arial"/>
          <w:sz w:val="17"/>
          <w:szCs w:val="17"/>
          <w:color w:val="404040"/>
        </w:rPr>
        <w:t>but JPMorgan Chase &amp; Co. will not have any obligation to consider your interests in taking any corporate action that might affect the level of 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3201035</wp:posOffset>
            </wp:positionV>
            <wp:extent cx="637857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PS-5 | Structured Investments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45"/>
          </w:cols>
          <w:pgMar w:left="995" w:top="873" w:right="95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4E8ABE"/>
        </w:rPr>
        <w:t>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8479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479790"/>
                    </a:xfrm>
                    <a:prstGeom prst="rect">
                      <a:avLst/>
                    </a:prstGeom>
                    <a:noFill/>
                  </pic:spPr>
                </pic:pic>
              </a:graphicData>
            </a:graphic>
          </wp:anchor>
        </w:drawing>
      </w:r>
    </w:p>
    <w:p>
      <w:pPr>
        <w:spacing w:after="0" w:line="98" w:lineRule="exact"/>
        <w:rPr>
          <w:sz w:val="20"/>
          <w:szCs w:val="20"/>
          <w:color w:val="auto"/>
        </w:rPr>
      </w:pPr>
    </w:p>
    <w:p>
      <w:pPr>
        <w:ind w:right="540"/>
        <w:spacing w:after="0" w:line="299" w:lineRule="auto"/>
        <w:rPr>
          <w:sz w:val="20"/>
          <w:szCs w:val="20"/>
          <w:color w:val="auto"/>
        </w:rPr>
      </w:pPr>
      <w:r>
        <w:rPr>
          <w:rFonts w:ascii="Arial" w:cs="Arial" w:eastAsia="Arial" w:hAnsi="Arial"/>
          <w:sz w:val="17"/>
          <w:szCs w:val="17"/>
          <w:color w:val="404040"/>
        </w:rPr>
        <w:t>The Index consists of stocks of 500 companies selected to provide a performance benchmark for the U.S. equity markets. For additional information about the Index, see “Equity Index Descriptions — The S&amp;P U.S. Indices” in the accompanying underlying supplement.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Historical Information</w:t>
      </w:r>
    </w:p>
    <w:p>
      <w:pPr>
        <w:spacing w:after="0" w:line="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404040"/>
        </w:rPr>
        <w:t>The following graph sets forth the historical performance of the Index based on the weekly historical closing levels of the Index from January 3, 2020 through June 13, 2025. The closing level of the Index on June 16, 2025 was 6,033.11. We obtained the closing levels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w:t>
      </w:r>
    </w:p>
    <w:p>
      <w:pPr>
        <w:jc w:val="both"/>
        <w:ind w:right="60"/>
        <w:spacing w:after="0" w:line="292" w:lineRule="auto"/>
        <w:rPr>
          <w:sz w:val="20"/>
          <w:szCs w:val="20"/>
          <w:color w:val="auto"/>
        </w:rPr>
      </w:pPr>
      <w:r>
        <w:rPr>
          <w:rFonts w:ascii="Arial" w:cs="Arial" w:eastAsia="Arial" w:hAnsi="Arial"/>
          <w:sz w:val="17"/>
          <w:szCs w:val="17"/>
          <w:color w:val="404040"/>
        </w:rPr>
        <w:t>The historical closing levels of the Index should not be taken as an indication of future performance, and no assurance can be given as to the closing level of the Index on the Observation Date or any day during the Monitoring Period. There can be no assurance that the performance of the Index will result in a payment at maturity in excess of your principal amount, subject to the credit risks of JPMorgan Financial and JPMorgan Chase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Tax Treatment</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There is uncertainty regarding the U.S. federal income tax consequences of an investment in the notes due to the lack of governing authority. You should review carefully the section entitled “Material U.S. Federal Income Tax Consequences,” and in particular the subsection thereof entitled “— Tax Consequences to U.S. Holders — Notes with a Term of More than One Year — Notes Treated as Contingent Payment Debt Instruments” in the accompanying product supplement no. 3-I. Based on current market conditions, we intend to treat the notes for U.S. federal income tax purposes as “contingent payment debt instruments.” Assuming this treatment is respected, as discussed in that subsection, unlike a traditional debt instrument that provides for periodic payments of interest at a single fixed rate, with respect to which a cash-method investor generally recognizes income only upon receipt of stated interest, you generally will be required to accrue original issue discount (“OID”) on your notes in each taxable year at the “comparable yield,” as determined by us, although we will not make any payment with respect to the notes until maturity. Upon sale or exchange (including at maturity), you will recognize taxable income or loss equal to the difference between the amount received from the sale or exchange and your adjusted basis in the note, which generally will equal the cost thereof, increased by the amount of OID you have accrued in respect of the note. You generally must treat any income as interest income and any loss as ordinary loss to the extent of previous interest inclusions, and the balance as capital loss. The deductibility of capital losses is subject to limitations. Special rules may apply if the amount payable at maturity is treated as becoming fixed prior to maturity. You should consult your tax adviser concerning the application of these rules. The discussions herein and in the accompanying product supplement do not address the consequences to taxpayers subject to special tax accounting rules under Section 451(b) of the Code. Purchasers who are not initial purchasers of notes at their issue price should consult their tax advisers with respect to the tax consequences of an investment in notes, including the treatment of the difference, if any, between the basis in their notes and the notes’ adjusted issue price.</w:t>
      </w:r>
    </w:p>
    <w:p>
      <w:pPr>
        <w:spacing w:after="0" w:line="58" w:lineRule="exact"/>
        <w:rPr>
          <w:sz w:val="20"/>
          <w:szCs w:val="20"/>
          <w:color w:val="auto"/>
        </w:rPr>
      </w:pPr>
    </w:p>
    <w:p>
      <w:pPr>
        <w:spacing w:after="0" w:line="326" w:lineRule="auto"/>
        <w:rPr>
          <w:sz w:val="20"/>
          <w:szCs w:val="20"/>
          <w:color w:val="auto"/>
        </w:rPr>
      </w:pPr>
      <w:r>
        <w:rPr>
          <w:rFonts w:ascii="Arial" w:cs="Arial" w:eastAsia="Arial" w:hAnsi="Arial"/>
          <w:sz w:val="16"/>
          <w:szCs w:val="16"/>
          <w:color w:val="404040"/>
        </w:rPr>
        <w:t>Our intended treatment of the notes as CPDIs will be binding on you, unless you properly disclose to the IRS an alternative treatment. Also, the IRS may challenge the treatment of the notes as CPDIs. If the IRS successfully challenges the treatment of the notes as CPDIs, then the notes will be treated as debt instruments that are not CPDIs and, would require the accrual of original issue discount as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7F7F7F"/>
        </w:rPr>
        <w:t>PS-6 | Structured Investments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80"/>
          </w:cols>
          <w:pgMar w:left="1000" w:top="893" w:right="919" w:bottom="1440" w:gutter="0" w:footer="0" w:header="0"/>
        </w:sectPr>
      </w:pPr>
    </w:p>
    <w:bookmarkStart w:id="7" w:name="page8"/>
    <w:bookmarkEnd w:id="7"/>
    <w:p>
      <w:pPr>
        <w:ind w:right="140"/>
        <w:spacing w:after="0" w:line="292" w:lineRule="auto"/>
        <w:rPr>
          <w:sz w:val="20"/>
          <w:szCs w:val="20"/>
          <w:color w:val="auto"/>
        </w:rPr>
      </w:pPr>
      <w:r>
        <w:rPr>
          <w:rFonts w:ascii="Arial" w:cs="Arial" w:eastAsia="Arial" w:hAnsi="Arial"/>
          <w:sz w:val="17"/>
          <w:szCs w:val="17"/>
          <w:color w:val="404040"/>
        </w:rPr>
        <w:t>ordinary interest income based on a yield to maturity higher than the comparable yield. Accordingly, under this treatment, your annual taxable income from (and adjusted tax basis in) the notes would be higher than if the notes were treated as CPDIs, and any loss recognized upon a disposition of the notes (including upon maturity) would be capital loss, the deductibility of which is subject to limitations. Accordingly, this alternative treatment could result in adverse tax consequences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-589915</wp:posOffset>
            </wp:positionV>
            <wp:extent cx="6437630" cy="8656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656320"/>
                    </a:xfrm>
                    <a:prstGeom prst="rect">
                      <a:avLst/>
                    </a:prstGeom>
                    <a:noFill/>
                  </pic:spPr>
                </pic:pic>
              </a:graphicData>
            </a:graphic>
          </wp:anchor>
        </w:drawing>
      </w:r>
    </w:p>
    <w:p>
      <w:pPr>
        <w:spacing w:after="0" w:line="21"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In light of the bearish economics of the notes, payment on the notes to Non-U.S. Holders will not be subject to Section 871(m).</w:t>
      </w:r>
    </w:p>
    <w:p>
      <w:pPr>
        <w:spacing w:after="0" w:line="4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discussions in the preceding paragraphs, when read in combination with the section entitled “Material U.S. Federal Income Tax Consequences” (and in particular the subsection thereof entitled “— Tax Consequences to U.S. Holders — Notes with a Term of More than One Year — Notes Treated as Contingent Payment Debt Instruments”) in the accompanying product supplement, to the extent they reflect statements of law, constitute the full opinion of Davis Polk &amp; Wardwell LLP regarding the material U.S. federal income tax consequences of owning and disposing of the notes.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Comparable Yield and Projected Payment Schedule</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404040"/>
        </w:rPr>
        <w:t>Although it is not entirely clear how the comparable yield and projected payment schedule should be determined when a debt instrument may be redeemed by the issuer prior to maturity, we have determined that the “comparable yield,” based upon the term to maturity of the notes assuming no early redemption occurs and a variety of other factors, including actual market conditions and our borrowing costs for debt instruments of comparable maturities at the time of issuance, is an annual rate of 4.69%, compounded semiannually. Based on our determination of the comparable yield, the “projected payment schedule” per $1,000 principal amount note consists of a single payment at maturity, equal to $1,071.49. Assuming a semiannual accrual period, the following table sets out the amount of OID that will accrue with respect to a note during each calendar period, based upon our determination of the comparable yield and projected payment schedule.</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404040"/>
                <w:w w:val="97"/>
              </w:rPr>
              <w:t>Accrued OID During</w:t>
            </w:r>
          </w:p>
        </w:tc>
        <w:tc>
          <w:tcPr>
            <w:tcW w:w="2640" w:type="dxa"/>
            <w:vAlign w:val="bottom"/>
          </w:tcPr>
          <w:p>
            <w:pPr>
              <w:jc w:val="center"/>
              <w:ind w:left="37"/>
              <w:spacing w:after="0"/>
              <w:rPr>
                <w:sz w:val="20"/>
                <w:szCs w:val="20"/>
                <w:color w:val="auto"/>
              </w:rPr>
            </w:pPr>
            <w:r>
              <w:rPr>
                <w:rFonts w:ascii="Arial" w:cs="Arial" w:eastAsia="Arial" w:hAnsi="Arial"/>
                <w:sz w:val="17"/>
                <w:szCs w:val="17"/>
                <w:b w:val="1"/>
                <w:bCs w:val="1"/>
                <w:color w:val="404040"/>
                <w:w w:val="96"/>
              </w:rPr>
              <w:t>Total Accrued OID from Original</w:t>
            </w:r>
          </w:p>
        </w:tc>
      </w:tr>
      <w:tr>
        <w:trPr>
          <w:trHeight w:val="234"/>
        </w:trPr>
        <w:tc>
          <w:tcPr>
            <w:tcW w:w="45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404040"/>
                <w:w w:val="98"/>
              </w:rPr>
              <w:t>Calendar Period (Per</w:t>
            </w:r>
          </w:p>
        </w:tc>
        <w:tc>
          <w:tcPr>
            <w:tcW w:w="2640" w:type="dxa"/>
            <w:vAlign w:val="bottom"/>
          </w:tcPr>
          <w:p>
            <w:pPr>
              <w:jc w:val="center"/>
              <w:ind w:left="57"/>
              <w:spacing w:after="0"/>
              <w:rPr>
                <w:sz w:val="20"/>
                <w:szCs w:val="20"/>
                <w:color w:val="auto"/>
              </w:rPr>
            </w:pPr>
            <w:r>
              <w:rPr>
                <w:rFonts w:ascii="Arial" w:cs="Arial" w:eastAsia="Arial" w:hAnsi="Arial"/>
                <w:sz w:val="17"/>
                <w:szCs w:val="17"/>
                <w:b w:val="1"/>
                <w:bCs w:val="1"/>
                <w:color w:val="404040"/>
                <w:w w:val="97"/>
              </w:rPr>
              <w:t>Issue Date (Per $1,000 Principal</w:t>
            </w:r>
          </w:p>
        </w:tc>
      </w:tr>
      <w:tr>
        <w:trPr>
          <w:trHeight w:val="229"/>
        </w:trPr>
        <w:tc>
          <w:tcPr>
            <w:tcW w:w="45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404040"/>
                <w:w w:val="98"/>
              </w:rPr>
              <w:t>$1,000 Principal</w:t>
            </w:r>
          </w:p>
        </w:tc>
        <w:tc>
          <w:tcPr>
            <w:tcW w:w="2640" w:type="dxa"/>
            <w:vAlign w:val="bottom"/>
          </w:tcPr>
          <w:p>
            <w:pPr>
              <w:jc w:val="center"/>
              <w:ind w:left="57"/>
              <w:spacing w:after="0"/>
              <w:rPr>
                <w:sz w:val="20"/>
                <w:szCs w:val="20"/>
                <w:color w:val="auto"/>
              </w:rPr>
            </w:pPr>
            <w:r>
              <w:rPr>
                <w:rFonts w:ascii="Arial" w:cs="Arial" w:eastAsia="Arial" w:hAnsi="Arial"/>
                <w:sz w:val="17"/>
                <w:szCs w:val="17"/>
                <w:b w:val="1"/>
                <w:bCs w:val="1"/>
                <w:color w:val="404040"/>
                <w:w w:val="97"/>
              </w:rPr>
              <w:t>Amount Note) as of End of</w:t>
            </w:r>
          </w:p>
        </w:tc>
      </w:tr>
      <w:tr>
        <w:trPr>
          <w:trHeight w:val="238"/>
        </w:trPr>
        <w:tc>
          <w:tcPr>
            <w:tcW w:w="4500" w:type="dxa"/>
            <w:vAlign w:val="bottom"/>
          </w:tcPr>
          <w:p>
            <w:pPr>
              <w:spacing w:after="0"/>
              <w:rPr>
                <w:sz w:val="20"/>
                <w:szCs w:val="20"/>
                <w:color w:val="auto"/>
              </w:rPr>
            </w:pPr>
            <w:r>
              <w:rPr>
                <w:rFonts w:ascii="Arial" w:cs="Arial" w:eastAsia="Arial" w:hAnsi="Arial"/>
                <w:sz w:val="17"/>
                <w:szCs w:val="17"/>
                <w:b w:val="1"/>
                <w:bCs w:val="1"/>
                <w:color w:val="404040"/>
              </w:rPr>
              <w:t>Calendar Period</w:t>
            </w:r>
          </w:p>
        </w:tc>
        <w:tc>
          <w:tcPr>
            <w:tcW w:w="1900" w:type="dxa"/>
            <w:vAlign w:val="bottom"/>
          </w:tcPr>
          <w:p>
            <w:pPr>
              <w:jc w:val="center"/>
              <w:spacing w:after="0"/>
              <w:rPr>
                <w:sz w:val="20"/>
                <w:szCs w:val="20"/>
                <w:color w:val="auto"/>
              </w:rPr>
            </w:pPr>
            <w:r>
              <w:rPr>
                <w:rFonts w:ascii="Arial" w:cs="Arial" w:eastAsia="Arial" w:hAnsi="Arial"/>
                <w:sz w:val="17"/>
                <w:szCs w:val="17"/>
                <w:b w:val="1"/>
                <w:bCs w:val="1"/>
                <w:color w:val="404040"/>
                <w:w w:val="97"/>
              </w:rPr>
              <w:t>Amount Note)</w:t>
            </w:r>
          </w:p>
        </w:tc>
        <w:tc>
          <w:tcPr>
            <w:tcW w:w="2640" w:type="dxa"/>
            <w:vAlign w:val="bottom"/>
          </w:tcPr>
          <w:p>
            <w:pPr>
              <w:jc w:val="center"/>
              <w:ind w:left="37"/>
              <w:spacing w:after="0"/>
              <w:rPr>
                <w:sz w:val="20"/>
                <w:szCs w:val="20"/>
                <w:color w:val="auto"/>
              </w:rPr>
            </w:pPr>
            <w:r>
              <w:rPr>
                <w:rFonts w:ascii="Arial" w:cs="Arial" w:eastAsia="Arial" w:hAnsi="Arial"/>
                <w:sz w:val="17"/>
                <w:szCs w:val="17"/>
                <w:b w:val="1"/>
                <w:bCs w:val="1"/>
                <w:color w:val="404040"/>
                <w:w w:val="98"/>
              </w:rPr>
              <w:t>Calendar Period</w:t>
            </w:r>
          </w:p>
        </w:tc>
      </w:tr>
      <w:tr>
        <w:trPr>
          <w:trHeight w:val="402"/>
        </w:trPr>
        <w:tc>
          <w:tcPr>
            <w:tcW w:w="4500" w:type="dxa"/>
            <w:vAlign w:val="bottom"/>
          </w:tcPr>
          <w:p>
            <w:pPr>
              <w:spacing w:after="0"/>
              <w:rPr>
                <w:sz w:val="20"/>
                <w:szCs w:val="20"/>
                <w:color w:val="auto"/>
              </w:rPr>
            </w:pPr>
            <w:r>
              <w:rPr>
                <w:rFonts w:ascii="Arial" w:cs="Arial" w:eastAsia="Arial" w:hAnsi="Arial"/>
                <w:sz w:val="17"/>
                <w:szCs w:val="17"/>
                <w:color w:val="404040"/>
              </w:rPr>
              <w:t>June 25, 2025 through December 31, 2025……..…….....</w:t>
            </w:r>
          </w:p>
        </w:tc>
        <w:tc>
          <w:tcPr>
            <w:tcW w:w="1900" w:type="dxa"/>
            <w:vAlign w:val="bottom"/>
          </w:tcPr>
          <w:p>
            <w:pPr>
              <w:jc w:val="center"/>
              <w:spacing w:after="0"/>
              <w:rPr>
                <w:sz w:val="20"/>
                <w:szCs w:val="20"/>
                <w:color w:val="auto"/>
              </w:rPr>
            </w:pPr>
            <w:r>
              <w:rPr>
                <w:rFonts w:ascii="Arial" w:cs="Arial" w:eastAsia="Arial" w:hAnsi="Arial"/>
                <w:sz w:val="17"/>
                <w:szCs w:val="17"/>
                <w:color w:val="404040"/>
                <w:w w:val="99"/>
              </w:rPr>
              <w:t>$24.12</w:t>
            </w:r>
          </w:p>
        </w:tc>
        <w:tc>
          <w:tcPr>
            <w:tcW w:w="2640" w:type="dxa"/>
            <w:vAlign w:val="bottom"/>
          </w:tcPr>
          <w:p>
            <w:pPr>
              <w:jc w:val="right"/>
              <w:ind w:right="897"/>
              <w:spacing w:after="0"/>
              <w:rPr>
                <w:sz w:val="20"/>
                <w:szCs w:val="20"/>
                <w:color w:val="auto"/>
              </w:rPr>
            </w:pPr>
            <w:r>
              <w:rPr>
                <w:rFonts w:ascii="Arial" w:cs="Arial" w:eastAsia="Arial" w:hAnsi="Arial"/>
                <w:sz w:val="17"/>
                <w:szCs w:val="17"/>
                <w:color w:val="404040"/>
              </w:rPr>
              <w:t>$24.12</w:t>
            </w:r>
          </w:p>
        </w:tc>
      </w:tr>
      <w:tr>
        <w:trPr>
          <w:trHeight w:val="424"/>
        </w:trPr>
        <w:tc>
          <w:tcPr>
            <w:tcW w:w="4500" w:type="dxa"/>
            <w:vAlign w:val="bottom"/>
          </w:tcPr>
          <w:p>
            <w:pPr>
              <w:spacing w:after="0"/>
              <w:rPr>
                <w:sz w:val="20"/>
                <w:szCs w:val="20"/>
                <w:color w:val="auto"/>
              </w:rPr>
            </w:pPr>
            <w:r>
              <w:rPr>
                <w:rFonts w:ascii="Arial" w:cs="Arial" w:eastAsia="Arial" w:hAnsi="Arial"/>
                <w:sz w:val="17"/>
                <w:szCs w:val="17"/>
                <w:color w:val="404040"/>
              </w:rPr>
              <w:t>January 1, 2026 through December 21, 2026…………….…</w:t>
            </w:r>
          </w:p>
        </w:tc>
        <w:tc>
          <w:tcPr>
            <w:tcW w:w="1900" w:type="dxa"/>
            <w:vAlign w:val="bottom"/>
          </w:tcPr>
          <w:p>
            <w:pPr>
              <w:jc w:val="center"/>
              <w:spacing w:after="0"/>
              <w:rPr>
                <w:sz w:val="20"/>
                <w:szCs w:val="20"/>
                <w:color w:val="auto"/>
              </w:rPr>
            </w:pPr>
            <w:r>
              <w:rPr>
                <w:rFonts w:ascii="Arial" w:cs="Arial" w:eastAsia="Arial" w:hAnsi="Arial"/>
                <w:sz w:val="17"/>
                <w:szCs w:val="17"/>
                <w:color w:val="404040"/>
                <w:w w:val="99"/>
              </w:rPr>
              <w:t>$47.37</w:t>
            </w:r>
          </w:p>
        </w:tc>
        <w:tc>
          <w:tcPr>
            <w:tcW w:w="2640" w:type="dxa"/>
            <w:vAlign w:val="bottom"/>
          </w:tcPr>
          <w:p>
            <w:pPr>
              <w:jc w:val="right"/>
              <w:ind w:right="897"/>
              <w:spacing w:after="0"/>
              <w:rPr>
                <w:sz w:val="20"/>
                <w:szCs w:val="20"/>
                <w:color w:val="auto"/>
              </w:rPr>
            </w:pPr>
            <w:r>
              <w:rPr>
                <w:rFonts w:ascii="Arial" w:cs="Arial" w:eastAsia="Arial" w:hAnsi="Arial"/>
                <w:sz w:val="17"/>
                <w:szCs w:val="17"/>
                <w:color w:val="404040"/>
              </w:rPr>
              <w:t>$71.49</w:t>
            </w:r>
          </w:p>
        </w:tc>
      </w:tr>
    </w:tbl>
    <w:p>
      <w:pPr>
        <w:spacing w:after="0" w:line="216" w:lineRule="exact"/>
        <w:rPr>
          <w:sz w:val="20"/>
          <w:szCs w:val="20"/>
          <w:color w:val="auto"/>
        </w:rPr>
      </w:pPr>
    </w:p>
    <w:p>
      <w:pPr>
        <w:ind w:right="160"/>
        <w:spacing w:after="0" w:line="295" w:lineRule="auto"/>
        <w:rPr>
          <w:sz w:val="20"/>
          <w:szCs w:val="20"/>
          <w:color w:val="auto"/>
        </w:rPr>
      </w:pPr>
      <w:r>
        <w:rPr>
          <w:rFonts w:ascii="Arial" w:cs="Arial" w:eastAsia="Arial" w:hAnsi="Arial"/>
          <w:sz w:val="17"/>
          <w:szCs w:val="17"/>
          <w:b w:val="1"/>
          <w:bCs w:val="1"/>
          <w:color w:val="404040"/>
        </w:rPr>
        <w:t>The comparable yield and projected payment schedule are determined solely to calculate the amount on which you will be taxed with respect to the notes in each year and are neither a prediction nor a guarantee of what the actual yield or timing of the payment or payments will be. The amount you actually receive at maturity or earlier sale or exchange of your notes will affect your income for that year, as described above under “Tax Treatment.”</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The Estimated Value of the Notes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7F7F7F"/>
        </w:rPr>
        <w:t>PS-7 | Structured Investments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80"/>
          </w:cols>
          <w:pgMar w:left="1000" w:top="873" w:right="919" w:bottom="1440" w:gutter="0" w:footer="0" w:header="0"/>
        </w:sectPr>
      </w:pPr>
    </w:p>
    <w:bookmarkStart w:id="8" w:name="page9"/>
    <w:bookmarkEnd w:id="8"/>
    <w:p>
      <w:pPr>
        <w:ind w:right="40"/>
        <w:spacing w:after="0" w:line="288" w:lineRule="auto"/>
        <w:rPr>
          <w:sz w:val="20"/>
          <w:szCs w:val="20"/>
          <w:color w:val="auto"/>
        </w:rPr>
      </w:pPr>
      <w:r>
        <w:rPr>
          <w:rFonts w:ascii="Arial" w:cs="Arial" w:eastAsia="Arial" w:hAnsi="Arial"/>
          <w:sz w:val="17"/>
          <w:szCs w:val="17"/>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48"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48"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404040"/>
        </w:rPr>
        <w:t>The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Is Lower Than the Original Issue Price (Price to Public) of the Notes” in this pricing supplement.</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5269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5269230"/>
                    </a:xfrm>
                    <a:prstGeom prst="rect">
                      <a:avLst/>
                    </a:prstGeom>
                    <a:noFill/>
                  </pic:spPr>
                </pic:pic>
              </a:graphicData>
            </a:graphic>
          </wp:anchor>
        </w:drawing>
      </w:r>
    </w:p>
    <w:p>
      <w:pPr>
        <w:spacing w:after="0" w:line="98" w:lineRule="exact"/>
        <w:rPr>
          <w:sz w:val="20"/>
          <w:szCs w:val="20"/>
          <w:color w:val="auto"/>
        </w:rPr>
      </w:pPr>
    </w:p>
    <w:p>
      <w:pPr>
        <w:spacing w:after="0" w:line="304"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Supplemental Use of Proceeds</w:t>
      </w:r>
    </w:p>
    <w:p>
      <w:pPr>
        <w:spacing w:after="0" w:line="118"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404040"/>
        </w:rPr>
        <w:t>The notes are offered to meet investor demand for products that reflect the risk-return profile and market exposure provided by the notes. See “Hypothetical Payout Profile” and “How the Notes Work” in this pricing supplement for an illustration of the risk-return profile of the notes and “The Index” in this pricing supplement for a description of the market exposure provided by the notes.</w:t>
      </w:r>
    </w:p>
    <w:p>
      <w:pPr>
        <w:spacing w:after="0" w:line="37"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Validity of the Notes and the Guarantee</w:t>
      </w:r>
    </w:p>
    <w:p>
      <w:pPr>
        <w:spacing w:after="0" w:line="118" w:lineRule="exact"/>
        <w:rPr>
          <w:sz w:val="20"/>
          <w:szCs w:val="20"/>
          <w:color w:val="auto"/>
        </w:rPr>
      </w:pPr>
    </w:p>
    <w:p>
      <w:pPr>
        <w:spacing w:after="0" w:line="304" w:lineRule="auto"/>
        <w:rPr>
          <w:sz w:val="20"/>
          <w:szCs w:val="20"/>
          <w:color w:val="auto"/>
        </w:rPr>
      </w:pPr>
      <w:r>
        <w:rPr>
          <w:rFonts w:ascii="Arial" w:cs="Arial" w:eastAsia="Arial" w:hAnsi="Arial"/>
          <w:sz w:val="16"/>
          <w:szCs w:val="16"/>
          <w:color w:val="404040"/>
        </w:rPr>
        <w:t xml:space="preserve">In the opinion of Davis Polk &amp; Wardwell LLP, as special products counsel to JPMorgan Financial and JPMorgan Chase &amp; Co., when the notes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notes (the “master note”), and such notes have been delivered against payment as contemplated herein, such notes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(i) the effect of fraudulent conveyance, fraudulent transfer or similar provision of applicable law on the conclusions expressed above or (ii) any provision of the indenture that purports to avoid the effect of fraudulent conveyance, fraudulent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7F7F7F"/>
        </w:rPr>
        <w:t>PS-8 | Structured Investments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80"/>
          </w:cols>
          <w:pgMar w:left="1000" w:top="873" w:right="919" w:bottom="1440" w:gutter="0" w:footer="0" w:header="0"/>
        </w:sectPr>
      </w:pPr>
    </w:p>
    <w:bookmarkStart w:id="9" w:name="page10"/>
    <w:bookmarkEnd w:id="9"/>
    <w:p>
      <w:pPr>
        <w:ind w:right="20"/>
        <w:spacing w:after="0" w:line="286" w:lineRule="auto"/>
        <w:rPr>
          <w:sz w:val="20"/>
          <w:szCs w:val="20"/>
          <w:color w:val="auto"/>
        </w:rPr>
      </w:pPr>
      <w:r>
        <w:rPr>
          <w:rFonts w:ascii="Arial" w:cs="Arial" w:eastAsia="Arial" w:hAnsi="Arial"/>
          <w:sz w:val="17"/>
          <w:szCs w:val="17"/>
          <w:color w:val="404040"/>
        </w:rPr>
        <w:t>transfer or similar provision of applicable law by limiting the amount of JPMorgan Chase &amp; Co.’s obligation under the related guarantee. This opinion is given as of the date hereof and is limited to the laws of the State of New York, the General Corporation Law of the State of Delaware and the Delaware Limited Liability Company Act.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February 24, 2023, which was filed as an exhibit to the Registration Statement on Form S-3 by JPMorgan Financial and JPMorgan Chase &amp; Co. on February 24, 2023.</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7412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7412355"/>
                    </a:xfrm>
                    <a:prstGeom prst="rect">
                      <a:avLst/>
                    </a:prstGeom>
                    <a:noFill/>
                  </pic:spPr>
                </pic:pic>
              </a:graphicData>
            </a:graphic>
          </wp:anchor>
        </w:drawing>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7"/>
          <w:szCs w:val="17"/>
          <w:color w:val="404040"/>
        </w:rPr>
        <w:t>You should read this pricing supplement together with the accompanying prospectus, as supplemented by the accompanying prospectus supplement relating to our Series A medium-term notes of which these notes are a part, the accompanying prospectus addendum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and in Annex A to the accompanying prospectus addendum, as the notes involve risks not associated with conventional debt securities. We urge you to consult your investment, legal, tax, accounting and other advisers before you invest in the notes.</w:t>
      </w:r>
    </w:p>
    <w:p>
      <w:pPr>
        <w:spacing w:after="0" w:line="66" w:lineRule="exact"/>
        <w:rPr>
          <w:sz w:val="20"/>
          <w:szCs w:val="20"/>
          <w:color w:val="auto"/>
        </w:rPr>
      </w:pPr>
    </w:p>
    <w:p>
      <w:pPr>
        <w:ind w:right="640"/>
        <w:spacing w:after="0" w:line="300" w:lineRule="auto"/>
        <w:rPr>
          <w:sz w:val="20"/>
          <w:szCs w:val="20"/>
          <w:color w:val="auto"/>
        </w:rPr>
      </w:pPr>
      <w:r>
        <w:rPr>
          <w:rFonts w:ascii="Arial" w:cs="Arial" w:eastAsia="Arial" w:hAnsi="Arial"/>
          <w:sz w:val="17"/>
          <w:szCs w:val="17"/>
          <w:b w:val="1"/>
          <w:bCs w:val="1"/>
          <w:color w:val="404040"/>
        </w:rPr>
        <w:t>You may access these documents on the SEC website at www.sec.gov as follows (or if such address has changed, by reviewing our filings for the relevant date on the SEC website):</w:t>
      </w:r>
    </w:p>
    <w:p>
      <w:pPr>
        <w:spacing w:after="0" w:line="1" w:lineRule="exact"/>
        <w:rPr>
          <w:sz w:val="20"/>
          <w:szCs w:val="20"/>
          <w:color w:val="auto"/>
        </w:rPr>
      </w:pPr>
    </w:p>
    <w:p>
      <w:pPr>
        <w:ind w:left="500" w:right="2700" w:hanging="331"/>
        <w:spacing w:after="0" w:line="326" w:lineRule="auto"/>
        <w:tabs>
          <w:tab w:leader="none" w:pos="523" w:val="left"/>
        </w:tabs>
        <w:numPr>
          <w:ilvl w:val="0"/>
          <w:numId w:val="23"/>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13, 2023: </w:t>
      </w:r>
      <w:hyperlink r:id="rId18">
        <w:r>
          <w:rPr>
            <w:rFonts w:ascii="Arial" w:cs="Arial" w:eastAsia="Arial" w:hAnsi="Arial"/>
            <w:sz w:val="16"/>
            <w:szCs w:val="16"/>
            <w:color w:val="0000FF"/>
          </w:rPr>
          <w:t>http://www.sec.gov/Archives/edgar/data/19617/000121390023029706/ea153081_424b2.pdf</w:t>
        </w:r>
      </w:hyperlink>
    </w:p>
    <w:p>
      <w:pPr>
        <w:spacing w:after="0" w:line="1" w:lineRule="exact"/>
        <w:rPr>
          <w:rFonts w:ascii="Arial" w:cs="Arial" w:eastAsia="Arial" w:hAnsi="Arial"/>
          <w:sz w:val="16"/>
          <w:szCs w:val="16"/>
          <w:color w:val="0000FF"/>
        </w:rPr>
      </w:pPr>
    </w:p>
    <w:p>
      <w:pPr>
        <w:ind w:left="500" w:right="2700" w:hanging="331"/>
        <w:spacing w:after="0" w:line="318" w:lineRule="auto"/>
        <w:tabs>
          <w:tab w:leader="none" w:pos="523" w:val="left"/>
        </w:tabs>
        <w:numPr>
          <w:ilvl w:val="0"/>
          <w:numId w:val="23"/>
        </w:numPr>
        <w:rPr>
          <w:rFonts w:ascii="Arial" w:cs="Arial" w:eastAsia="Arial" w:hAnsi="Arial"/>
          <w:sz w:val="16"/>
          <w:szCs w:val="16"/>
          <w:color w:val="0000FF"/>
        </w:rPr>
      </w:pPr>
      <w:r>
        <w:rPr>
          <w:rFonts w:ascii="Arial" w:cs="Arial" w:eastAsia="Arial" w:hAnsi="Arial"/>
          <w:sz w:val="16"/>
          <w:szCs w:val="16"/>
          <w:color w:val="404040"/>
        </w:rPr>
        <w:t xml:space="preserve">Underlying supplement no. 1-I dated April 13, 2023: </w:t>
      </w:r>
      <w:hyperlink r:id="rId19">
        <w:r>
          <w:rPr>
            <w:rFonts w:ascii="Arial" w:cs="Arial" w:eastAsia="Arial" w:hAnsi="Arial"/>
            <w:sz w:val="16"/>
            <w:szCs w:val="16"/>
            <w:color w:val="0000FF"/>
          </w:rPr>
          <w:t>http://www.sec.gov/Archives/edgar/data/19617/000121390023029543/ea151873_424b2.pdf</w:t>
        </w:r>
      </w:hyperlink>
    </w:p>
    <w:p>
      <w:pPr>
        <w:spacing w:after="0" w:line="1" w:lineRule="exact"/>
        <w:rPr>
          <w:rFonts w:ascii="Arial" w:cs="Arial" w:eastAsia="Arial" w:hAnsi="Arial"/>
          <w:sz w:val="16"/>
          <w:szCs w:val="16"/>
          <w:color w:val="0000FF"/>
        </w:rPr>
      </w:pPr>
    </w:p>
    <w:p>
      <w:pPr>
        <w:ind w:left="500" w:right="2460" w:hanging="331"/>
        <w:spacing w:after="0" w:line="326" w:lineRule="auto"/>
        <w:tabs>
          <w:tab w:leader="none" w:pos="523" w:val="left"/>
        </w:tabs>
        <w:numPr>
          <w:ilvl w:val="0"/>
          <w:numId w:val="23"/>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13, 2023: </w:t>
      </w:r>
      <w:hyperlink r:id="rId20">
        <w:r>
          <w:rPr>
            <w:rFonts w:ascii="Arial" w:cs="Arial" w:eastAsia="Arial" w:hAnsi="Arial"/>
            <w:sz w:val="16"/>
            <w:szCs w:val="16"/>
            <w:color w:val="0000FF"/>
          </w:rPr>
          <w:t>http://www.sec.gov/Archives/edgar/data/19617/000095010323005751/crt_dp192097-424b2.pdf</w:t>
        </w:r>
      </w:hyperlink>
    </w:p>
    <w:p>
      <w:pPr>
        <w:spacing w:after="0" w:line="1" w:lineRule="exact"/>
        <w:rPr>
          <w:rFonts w:ascii="Arial" w:cs="Arial" w:eastAsia="Arial" w:hAnsi="Arial"/>
          <w:sz w:val="16"/>
          <w:szCs w:val="16"/>
          <w:color w:val="0000FF"/>
        </w:rPr>
      </w:pPr>
    </w:p>
    <w:p>
      <w:pPr>
        <w:ind w:left="500" w:right="2480" w:hanging="331"/>
        <w:spacing w:after="0" w:line="310" w:lineRule="auto"/>
        <w:tabs>
          <w:tab w:leader="none" w:pos="523" w:val="left"/>
        </w:tabs>
        <w:numPr>
          <w:ilvl w:val="0"/>
          <w:numId w:val="23"/>
        </w:numPr>
        <w:rPr>
          <w:rFonts w:ascii="Arial" w:cs="Arial" w:eastAsia="Arial" w:hAnsi="Arial"/>
          <w:sz w:val="16"/>
          <w:szCs w:val="16"/>
          <w:color w:val="0000FF"/>
        </w:rPr>
      </w:pPr>
      <w:r>
        <w:rPr>
          <w:rFonts w:ascii="Arial" w:cs="Arial" w:eastAsia="Arial" w:hAnsi="Arial"/>
          <w:sz w:val="16"/>
          <w:szCs w:val="16"/>
          <w:color w:val="404040"/>
        </w:rPr>
        <w:t xml:space="preserve">Prospectus addendum dated June 3, 2024: </w:t>
      </w:r>
      <w:hyperlink r:id="rId21">
        <w:r>
          <w:rPr>
            <w:rFonts w:ascii="Arial" w:cs="Arial" w:eastAsia="Arial" w:hAnsi="Arial"/>
            <w:sz w:val="16"/>
            <w:szCs w:val="16"/>
            <w:color w:val="0000FF"/>
          </w:rPr>
          <w:t>http://www.sec.gov/Archives/edgar/data/1665650/000095010324007599/dp211753_424b3.htm</w:t>
        </w:r>
      </w:hyperlink>
    </w:p>
    <w:p>
      <w:pPr>
        <w:ind w:right="300"/>
        <w:spacing w:after="0" w:line="307"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388" w:lineRule="exact"/>
        <w:rPr>
          <w:rFonts w:ascii="Verdana" w:cs="Verdana" w:eastAsia="Verdana" w:hAnsi="Verdana"/>
          <w:sz w:val="16"/>
          <w:szCs w:val="16"/>
          <w:color w:val="404040"/>
        </w:rPr>
      </w:pPr>
    </w:p>
    <w:p>
      <w:pPr>
        <w:spacing w:after="0"/>
        <w:rPr>
          <w:sz w:val="20"/>
          <w:szCs w:val="20"/>
          <w:color w:val="auto"/>
        </w:rPr>
      </w:pPr>
      <w:r>
        <w:rPr>
          <w:rFonts w:ascii="Arial" w:cs="Arial" w:eastAsia="Arial" w:hAnsi="Arial"/>
          <w:sz w:val="17"/>
          <w:szCs w:val="17"/>
          <w:color w:val="7F7F7F"/>
        </w:rPr>
        <w:t>PS-9 | Structured Investments</w:t>
      </w:r>
    </w:p>
    <w:p>
      <w:pPr>
        <w:spacing w:after="0" w:line="7" w:lineRule="exact"/>
        <w:rPr>
          <w:rFonts w:ascii="Verdana" w:cs="Verdana" w:eastAsia="Verdana" w:hAnsi="Verdana"/>
          <w:sz w:val="16"/>
          <w:szCs w:val="16"/>
          <w:color w:val="404040"/>
        </w:rPr>
      </w:pPr>
    </w:p>
    <w:p>
      <w:pPr>
        <w:spacing w:after="0"/>
        <w:rPr>
          <w:sz w:val="20"/>
          <w:szCs w:val="20"/>
          <w:color w:val="auto"/>
        </w:rPr>
      </w:pPr>
      <w:r>
        <w:rPr>
          <w:rFonts w:ascii="Arial" w:cs="Arial" w:eastAsia="Arial" w:hAnsi="Arial"/>
          <w:sz w:val="15"/>
          <w:szCs w:val="15"/>
          <w:color w:val="808080"/>
        </w:rPr>
        <w:t>Bearish Knock-Out Notes Linked to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960"/>
          </w:cols>
          <w:pgMar w:left="1000" w:top="873" w:right="939" w:bottom="1440" w:gutter="0" w:footer="0" w:header="0"/>
        </w:sectPr>
      </w:pPr>
    </w:p>
    <w:bookmarkStart w:id="10" w:name="page11"/>
    <w:bookmarkEnd w:id="10"/>
    <w:p>
      <w:pPr>
        <w:ind w:left="2840"/>
        <w:spacing w:after="0"/>
        <w:rPr>
          <w:sz w:val="20"/>
          <w:szCs w:val="20"/>
          <w:color w:val="auto"/>
        </w:rPr>
      </w:pPr>
      <w:r>
        <w:rPr>
          <w:rFonts w:ascii="Arial" w:cs="Arial" w:eastAsia="Arial" w:hAnsi="Arial"/>
          <w:sz w:val="35"/>
          <w:szCs w:val="35"/>
          <w:b w:val="1"/>
          <w:bCs w:val="1"/>
          <w:color w:val="auto"/>
        </w:rPr>
        <w:t>Calculation of Filing Fee Tables</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35"/>
          <w:szCs w:val="35"/>
          <w:b w:val="1"/>
          <w:bCs w:val="1"/>
          <w:color w:val="auto"/>
        </w:rPr>
        <w:t>S-3</w:t>
      </w:r>
    </w:p>
    <w:p>
      <w:pPr>
        <w:spacing w:after="0" w:line="127" w:lineRule="exact"/>
        <w:rPr>
          <w:sz w:val="20"/>
          <w:szCs w:val="20"/>
          <w:color w:val="auto"/>
        </w:rPr>
      </w:pPr>
    </w:p>
    <w:p>
      <w:pPr>
        <w:jc w:val="center"/>
        <w:ind w:right="160"/>
        <w:spacing w:after="0"/>
        <w:rPr>
          <w:sz w:val="20"/>
          <w:szCs w:val="20"/>
          <w:color w:val="auto"/>
        </w:rPr>
      </w:pPr>
      <w:r>
        <w:rPr>
          <w:rFonts w:ascii="Arial" w:cs="Arial" w:eastAsia="Arial" w:hAnsi="Arial"/>
          <w:sz w:val="35"/>
          <w:szCs w:val="35"/>
          <w:b w:val="1"/>
          <w:bCs w:val="1"/>
          <w:color w:val="auto"/>
        </w:rPr>
        <w:t>JPMORGAN CHASE &amp; CO</w:t>
      </w:r>
    </w:p>
    <w:p>
      <w:pPr>
        <w:spacing w:after="0" w:line="163"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Narrative Disclosure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The maximum aggregate offering price of the securities to which the prospectus relates is $2,000,000. The prospectus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is a final prospectus for the related offering.</w:t>
      </w:r>
    </w:p>
    <w:sectPr>
      <w:pgSz w:w="11900" w:h="16838" w:orient="portrait"/>
      <w:cols w:equalWidth="0" w:num="1">
        <w:col w:w="11060"/>
      </w:cols>
      <w:pgMar w:left="420" w:top="14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hyperlink" Target="http://www.sec.gov/Archives/edgar/data/19617/000121390023029706/ea153081_424b2.pdf" TargetMode="External"/><Relationship Id="rId19" Type="http://schemas.openxmlformats.org/officeDocument/2006/relationships/hyperlink" Target="http://www.sec.gov/Archives/edgar/data/19617/000121390023029543/ea151873_424b2.pdf" TargetMode="External"/><Relationship Id="rId20" Type="http://schemas.openxmlformats.org/officeDocument/2006/relationships/hyperlink" Target="http://www.sec.gov/Archives/edgar/data/19617/000095010323005751/crt_dp192097-424b2.pdf" TargetMode="External"/><Relationship Id="rId21"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2025-06-24T16:06:17Z</dcterms:created>
  <dcterms:modified xsi:type="dcterms:W3CDTF">2025-06-24T16:06:17Z</dcterms:modified>
</cp:coreProperties>
</file>