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15" w:lineRule="exact"/>
        <w:rPr>
          <w:sz w:val="24"/>
          <w:szCs w:val="24"/>
          <w:color w:val="auto"/>
        </w:rPr>
      </w:pPr>
    </w:p>
    <w:p>
      <w:pPr>
        <w:ind w:left="5220"/>
        <w:spacing w:after="0"/>
        <w:rPr>
          <w:sz w:val="20"/>
          <w:szCs w:val="20"/>
          <w:color w:val="auto"/>
        </w:rPr>
      </w:pPr>
      <w:r>
        <w:rPr>
          <w:rFonts w:ascii="Arial" w:cs="Arial" w:eastAsia="Arial" w:hAnsi="Arial"/>
          <w:sz w:val="22"/>
          <w:szCs w:val="22"/>
          <w:color w:val="auto"/>
        </w:rPr>
        <w:t>_________</w:t>
      </w:r>
    </w:p>
    <w:p>
      <w:pPr>
        <w:spacing w:after="0" w:line="200" w:lineRule="exact"/>
        <w:rPr>
          <w:sz w:val="24"/>
          <w:szCs w:val="24"/>
          <w:color w:val="auto"/>
        </w:rPr>
      </w:pPr>
    </w:p>
    <w:p>
      <w:pPr>
        <w:spacing w:after="0" w:line="257" w:lineRule="exact"/>
        <w:rPr>
          <w:sz w:val="24"/>
          <w:szCs w:val="24"/>
          <w:color w:val="auto"/>
        </w:rPr>
      </w:pPr>
    </w:p>
    <w:tbl>
      <w:tblPr>
        <w:tblLayout w:type="fixed"/>
        <w:tblInd w:w="400" w:type="dxa"/>
        <w:tblCellMar>
          <w:top w:w="0" w:type="dxa"/>
          <w:left w:w="0" w:type="dxa"/>
          <w:bottom w:w="0" w:type="dxa"/>
          <w:right w:w="0" w:type="dxa"/>
        </w:tblCellMar>
      </w:tblPr>
      <w:tr>
        <w:trPr>
          <w:trHeight w:val="421"/>
        </w:trPr>
        <w:tc>
          <w:tcPr>
            <w:tcW w:w="7820" w:type="dxa"/>
            <w:vAlign w:val="bottom"/>
          </w:tcPr>
          <w:p>
            <w:pPr>
              <w:jc w:val="center"/>
              <w:ind w:left="2721"/>
              <w:spacing w:after="0"/>
              <w:rPr>
                <w:sz w:val="20"/>
                <w:szCs w:val="20"/>
                <w:color w:val="auto"/>
              </w:rPr>
            </w:pPr>
            <w:r>
              <w:rPr>
                <w:rFonts w:ascii="Arial" w:cs="Arial" w:eastAsia="Arial" w:hAnsi="Arial"/>
                <w:sz w:val="32"/>
                <w:szCs w:val="32"/>
                <w:b w:val="1"/>
                <w:bCs w:val="1"/>
                <w:color w:val="auto"/>
              </w:rPr>
              <w:t>FORM 8-K</w:t>
            </w:r>
          </w:p>
        </w:tc>
        <w:tc>
          <w:tcPr>
            <w:tcW w:w="2520" w:type="dxa"/>
            <w:vAlign w:val="bottom"/>
          </w:tcPr>
          <w:p>
            <w:pPr>
              <w:spacing w:after="0"/>
              <w:rPr>
                <w:sz w:val="24"/>
                <w:szCs w:val="24"/>
                <w:color w:val="auto"/>
              </w:rPr>
            </w:pPr>
          </w:p>
        </w:tc>
      </w:tr>
      <w:tr>
        <w:trPr>
          <w:trHeight w:val="444"/>
        </w:trPr>
        <w:tc>
          <w:tcPr>
            <w:tcW w:w="7820" w:type="dxa"/>
            <w:vAlign w:val="bottom"/>
          </w:tcPr>
          <w:p>
            <w:pPr>
              <w:jc w:val="center"/>
              <w:ind w:left="2701"/>
              <w:spacing w:after="0"/>
              <w:rPr>
                <w:sz w:val="20"/>
                <w:szCs w:val="20"/>
                <w:color w:val="auto"/>
              </w:rPr>
            </w:pPr>
            <w:r>
              <w:rPr>
                <w:rFonts w:ascii="Arial" w:cs="Arial" w:eastAsia="Arial" w:hAnsi="Arial"/>
                <w:sz w:val="22"/>
                <w:szCs w:val="22"/>
                <w:b w:val="1"/>
                <w:bCs w:val="1"/>
                <w:color w:val="auto"/>
                <w:w w:val="98"/>
              </w:rPr>
              <w:t>CURRENT REPORT</w:t>
            </w:r>
          </w:p>
        </w:tc>
        <w:tc>
          <w:tcPr>
            <w:tcW w:w="2520" w:type="dxa"/>
            <w:vAlign w:val="bottom"/>
          </w:tcPr>
          <w:p>
            <w:pPr>
              <w:spacing w:after="0"/>
              <w:rPr>
                <w:sz w:val="24"/>
                <w:szCs w:val="24"/>
                <w:color w:val="auto"/>
              </w:rPr>
            </w:pPr>
          </w:p>
        </w:tc>
      </w:tr>
      <w:tr>
        <w:trPr>
          <w:trHeight w:val="243"/>
        </w:trPr>
        <w:tc>
          <w:tcPr>
            <w:tcW w:w="7820" w:type="dxa"/>
            <w:vAlign w:val="bottom"/>
          </w:tcPr>
          <w:p>
            <w:pPr>
              <w:jc w:val="center"/>
              <w:ind w:left="2701"/>
              <w:spacing w:after="0" w:line="243" w:lineRule="exact"/>
              <w:rPr>
                <w:sz w:val="20"/>
                <w:szCs w:val="20"/>
                <w:color w:val="auto"/>
              </w:rPr>
            </w:pPr>
            <w:r>
              <w:rPr>
                <w:rFonts w:ascii="Arial" w:cs="Arial" w:eastAsia="Arial" w:hAnsi="Arial"/>
                <w:sz w:val="22"/>
                <w:szCs w:val="22"/>
                <w:b w:val="1"/>
                <w:bCs w:val="1"/>
                <w:color w:val="auto"/>
                <w:w w:val="88"/>
              </w:rPr>
              <w:t>Pursuant to Section 13 or 15(d) of the</w:t>
            </w:r>
          </w:p>
        </w:tc>
        <w:tc>
          <w:tcPr>
            <w:tcW w:w="2520" w:type="dxa"/>
            <w:vAlign w:val="bottom"/>
          </w:tcPr>
          <w:p>
            <w:pPr>
              <w:spacing w:after="0"/>
              <w:rPr>
                <w:sz w:val="21"/>
                <w:szCs w:val="21"/>
                <w:color w:val="auto"/>
              </w:rPr>
            </w:pPr>
          </w:p>
        </w:tc>
      </w:tr>
      <w:tr>
        <w:trPr>
          <w:trHeight w:val="281"/>
        </w:trPr>
        <w:tc>
          <w:tcPr>
            <w:tcW w:w="7820" w:type="dxa"/>
            <w:vAlign w:val="bottom"/>
          </w:tcPr>
          <w:p>
            <w:pPr>
              <w:jc w:val="center"/>
              <w:ind w:left="2721"/>
              <w:spacing w:after="0"/>
              <w:rPr>
                <w:sz w:val="20"/>
                <w:szCs w:val="20"/>
                <w:color w:val="auto"/>
              </w:rPr>
            </w:pPr>
            <w:r>
              <w:rPr>
                <w:rFonts w:ascii="Arial" w:cs="Arial" w:eastAsia="Arial" w:hAnsi="Arial"/>
                <w:sz w:val="22"/>
                <w:szCs w:val="22"/>
                <w:b w:val="1"/>
                <w:bCs w:val="1"/>
                <w:color w:val="auto"/>
                <w:w w:val="87"/>
              </w:rPr>
              <w:t>Securities Exchange Act of 1934</w:t>
            </w:r>
          </w:p>
        </w:tc>
        <w:tc>
          <w:tcPr>
            <w:tcW w:w="2520" w:type="dxa"/>
            <w:vAlign w:val="bottom"/>
          </w:tcPr>
          <w:p>
            <w:pPr>
              <w:spacing w:after="0"/>
              <w:rPr>
                <w:sz w:val="24"/>
                <w:szCs w:val="24"/>
                <w:color w:val="auto"/>
              </w:rPr>
            </w:pPr>
          </w:p>
        </w:tc>
      </w:tr>
      <w:tr>
        <w:trPr>
          <w:trHeight w:val="449"/>
        </w:trPr>
        <w:tc>
          <w:tcPr>
            <w:tcW w:w="7820" w:type="dxa"/>
            <w:vAlign w:val="bottom"/>
          </w:tcPr>
          <w:p>
            <w:pPr>
              <w:jc w:val="center"/>
              <w:ind w:left="2701"/>
              <w:spacing w:after="0"/>
              <w:rPr>
                <w:sz w:val="20"/>
                <w:szCs w:val="20"/>
                <w:color w:val="auto"/>
              </w:rPr>
            </w:pPr>
            <w:r>
              <w:rPr>
                <w:rFonts w:ascii="Arial" w:cs="Arial" w:eastAsia="Arial" w:hAnsi="Arial"/>
                <w:sz w:val="18"/>
                <w:szCs w:val="18"/>
                <w:color w:val="auto"/>
                <w:w w:val="90"/>
              </w:rPr>
              <w:t>Date of report (Date of earliest event reported): September 17, 2008</w:t>
            </w:r>
          </w:p>
        </w:tc>
        <w:tc>
          <w:tcPr>
            <w:tcW w:w="2520" w:type="dxa"/>
            <w:vAlign w:val="bottom"/>
          </w:tcPr>
          <w:p>
            <w:pPr>
              <w:spacing w:after="0"/>
              <w:rPr>
                <w:sz w:val="24"/>
                <w:szCs w:val="24"/>
                <w:color w:val="auto"/>
              </w:rPr>
            </w:pPr>
          </w:p>
        </w:tc>
      </w:tr>
      <w:tr>
        <w:trPr>
          <w:trHeight w:val="445"/>
        </w:trPr>
        <w:tc>
          <w:tcPr>
            <w:tcW w:w="7820" w:type="dxa"/>
            <w:vAlign w:val="bottom"/>
          </w:tcPr>
          <w:p>
            <w:pPr>
              <w:jc w:val="center"/>
              <w:ind w:left="2721"/>
              <w:spacing w:after="0"/>
              <w:rPr>
                <w:sz w:val="20"/>
                <w:szCs w:val="20"/>
                <w:color w:val="auto"/>
              </w:rPr>
            </w:pPr>
            <w:r>
              <w:rPr>
                <w:rFonts w:ascii="Arial" w:cs="Arial" w:eastAsia="Arial" w:hAnsi="Arial"/>
                <w:sz w:val="22"/>
                <w:szCs w:val="22"/>
                <w:b w:val="1"/>
                <w:bCs w:val="1"/>
                <w:color w:val="auto"/>
                <w:w w:val="98"/>
              </w:rPr>
              <w:t>JPMORGAN CHASE &amp; CO.</w:t>
            </w:r>
          </w:p>
        </w:tc>
        <w:tc>
          <w:tcPr>
            <w:tcW w:w="2520" w:type="dxa"/>
            <w:vAlign w:val="bottom"/>
          </w:tcPr>
          <w:p>
            <w:pPr>
              <w:spacing w:after="0"/>
              <w:rPr>
                <w:sz w:val="24"/>
                <w:szCs w:val="24"/>
                <w:color w:val="auto"/>
              </w:rPr>
            </w:pPr>
          </w:p>
        </w:tc>
      </w:tr>
      <w:tr>
        <w:trPr>
          <w:trHeight w:val="216"/>
        </w:trPr>
        <w:tc>
          <w:tcPr>
            <w:tcW w:w="7820" w:type="dxa"/>
            <w:vAlign w:val="bottom"/>
          </w:tcPr>
          <w:p>
            <w:pPr>
              <w:jc w:val="center"/>
              <w:ind w:left="2721"/>
              <w:spacing w:after="0"/>
              <w:rPr>
                <w:sz w:val="20"/>
                <w:szCs w:val="20"/>
                <w:color w:val="auto"/>
              </w:rPr>
            </w:pPr>
            <w:r>
              <w:rPr>
                <w:rFonts w:ascii="Arial" w:cs="Arial" w:eastAsia="Arial" w:hAnsi="Arial"/>
                <w:sz w:val="18"/>
                <w:szCs w:val="18"/>
                <w:color w:val="auto"/>
                <w:w w:val="90"/>
              </w:rPr>
              <w:t>(Exact Name of Registrant</w:t>
            </w:r>
          </w:p>
        </w:tc>
        <w:tc>
          <w:tcPr>
            <w:tcW w:w="2520" w:type="dxa"/>
            <w:vAlign w:val="bottom"/>
          </w:tcPr>
          <w:p>
            <w:pPr>
              <w:spacing w:after="0"/>
              <w:rPr>
                <w:sz w:val="18"/>
                <w:szCs w:val="18"/>
                <w:color w:val="auto"/>
              </w:rPr>
            </w:pPr>
          </w:p>
        </w:tc>
      </w:tr>
      <w:tr>
        <w:trPr>
          <w:trHeight w:val="230"/>
        </w:trPr>
        <w:tc>
          <w:tcPr>
            <w:tcW w:w="7820" w:type="dxa"/>
            <w:vAlign w:val="bottom"/>
          </w:tcPr>
          <w:p>
            <w:pPr>
              <w:jc w:val="center"/>
              <w:ind w:left="2701"/>
              <w:spacing w:after="0"/>
              <w:rPr>
                <w:sz w:val="20"/>
                <w:szCs w:val="20"/>
                <w:color w:val="auto"/>
              </w:rPr>
            </w:pPr>
            <w:r>
              <w:rPr>
                <w:rFonts w:ascii="Arial" w:cs="Arial" w:eastAsia="Arial" w:hAnsi="Arial"/>
                <w:sz w:val="18"/>
                <w:szCs w:val="18"/>
                <w:color w:val="auto"/>
                <w:w w:val="90"/>
              </w:rPr>
              <w:t>as Specified in Charter)</w:t>
            </w:r>
          </w:p>
        </w:tc>
        <w:tc>
          <w:tcPr>
            <w:tcW w:w="2520" w:type="dxa"/>
            <w:vAlign w:val="bottom"/>
          </w:tcPr>
          <w:p>
            <w:pPr>
              <w:spacing w:after="0"/>
              <w:rPr>
                <w:sz w:val="20"/>
                <w:szCs w:val="20"/>
                <w:color w:val="auto"/>
              </w:rPr>
            </w:pPr>
          </w:p>
        </w:tc>
      </w:tr>
      <w:tr>
        <w:trPr>
          <w:trHeight w:val="418"/>
        </w:trPr>
        <w:tc>
          <w:tcPr>
            <w:tcW w:w="7820" w:type="dxa"/>
            <w:vAlign w:val="bottom"/>
          </w:tcPr>
          <w:p>
            <w:pPr>
              <w:jc w:val="center"/>
              <w:ind w:left="2581"/>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tcPr>
          <w:p>
            <w:pPr>
              <w:spacing w:after="0"/>
              <w:rPr>
                <w:sz w:val="24"/>
                <w:szCs w:val="24"/>
                <w:color w:val="auto"/>
              </w:rPr>
            </w:pPr>
          </w:p>
        </w:tc>
      </w:tr>
      <w:tr>
        <w:trPr>
          <w:trHeight w:val="230"/>
        </w:trPr>
        <w:tc>
          <w:tcPr>
            <w:tcW w:w="7820" w:type="dxa"/>
            <w:vAlign w:val="bottom"/>
          </w:tcPr>
          <w:p>
            <w:pPr>
              <w:jc w:val="center"/>
              <w:ind w:left="2561"/>
              <w:spacing w:after="0"/>
              <w:rPr>
                <w:sz w:val="20"/>
                <w:szCs w:val="20"/>
                <w:color w:val="auto"/>
              </w:rPr>
            </w:pPr>
            <w:r>
              <w:rPr>
                <w:rFonts w:ascii="Arial" w:cs="Arial" w:eastAsia="Arial" w:hAnsi="Arial"/>
                <w:sz w:val="18"/>
                <w:szCs w:val="18"/>
                <w:color w:val="auto"/>
                <w:w w:val="92"/>
              </w:rPr>
              <w:t>(State or Other Jurisdiction of Incorporation)</w:t>
            </w:r>
          </w:p>
        </w:tc>
        <w:tc>
          <w:tcPr>
            <w:tcW w:w="2520" w:type="dxa"/>
            <w:vAlign w:val="bottom"/>
          </w:tcPr>
          <w:p>
            <w:pPr>
              <w:spacing w:after="0"/>
              <w:rPr>
                <w:sz w:val="20"/>
                <w:szCs w:val="20"/>
                <w:color w:val="auto"/>
              </w:rPr>
            </w:pPr>
          </w:p>
        </w:tc>
      </w:tr>
      <w:tr>
        <w:trPr>
          <w:trHeight w:val="418"/>
        </w:trPr>
        <w:tc>
          <w:tcPr>
            <w:tcW w:w="7820" w:type="dxa"/>
            <w:vAlign w:val="bottom"/>
          </w:tcPr>
          <w:p>
            <w:pPr>
              <w:jc w:val="center"/>
              <w:ind w:right="4781"/>
              <w:spacing w:after="0"/>
              <w:rPr>
                <w:sz w:val="20"/>
                <w:szCs w:val="20"/>
                <w:color w:val="auto"/>
              </w:rPr>
            </w:pPr>
            <w:r>
              <w:rPr>
                <w:rFonts w:ascii="Arial" w:cs="Arial" w:eastAsia="Arial" w:hAnsi="Arial"/>
                <w:sz w:val="18"/>
                <w:szCs w:val="18"/>
                <w:b w:val="1"/>
                <w:bCs w:val="1"/>
                <w:color w:val="auto"/>
                <w:w w:val="90"/>
              </w:rPr>
              <w:t>001-05805</w:t>
            </w:r>
          </w:p>
        </w:tc>
        <w:tc>
          <w:tcPr>
            <w:tcW w:w="2520" w:type="dxa"/>
            <w:vAlign w:val="bottom"/>
          </w:tcPr>
          <w:p>
            <w:pPr>
              <w:jc w:val="right"/>
              <w:ind w:right="710"/>
              <w:spacing w:after="0"/>
              <w:rPr>
                <w:sz w:val="20"/>
                <w:szCs w:val="20"/>
                <w:color w:val="auto"/>
              </w:rPr>
            </w:pPr>
            <w:r>
              <w:rPr>
                <w:rFonts w:ascii="Arial" w:cs="Arial" w:eastAsia="Arial" w:hAnsi="Arial"/>
                <w:sz w:val="18"/>
                <w:szCs w:val="18"/>
                <w:b w:val="1"/>
                <w:bCs w:val="1"/>
                <w:color w:val="auto"/>
              </w:rPr>
              <w:t>13-2624428</w:t>
            </w:r>
          </w:p>
        </w:tc>
      </w:tr>
      <w:tr>
        <w:trPr>
          <w:trHeight w:val="230"/>
        </w:trPr>
        <w:tc>
          <w:tcPr>
            <w:tcW w:w="7820" w:type="dxa"/>
            <w:vAlign w:val="bottom"/>
          </w:tcPr>
          <w:p>
            <w:pPr>
              <w:jc w:val="center"/>
              <w:ind w:right="4781"/>
              <w:spacing w:after="0"/>
              <w:rPr>
                <w:sz w:val="20"/>
                <w:szCs w:val="20"/>
                <w:color w:val="auto"/>
              </w:rPr>
            </w:pPr>
            <w:r>
              <w:rPr>
                <w:rFonts w:ascii="Arial" w:cs="Arial" w:eastAsia="Arial" w:hAnsi="Arial"/>
                <w:sz w:val="18"/>
                <w:szCs w:val="18"/>
                <w:color w:val="auto"/>
                <w:w w:val="92"/>
              </w:rPr>
              <w:t>(Commission File Number)</w:t>
            </w:r>
          </w:p>
        </w:tc>
        <w:tc>
          <w:tcPr>
            <w:tcW w:w="252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7820" w:type="dxa"/>
            <w:vAlign w:val="bottom"/>
          </w:tcPr>
          <w:p>
            <w:pPr>
              <w:ind w:left="880"/>
              <w:spacing w:after="0"/>
              <w:rPr>
                <w:sz w:val="20"/>
                <w:szCs w:val="20"/>
                <w:color w:val="auto"/>
              </w:rPr>
            </w:pPr>
            <w:r>
              <w:rPr>
                <w:rFonts w:ascii="Arial" w:cs="Arial" w:eastAsia="Arial" w:hAnsi="Arial"/>
                <w:sz w:val="18"/>
                <w:szCs w:val="18"/>
                <w:b w:val="1"/>
                <w:bCs w:val="1"/>
                <w:color w:val="auto"/>
              </w:rPr>
              <w:t>270 Park Avenue,</w:t>
            </w:r>
          </w:p>
        </w:tc>
        <w:tc>
          <w:tcPr>
            <w:tcW w:w="2520" w:type="dxa"/>
            <w:vAlign w:val="bottom"/>
          </w:tcPr>
          <w:p>
            <w:pPr>
              <w:spacing w:after="0"/>
              <w:rPr>
                <w:sz w:val="24"/>
                <w:szCs w:val="24"/>
                <w:color w:val="auto"/>
              </w:rPr>
            </w:pPr>
          </w:p>
        </w:tc>
      </w:tr>
      <w:tr>
        <w:trPr>
          <w:trHeight w:val="220"/>
        </w:trPr>
        <w:tc>
          <w:tcPr>
            <w:tcW w:w="7820" w:type="dxa"/>
            <w:vAlign w:val="bottom"/>
          </w:tcPr>
          <w:p>
            <w:pPr>
              <w:jc w:val="center"/>
              <w:ind w:right="4801"/>
              <w:spacing w:after="0"/>
              <w:rPr>
                <w:sz w:val="20"/>
                <w:szCs w:val="20"/>
                <w:color w:val="auto"/>
              </w:rPr>
            </w:pPr>
            <w:r>
              <w:rPr>
                <w:rFonts w:ascii="Arial" w:cs="Arial" w:eastAsia="Arial" w:hAnsi="Arial"/>
                <w:sz w:val="18"/>
                <w:szCs w:val="18"/>
                <w:b w:val="1"/>
                <w:bCs w:val="1"/>
                <w:color w:val="auto"/>
                <w:w w:val="95"/>
              </w:rPr>
              <w:t>New York, NY</w:t>
            </w:r>
          </w:p>
        </w:tc>
        <w:tc>
          <w:tcPr>
            <w:tcW w:w="2520" w:type="dxa"/>
            <w:vAlign w:val="bottom"/>
          </w:tcPr>
          <w:p>
            <w:pPr>
              <w:jc w:val="right"/>
              <w:ind w:right="930"/>
              <w:spacing w:after="0"/>
              <w:rPr>
                <w:sz w:val="20"/>
                <w:szCs w:val="20"/>
                <w:color w:val="auto"/>
              </w:rPr>
            </w:pPr>
            <w:r>
              <w:rPr>
                <w:rFonts w:ascii="Arial" w:cs="Arial" w:eastAsia="Arial" w:hAnsi="Arial"/>
                <w:sz w:val="18"/>
                <w:szCs w:val="18"/>
                <w:b w:val="1"/>
                <w:bCs w:val="1"/>
                <w:color w:val="auto"/>
              </w:rPr>
              <w:t>10017</w:t>
            </w:r>
          </w:p>
        </w:tc>
      </w:tr>
      <w:tr>
        <w:trPr>
          <w:trHeight w:val="230"/>
        </w:trPr>
        <w:tc>
          <w:tcPr>
            <w:tcW w:w="7820" w:type="dxa"/>
            <w:vAlign w:val="bottom"/>
          </w:tcPr>
          <w:p>
            <w:pPr>
              <w:jc w:val="center"/>
              <w:ind w:right="4781"/>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648"/>
        </w:trPr>
        <w:tc>
          <w:tcPr>
            <w:tcW w:w="7820" w:type="dxa"/>
            <w:vAlign w:val="bottom"/>
          </w:tcPr>
          <w:p>
            <w:pPr>
              <w:jc w:val="center"/>
              <w:ind w:left="2701"/>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270-6000</w:t>
            </w:r>
          </w:p>
        </w:tc>
        <w:tc>
          <w:tcPr>
            <w:tcW w:w="252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_______________________</w:t>
      </w:r>
    </w:p>
    <w:p>
      <w:pPr>
        <w:spacing w:after="0" w:line="24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760" w:hanging="75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760" w:hanging="75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760" w:hanging="75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760" w:hanging="75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44" w:right="359" w:bottom="1440" w:gutter="0" w:footer="0" w:header="0"/>
        </w:sectPr>
      </w:pPr>
    </w:p>
    <w:bookmarkStart w:id="1" w:name="page2"/>
    <w:bookmarkEnd w:id="1"/>
    <w:p>
      <w:pPr>
        <w:spacing w:after="0"/>
        <w:tabs>
          <w:tab w:leader="none" w:pos="17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300" w:hanging="968"/>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Exhibits are incorporated by reference into the Registration Statement on Form S-3ASR (333-130051) of JPMorgan Chase &amp; Co. (the “Registrant”) as exhibits thereto and are filed as part of this Current Report.</w:t>
      </w:r>
    </w:p>
    <w:p>
      <w:pPr>
        <w:spacing w:after="0" w:line="197" w:lineRule="exact"/>
        <w:rPr>
          <w:sz w:val="20"/>
          <w:szCs w:val="20"/>
          <w:color w:val="auto"/>
        </w:rPr>
      </w:pPr>
    </w:p>
    <w:p>
      <w:pPr>
        <w:ind w:left="1860" w:hanging="553"/>
        <w:spacing w:after="0" w:line="277" w:lineRule="auto"/>
        <w:tabs>
          <w:tab w:leader="none" w:pos="18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Tax Opinion of Sidley Austin llp relating to $436,000 Principal Protected Notes Linked to the Performance of an Equally Weighted Basket of Four Currencies Relative to the U.S. Dollar due November 22, 2010</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JPMORGAN CHASE &amp; CO.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Neila B. Radin</w:t>
      </w:r>
    </w:p>
    <w:p>
      <w:pPr>
        <w:spacing w:after="0" w:line="44" w:lineRule="exact"/>
        <w:rPr>
          <w:sz w:val="20"/>
          <w:szCs w:val="20"/>
          <w:color w:val="auto"/>
        </w:rPr>
      </w:pPr>
    </w:p>
    <w:tbl>
      <w:tblPr>
        <w:tblLayout w:type="fixed"/>
        <w:tblInd w:w="6080" w:type="dxa"/>
        <w:tblCellMar>
          <w:top w:w="0" w:type="dxa"/>
          <w:left w:w="0" w:type="dxa"/>
          <w:bottom w:w="0" w:type="dxa"/>
          <w:right w:w="0" w:type="dxa"/>
        </w:tblCellMar>
      </w:tblPr>
      <w:tr>
        <w:trPr>
          <w:trHeight w:val="229"/>
        </w:trPr>
        <w:tc>
          <w:tcPr>
            <w:tcW w:w="4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Name</w:t>
            </w:r>
          </w:p>
        </w:tc>
        <w:tc>
          <w:tcPr>
            <w:tcW w:w="35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Neila B. Radin</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500" w:type="dxa"/>
            <w:vAlign w:val="bottom"/>
          </w:tcPr>
          <w:p>
            <w:pPr>
              <w:ind w:left="8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19, 2008</w:t>
      </w:r>
    </w:p>
    <w:p>
      <w:pPr>
        <w:spacing w:after="0" w:line="200" w:lineRule="exact"/>
        <w:rPr>
          <w:sz w:val="20"/>
          <w:szCs w:val="20"/>
          <w:color w:val="auto"/>
        </w:rPr>
      </w:pPr>
    </w:p>
    <w:p>
      <w:pPr>
        <w:spacing w:after="0" w:line="29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240" w:top="607"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4220" w:type="dxa"/>
            <w:vAlign w:val="bottom"/>
          </w:tcPr>
          <w:p>
            <w:pPr>
              <w:jc w:val="right"/>
              <w:spacing w:after="0"/>
              <w:rPr>
                <w:sz w:val="20"/>
                <w:szCs w:val="20"/>
                <w:color w:val="auto"/>
              </w:rPr>
            </w:pPr>
            <w:r>
              <w:rPr>
                <w:rFonts w:ascii="Arial" w:cs="Arial" w:eastAsia="Arial" w:hAnsi="Arial"/>
                <w:sz w:val="18"/>
                <w:szCs w:val="18"/>
                <w:b w:val="1"/>
                <w:bCs w:val="1"/>
                <w:color w:val="auto"/>
              </w:rPr>
              <w:t>EXHIBIT INDEX</w:t>
            </w:r>
          </w:p>
        </w:tc>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09"/>
        </w:trPr>
        <w:tc>
          <w:tcPr>
            <w:tcW w:w="22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3"/>
              </w:rPr>
              <w:t>Exhibit Number</w:t>
            </w:r>
          </w:p>
        </w:tc>
        <w:tc>
          <w:tcPr>
            <w:tcW w:w="42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202"/>
        </w:trPr>
        <w:tc>
          <w:tcPr>
            <w:tcW w:w="2220" w:type="dxa"/>
            <w:vAlign w:val="bottom"/>
          </w:tcPr>
          <w:p>
            <w:pPr>
              <w:jc w:val="right"/>
              <w:ind w:right="730"/>
              <w:spacing w:after="0" w:line="201" w:lineRule="exact"/>
              <w:rPr>
                <w:sz w:val="20"/>
                <w:szCs w:val="20"/>
                <w:color w:val="auto"/>
              </w:rPr>
            </w:pPr>
            <w:r>
              <w:rPr>
                <w:rFonts w:ascii="Arial" w:cs="Arial" w:eastAsia="Arial" w:hAnsi="Arial"/>
                <w:sz w:val="18"/>
                <w:szCs w:val="18"/>
                <w:color w:val="auto"/>
              </w:rPr>
              <w:t>8.1</w:t>
            </w:r>
          </w:p>
        </w:tc>
        <w:tc>
          <w:tcPr>
            <w:tcW w:w="4220" w:type="dxa"/>
            <w:vAlign w:val="bottom"/>
          </w:tcPr>
          <w:p>
            <w:pPr>
              <w:jc w:val="right"/>
              <w:spacing w:after="0" w:line="201" w:lineRule="exact"/>
              <w:rPr>
                <w:sz w:val="20"/>
                <w:szCs w:val="20"/>
                <w:color w:val="auto"/>
              </w:rPr>
            </w:pPr>
            <w:r>
              <w:rPr>
                <w:rFonts w:ascii="Arial" w:cs="Arial" w:eastAsia="Arial" w:hAnsi="Arial"/>
                <w:sz w:val="18"/>
                <w:szCs w:val="18"/>
                <w:color w:val="auto"/>
              </w:rPr>
              <w:t>Tax Opinion of Sidley Austin llp relating to $436,000</w:t>
            </w:r>
          </w:p>
        </w:tc>
        <w:tc>
          <w:tcPr>
            <w:tcW w:w="4980" w:type="dxa"/>
            <w:vAlign w:val="bottom"/>
          </w:tcPr>
          <w:p>
            <w:pPr>
              <w:ind w:left="20"/>
              <w:spacing w:after="0" w:line="201" w:lineRule="exact"/>
              <w:rPr>
                <w:sz w:val="20"/>
                <w:szCs w:val="20"/>
                <w:color w:val="auto"/>
              </w:rPr>
            </w:pPr>
            <w:r>
              <w:rPr>
                <w:rFonts w:ascii="Arial" w:cs="Arial" w:eastAsia="Arial" w:hAnsi="Arial"/>
                <w:sz w:val="18"/>
                <w:szCs w:val="18"/>
                <w:color w:val="auto"/>
              </w:rPr>
              <w:t>Principal Protected Notes Linked to the Performance of an</w:t>
            </w:r>
          </w:p>
        </w:tc>
        <w:tc>
          <w:tcPr>
            <w:tcW w:w="20" w:type="dxa"/>
            <w:vAlign w:val="bottom"/>
          </w:tcPr>
          <w:p>
            <w:pPr>
              <w:spacing w:after="0"/>
              <w:rPr>
                <w:sz w:val="17"/>
                <w:szCs w:val="17"/>
                <w:color w:val="auto"/>
              </w:rPr>
            </w:pPr>
          </w:p>
        </w:tc>
      </w:tr>
      <w:tr>
        <w:trPr>
          <w:trHeight w:val="230"/>
        </w:trPr>
        <w:tc>
          <w:tcPr>
            <w:tcW w:w="2220" w:type="dxa"/>
            <w:vAlign w:val="bottom"/>
          </w:tcPr>
          <w:p>
            <w:pPr>
              <w:spacing w:after="0"/>
              <w:rPr>
                <w:sz w:val="20"/>
                <w:szCs w:val="20"/>
                <w:color w:val="auto"/>
              </w:rPr>
            </w:pPr>
          </w:p>
        </w:tc>
        <w:tc>
          <w:tcPr>
            <w:tcW w:w="9200" w:type="dxa"/>
            <w:vAlign w:val="bottom"/>
            <w:gridSpan w:val="2"/>
          </w:tcPr>
          <w:p>
            <w:pPr>
              <w:ind w:left="320"/>
              <w:spacing w:after="0"/>
              <w:rPr>
                <w:sz w:val="20"/>
                <w:szCs w:val="20"/>
                <w:color w:val="auto"/>
              </w:rPr>
            </w:pPr>
            <w:r>
              <w:rPr>
                <w:rFonts w:ascii="Arial" w:cs="Arial" w:eastAsia="Arial" w:hAnsi="Arial"/>
                <w:sz w:val="18"/>
                <w:szCs w:val="18"/>
                <w:color w:val="auto"/>
              </w:rPr>
              <w:t>Equally Weighted Basket of Four Currencies Relative to the U.S. Dollar due November 22, 2010</w:t>
            </w:r>
          </w:p>
        </w:tc>
        <w:tc>
          <w:tcPr>
            <w:tcW w:w="20" w:type="dxa"/>
            <w:vAlign w:val="bottom"/>
          </w:tcPr>
          <w:p>
            <w:pPr>
              <w:spacing w:after="0"/>
              <w:rPr>
                <w:sz w:val="20"/>
                <w:szCs w:val="20"/>
                <w:color w:val="auto"/>
              </w:rPr>
            </w:pPr>
          </w:p>
        </w:tc>
      </w:tr>
      <w:tr>
        <w:trPr>
          <w:trHeight w:val="650"/>
        </w:trPr>
        <w:tc>
          <w:tcPr>
            <w:tcW w:w="2220" w:type="dxa"/>
            <w:vAlign w:val="bottom"/>
          </w:tcPr>
          <w:p>
            <w:pPr>
              <w:spacing w:after="0"/>
              <w:rPr>
                <w:sz w:val="24"/>
                <w:szCs w:val="24"/>
                <w:color w:val="auto"/>
              </w:rPr>
            </w:pPr>
          </w:p>
        </w:tc>
        <w:tc>
          <w:tcPr>
            <w:tcW w:w="4220" w:type="dxa"/>
            <w:vAlign w:val="bottom"/>
          </w:tcPr>
          <w:p>
            <w:pPr>
              <w:jc w:val="right"/>
              <w:ind w:right="614"/>
              <w:spacing w:after="0"/>
              <w:rPr>
                <w:sz w:val="20"/>
                <w:szCs w:val="20"/>
                <w:color w:val="auto"/>
              </w:rPr>
            </w:pPr>
            <w:r>
              <w:rPr>
                <w:rFonts w:ascii="Arial" w:cs="Arial" w:eastAsia="Arial" w:hAnsi="Arial"/>
                <w:sz w:val="14"/>
                <w:szCs w:val="14"/>
                <w:color w:val="auto"/>
              </w:rPr>
              <w:t>4</w:t>
            </w: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
        </w:trPr>
        <w:tc>
          <w:tcPr>
            <w:tcW w:w="2220" w:type="dxa"/>
            <w:vAlign w:val="bottom"/>
            <w:tcBorders>
              <w:bottom w:val="single" w:sz="8" w:color="808080"/>
            </w:tcBorders>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49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4" w:name="page5"/>
    <w:bookmarkEnd w:id="4"/>
    <w:tbl>
      <w:tblPr>
        <w:tblLayout w:type="fixed"/>
        <w:tblInd w:w="4040" w:type="dxa"/>
        <w:tblCellMar>
          <w:top w:w="0" w:type="dxa"/>
          <w:left w:w="0" w:type="dxa"/>
          <w:bottom w:w="0" w:type="dxa"/>
          <w:right w:w="0" w:type="dxa"/>
        </w:tblCellMar>
      </w:tblPr>
      <w:tr>
        <w:trPr>
          <w:trHeight w:val="229"/>
        </w:trPr>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SIDLEY AUSTIN LLP</w:t>
            </w:r>
          </w:p>
        </w:tc>
        <w:tc>
          <w:tcPr>
            <w:tcW w:w="1680" w:type="dxa"/>
            <w:vAlign w:val="bottom"/>
          </w:tcPr>
          <w:p>
            <w:pPr>
              <w:ind w:left="20"/>
              <w:spacing w:after="0"/>
              <w:rPr>
                <w:sz w:val="20"/>
                <w:szCs w:val="20"/>
                <w:color w:val="auto"/>
              </w:rPr>
            </w:pPr>
            <w:r>
              <w:rPr>
                <w:rFonts w:ascii="Arial" w:cs="Arial" w:eastAsia="Arial" w:hAnsi="Arial"/>
                <w:sz w:val="18"/>
                <w:szCs w:val="18"/>
                <w:color w:val="auto"/>
              </w:rPr>
              <w:t>BEIJING</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LOS ANGELES</w:t>
            </w:r>
          </w:p>
        </w:tc>
      </w:tr>
      <w:tr>
        <w:trPr>
          <w:trHeight w:val="216"/>
        </w:trPr>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787 SEVENTH AVENUE</w:t>
            </w:r>
          </w:p>
        </w:tc>
        <w:tc>
          <w:tcPr>
            <w:tcW w:w="1680" w:type="dxa"/>
            <w:vAlign w:val="bottom"/>
          </w:tcPr>
          <w:p>
            <w:pPr>
              <w:ind w:left="20"/>
              <w:spacing w:after="0"/>
              <w:rPr>
                <w:sz w:val="20"/>
                <w:szCs w:val="20"/>
                <w:color w:val="auto"/>
              </w:rPr>
            </w:pPr>
            <w:r>
              <w:rPr>
                <w:rFonts w:ascii="Arial" w:cs="Arial" w:eastAsia="Arial" w:hAnsi="Arial"/>
                <w:sz w:val="18"/>
                <w:szCs w:val="18"/>
                <w:color w:val="auto"/>
              </w:rPr>
              <w:t>BRUSSELS</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NEW YORK</w:t>
            </w:r>
          </w:p>
        </w:tc>
      </w:tr>
      <w:tr>
        <w:trPr>
          <w:trHeight w:val="216"/>
        </w:trPr>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NEW YORK, NY 10019</w:t>
            </w:r>
          </w:p>
        </w:tc>
        <w:tc>
          <w:tcPr>
            <w:tcW w:w="1680" w:type="dxa"/>
            <w:vAlign w:val="bottom"/>
          </w:tcPr>
          <w:p>
            <w:pPr>
              <w:ind w:left="20"/>
              <w:spacing w:after="0"/>
              <w:rPr>
                <w:sz w:val="20"/>
                <w:szCs w:val="20"/>
                <w:color w:val="auto"/>
              </w:rPr>
            </w:pPr>
            <w:r>
              <w:rPr>
                <w:rFonts w:ascii="Arial" w:cs="Arial" w:eastAsia="Arial" w:hAnsi="Arial"/>
                <w:sz w:val="18"/>
                <w:szCs w:val="18"/>
                <w:color w:val="auto"/>
              </w:rPr>
              <w:t>CHICAGO</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SAN FRANCISCO</w:t>
            </w:r>
          </w:p>
        </w:tc>
      </w:tr>
      <w:tr>
        <w:trPr>
          <w:trHeight w:val="216"/>
        </w:trPr>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(212) 839 5300</w:t>
            </w:r>
          </w:p>
        </w:tc>
        <w:tc>
          <w:tcPr>
            <w:tcW w:w="1680" w:type="dxa"/>
            <w:vAlign w:val="bottom"/>
          </w:tcPr>
          <w:p>
            <w:pPr>
              <w:ind w:left="20"/>
              <w:spacing w:after="0"/>
              <w:rPr>
                <w:sz w:val="20"/>
                <w:szCs w:val="20"/>
                <w:color w:val="auto"/>
              </w:rPr>
            </w:pPr>
            <w:r>
              <w:rPr>
                <w:rFonts w:ascii="Arial" w:cs="Arial" w:eastAsia="Arial" w:hAnsi="Arial"/>
                <w:sz w:val="18"/>
                <w:szCs w:val="18"/>
                <w:color w:val="auto"/>
              </w:rPr>
              <w:t>DALLAS</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SHANGHAI</w:t>
            </w:r>
          </w:p>
        </w:tc>
      </w:tr>
      <w:tr>
        <w:trPr>
          <w:trHeight w:val="216"/>
        </w:trPr>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(212) 839 5599 FAX</w:t>
            </w:r>
          </w:p>
        </w:tc>
        <w:tc>
          <w:tcPr>
            <w:tcW w:w="1680" w:type="dxa"/>
            <w:vAlign w:val="bottom"/>
          </w:tcPr>
          <w:p>
            <w:pPr>
              <w:ind w:left="20"/>
              <w:spacing w:after="0"/>
              <w:rPr>
                <w:sz w:val="20"/>
                <w:szCs w:val="20"/>
                <w:color w:val="auto"/>
              </w:rPr>
            </w:pPr>
            <w:r>
              <w:rPr>
                <w:rFonts w:ascii="Arial" w:cs="Arial" w:eastAsia="Arial" w:hAnsi="Arial"/>
                <w:sz w:val="18"/>
                <w:szCs w:val="18"/>
                <w:color w:val="auto"/>
              </w:rPr>
              <w:t>FRANKFURT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SINGAPORE</w:t>
            </w:r>
          </w:p>
        </w:tc>
      </w:tr>
      <w:tr>
        <w:trPr>
          <w:trHeight w:val="216"/>
        </w:trPr>
        <w:tc>
          <w:tcPr>
            <w:tcW w:w="3980" w:type="dxa"/>
            <w:vAlign w:val="bottom"/>
            <w:tcBorders>
              <w:right w:val="single" w:sz="8" w:color="auto"/>
            </w:tcBorders>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GENEVA</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SYDNEY</w:t>
            </w:r>
          </w:p>
        </w:tc>
      </w:tr>
      <w:tr>
        <w:trPr>
          <w:trHeight w:val="216"/>
        </w:trPr>
        <w:tc>
          <w:tcPr>
            <w:tcW w:w="3980" w:type="dxa"/>
            <w:vAlign w:val="bottom"/>
            <w:tcBorders>
              <w:right w:val="single" w:sz="8" w:color="auto"/>
            </w:tcBorders>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HONG KONG</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TOKYO</w:t>
            </w:r>
          </w:p>
        </w:tc>
      </w:tr>
      <w:tr>
        <w:trPr>
          <w:trHeight w:val="230"/>
        </w:trPr>
        <w:tc>
          <w:tcPr>
            <w:tcW w:w="3980" w:type="dxa"/>
            <w:vAlign w:val="bottom"/>
            <w:tcBorders>
              <w:right w:val="single" w:sz="8" w:color="auto"/>
            </w:tcBorders>
          </w:tcPr>
          <w:p>
            <w:pPr>
              <w:spacing w:after="0"/>
              <w:rPr>
                <w:sz w:val="20"/>
                <w:szCs w:val="20"/>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LONDON</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w w:val="97"/>
              </w:rPr>
              <w:t>WASHINGTON, D.C.</w:t>
            </w:r>
          </w:p>
        </w:tc>
      </w:tr>
      <w:tr>
        <w:trPr>
          <w:trHeight w:val="540"/>
        </w:trPr>
        <w:tc>
          <w:tcPr>
            <w:tcW w:w="3980" w:type="dxa"/>
            <w:vAlign w:val="bottom"/>
            <w:tcBorders>
              <w:right w:val="single" w:sz="8" w:color="auto"/>
            </w:tcBorders>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FOUNDED 1866</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9"/>
        </w:trPr>
        <w:tc>
          <w:tcPr>
            <w:tcW w:w="3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20" w:type="dxa"/>
            <w:vAlign w:val="bottom"/>
            <w:gridSpan w:val="2"/>
          </w:tcPr>
          <w:p>
            <w:pPr>
              <w:ind w:left="880"/>
              <w:spacing w:after="0"/>
              <w:rPr>
                <w:sz w:val="20"/>
                <w:szCs w:val="20"/>
                <w:color w:val="auto"/>
              </w:rPr>
            </w:pPr>
            <w:r>
              <w:rPr>
                <w:rFonts w:ascii="Arial" w:cs="Arial" w:eastAsia="Arial" w:hAnsi="Arial"/>
                <w:sz w:val="18"/>
                <w:szCs w:val="18"/>
                <w:b w:val="1"/>
                <w:bCs w:val="1"/>
                <w:color w:val="auto"/>
                <w:w w:val="91"/>
              </w:rPr>
              <w:t>Exhibit 8.1</w:t>
            </w:r>
          </w:p>
        </w:tc>
      </w:tr>
      <w:tr>
        <w:trPr>
          <w:trHeight w:val="723"/>
        </w:trPr>
        <w:tc>
          <w:tcPr>
            <w:tcW w:w="3980" w:type="dxa"/>
            <w:vAlign w:val="bottom"/>
          </w:tcPr>
          <w:p>
            <w:pPr>
              <w:spacing w:after="0"/>
              <w:rPr>
                <w:sz w:val="24"/>
                <w:szCs w:val="24"/>
                <w:color w:val="auto"/>
              </w:rPr>
            </w:pPr>
          </w:p>
        </w:tc>
        <w:tc>
          <w:tcPr>
            <w:tcW w:w="1680" w:type="dxa"/>
            <w:vAlign w:val="bottom"/>
          </w:tcPr>
          <w:p>
            <w:pPr>
              <w:ind w:left="180"/>
              <w:spacing w:after="0"/>
              <w:rPr>
                <w:sz w:val="20"/>
                <w:szCs w:val="20"/>
                <w:color w:val="auto"/>
              </w:rPr>
            </w:pPr>
            <w:r>
              <w:rPr>
                <w:rFonts w:ascii="Arial" w:cs="Arial" w:eastAsia="Arial" w:hAnsi="Arial"/>
                <w:sz w:val="18"/>
                <w:szCs w:val="18"/>
                <w:color w:val="auto"/>
                <w:w w:val="90"/>
              </w:rPr>
              <w:t>September 19, 2008</w:t>
            </w:r>
          </w:p>
        </w:tc>
        <w:tc>
          <w:tcPr>
            <w:tcW w:w="8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-2177415</wp:posOffset>
            </wp:positionV>
            <wp:extent cx="1646555" cy="1097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6555" cy="109791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acted as special tax counsel to JPMorgan Chase &amp; Co., a corporation incorporated under the laws of Delaware (the “Company”), in connection with the preparation and filing of pricing supplement no. 1554 dated September 17, 2008 relating to $436,000 Principal Protected Notes Linked to the Performance of an Equally Weighted Basket of Four Currencies Relative to the U.S. Dollar due November 22, 2010 (the “Pricing Supplement”) to product supplement no. 49-III dated December 17, 2007 relating to Principal Protected Notes Linked to the Performance of a Weighted Basket of Currencies or Currency Relative to a Reference Currency (the “Product Supplement”) to a prospectus supplement dated October 12, 2006 (the “Prospectus Supplement”) for the Company’s Global Medium-Term Notes, Series E, Global Warrants, Series E and Global Units, Series E, relating to a prospectus dated December 1, 2005 (the “Prospectus”) contained in the Company’s Registration Statement on Form S-3ASR (Registration Statement No. 333-130051) (the “Registration Statement”). This opinion is being furnished in accordance with the requirements of Section 601(b)(8) of Regulation S-K of the Securities Act of 1933, as amended (the “Act”).</w:t>
      </w:r>
    </w:p>
    <w:p>
      <w:pPr>
        <w:spacing w:after="0" w:line="2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our opinion, the discussions under the heading “United States Federal Taxation” in the Prospectus Supplement, under the heading “Certain U.S. Federal Income Tax Consequences” in the Product Supplement and under the heading “Selected Purchase Considerations – Taxed as Contingent Payment Debt Instruments” in the Pricing Supplement, subject to the conditions and limitations described therein, set forth the material U.S. federal income tax considerations applicable generally to holders of the securities offered pursuant to the Pricing Supplement as a result of the ownership and disposition of such securities.</w:t>
      </w:r>
    </w:p>
    <w:p>
      <w:pPr>
        <w:spacing w:after="0" w:line="21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references to us under the heading “Selected Purchase Considerations – Taxed as Contingent Payment Debt Instruments” in the Pricing Supplement. By such consent we do not concede that we are an “expert” for the purposes of the Act.</w:t>
      </w:r>
    </w:p>
    <w:p>
      <w:pPr>
        <w:spacing w:after="0" w:line="20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Sidley Austin LLP</w:t>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2019-12-11T11:15:49Z</dcterms:created>
  <dcterms:modified xsi:type="dcterms:W3CDTF">2019-12-11T11:15:49Z</dcterms:modified>
</cp:coreProperties>
</file>