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30, 2026  Final Review Date:   October 30, 2029  Maturity Date:   November 2, 2029  Autocall Review Dates:   Quarterly  Interest Review Dates:   Monthly  Contingent Interest Rate:   At least 9.35%* per annum, paid monthly at a rate of at least 0.77917%*, if applicable  Interest Barrier/Trigger Value :   With respect to each Underlying, an amount that represents 70.00% of its Initial Value  CUSIP:   46661PM87  Preliminary Pricing Supplement:   http://sp.jpmorgan.com/document/cusip/46661PM87/doctype/Product_Termsheet/document.pdf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9.35% per annum Contingent Interest Rate)  60.00%   $1,007.7917  40.00%   $1,007.7917  20.00%   $1,007.7917  5.00%   $1,007.7917  0.00%   $1,007.7917  -5.00%   $1,007.7917  -20.00%   $1,007.7917  -30.00%   $1,007.7917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$7.7917 (equivalent to a Contingent Interest Rate of at least 9.35% per annum, payable at a rate of at least 0.77917%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8132</Characters>
  <CharactersWithSpaces>9879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