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5767-01_fwp.htm"/>
      <w:bookmarkStart w:id="1" w:name="ksea030576701_fwp"/>
      <w:bookmarkStart w:id="2" w:name="ea0305767-01_fwp.htm"/>
      <w:bookmarkStart w:id="3" w:name="ksea030576701_fwp"/>
      <w:bookmarkEnd w:id="2"/>
      <w:bookmarkEnd w:id="3"/>
    </w:p>
    <w:tbl>
      <w:tblPr>
        <w:tblW w:w="10205" w:type="dxa"/>
        <w:jc w:val="left"/>
        <w:tblInd w:w="0" w:type="dxa"/>
        <w:tblLayout w:type="fixed"/>
        <w:tblCellMar>
          <w:top w:w="0" w:type="dxa"/>
          <w:left w:w="0" w:type="dxa"/>
          <w:bottom w:w="0" w:type="dxa"/>
          <w:right w:w="0" w:type="dxa"/>
        </w:tblCellMar>
      </w:tblPr>
      <w:tblGrid>
        <w:gridCol w:w="7037"/>
        <w:gridCol w:w="3168"/>
      </w:tblGrid>
      <w:tr>
        <w:trPr/>
        <w:tc>
          <w:tcPr>
            <w:tcW w:w="7037" w:type="dxa"/>
            <w:vMerge w:val="restart"/>
            <w:tcBorders/>
            <w:vAlign w:val="center"/>
          </w:tcPr>
          <w:p>
            <w:pPr>
              <w:pStyle w:val="TableContents"/>
              <w:bidi w:val="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3168"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w:t>
              <w:br/>
              <w:t>333-293684-01</w:t>
            </w:r>
          </w:p>
        </w:tc>
      </w:tr>
      <w:tr>
        <w:trPr/>
        <w:tc>
          <w:tcPr>
            <w:tcW w:w="7037" w:type="dxa"/>
            <w:vMerge w:val="continue"/>
            <w:tcBorders/>
            <w:vAlign w:val="center"/>
          </w:tcPr>
          <w:p>
            <w:pPr>
              <w:pStyle w:val="Normal"/>
              <w:bidi w:val="0"/>
              <w:jc w:val="left"/>
              <w:rPr/>
            </w:pPr>
            <w:r>
              <w:rPr/>
            </w:r>
          </w:p>
        </w:tc>
        <w:tc>
          <w:tcPr>
            <w:tcW w:w="3168"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152400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400050"/>
                          </a:xfrm>
                          <a:prstGeom prst="rect">
                            <a:avLst/>
                          </a:prstGeom>
                        </pic:spPr>
                      </pic:pic>
                    </a:graphicData>
                  </a:graphic>
                </wp:inline>
              </w:drawing>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Securities—Auto-Callable with Contingent Coupon and Contingent Downside</w:t>
            </w:r>
          </w:p>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Lowest Performing of the S&amp;P 500</w:t>
            </w:r>
            <w:r>
              <w:rPr>
                <w:rFonts w:ascii="Verdana;Helvetica;Sans-Serif" w:hAnsi="Verdana;Helvetica;Sans-Serif"/>
                <w:b w:val="false"/>
                <w:i w:val="false"/>
                <w:caps w:val="false"/>
                <w:smallCaps w:val="false"/>
                <w:color w:val="FFFFFF"/>
                <w:position w:val="7"/>
                <w:sz w:val="16"/>
                <w:sz w:val="20"/>
              </w:rPr>
              <w:t>®</w:t>
            </w:r>
            <w:r>
              <w:rPr>
                <w:rFonts w:ascii="Verdana;Helvetica;Sans-Serif" w:hAnsi="Verdana;Helvetica;Sans-Serif"/>
                <w:b w:val="false"/>
                <w:i w:val="false"/>
                <w:caps w:val="false"/>
                <w:smallCaps w:val="false"/>
                <w:color w:val="FFFFFF"/>
                <w:sz w:val="20"/>
              </w:rPr>
              <w:t xml:space="preserve"> Index, the EURO STOXX 50</w:t>
            </w:r>
            <w:r>
              <w:rPr>
                <w:rFonts w:ascii="Verdana;Helvetica;Sans-Serif" w:hAnsi="Verdana;Helvetica;Sans-Serif"/>
                <w:b w:val="false"/>
                <w:i w:val="false"/>
                <w:caps w:val="false"/>
                <w:smallCaps w:val="false"/>
                <w:color w:val="FFFFFF"/>
                <w:position w:val="7"/>
                <w:sz w:val="16"/>
                <w:sz w:val="20"/>
              </w:rPr>
              <w:t>®</w:t>
            </w:r>
            <w:r>
              <w:rPr>
                <w:rFonts w:ascii="Verdana;Helvetica;Sans-Serif" w:hAnsi="Verdana;Helvetica;Sans-Serif"/>
                <w:b w:val="false"/>
                <w:i w:val="false"/>
                <w:caps w:val="false"/>
                <w:smallCaps w:val="false"/>
                <w:color w:val="FFFFFF"/>
                <w:sz w:val="20"/>
              </w:rPr>
              <w:t xml:space="preserve"> Index and the Russell 2000</w:t>
            </w:r>
            <w:r>
              <w:rPr>
                <w:rFonts w:ascii="Verdana;Helvetica;Sans-Serif" w:hAnsi="Verdana;Helvetica;Sans-Serif"/>
                <w:b w:val="false"/>
                <w:i w:val="false"/>
                <w:caps w:val="false"/>
                <w:smallCaps w:val="false"/>
                <w:color w:val="FFFFFF"/>
                <w:position w:val="7"/>
                <w:sz w:val="16"/>
                <w:sz w:val="20"/>
              </w:rPr>
              <w:t>®</w:t>
            </w:r>
            <w:r>
              <w:rPr>
                <w:rFonts w:ascii="Verdana;Helvetica;Sans-Serif" w:hAnsi="Verdana;Helvetica;Sans-Serif"/>
                <w:b w:val="false"/>
                <w:i w:val="false"/>
                <w:caps w:val="false"/>
                <w:smallCaps w:val="false"/>
                <w:color w:val="FFFFFF"/>
                <w:sz w:val="20"/>
              </w:rPr>
              <w:t xml:space="preserve"> Index due September 28, 2029</w:t>
            </w:r>
          </w:p>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September 16, 2026 to Preliminary Pricing Supplement dated September 16, 2026</w:t>
            </w:r>
          </w:p>
        </w:tc>
      </w:tr>
    </w:tbl>
    <w:p>
      <w:pPr>
        <w:pStyle w:val="TextBody"/>
        <w:bidi w:val="0"/>
        <w:spacing w:before="0" w:after="2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303385"/>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303385"/>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476"/>
                              <w:gridCol w:w="8729"/>
                            </w:tblGrid>
                            <w:tr>
                              <w:trPr/>
                              <w:tc>
                                <w:tcPr>
                                  <w:tcW w:w="14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72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4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7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4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Indices:</w:t>
                                  </w:r>
                                </w:p>
                              </w:tc>
                              <w:tc>
                                <w:tcPr>
                                  <w:tcW w:w="87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S&amp;P 500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SPX), EURO STOXX 50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SX5E) and Russell 2000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RTY)</w:t>
                                  </w:r>
                                </w:p>
                              </w:tc>
                            </w:tr>
                            <w:tr>
                              <w:trPr/>
                              <w:tc>
                                <w:tcPr>
                                  <w:tcW w:w="14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7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25, 2026</w:t>
                                  </w:r>
                                </w:p>
                              </w:tc>
                            </w:tr>
                            <w:tr>
                              <w:trPr/>
                              <w:tc>
                                <w:tcPr>
                                  <w:tcW w:w="14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7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30, 2026</w:t>
                                  </w:r>
                                </w:p>
                              </w:tc>
                            </w:tr>
                            <w:tr>
                              <w:trPr/>
                              <w:tc>
                                <w:tcPr>
                                  <w:tcW w:w="14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7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28, 2029</w:t>
                                  </w:r>
                                </w:p>
                              </w:tc>
                            </w:tr>
                            <w:tr>
                              <w:trPr/>
                              <w:tc>
                                <w:tcPr>
                                  <w:tcW w:w="14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7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476"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w:t>
                                  </w:r>
                                </w:p>
                              </w:tc>
                              <w:tc>
                                <w:tcPr>
                                  <w:tcW w:w="8729"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On each contingent coupon payment date, you will receive a contingent coupon payment at a per annum rate equal to the contingent coupon rate if, and only if, the closing level of the lowest performing Index on the related calculation day is greater than or equal to its threshold level. Each “</w:t>
                                  </w:r>
                                  <w:r>
                                    <w:rPr>
                                      <w:rFonts w:ascii="Georgia;Times;Serif" w:hAnsi="Georgia;Times;Serif"/>
                                      <w:b w:val="false"/>
                                      <w:i w:val="false"/>
                                      <w:caps w:val="false"/>
                                      <w:smallCaps w:val="false"/>
                                      <w:sz w:val="16"/>
                                      <w:u w:val="single"/>
                                    </w:rPr>
                                    <w:t>contingent coupon payment</w:t>
                                  </w:r>
                                  <w:r>
                                    <w:rPr>
                                      <w:rFonts w:ascii="Georgia;Times;Serif" w:hAnsi="Georgia;Times;Serif"/>
                                      <w:b w:val="false"/>
                                      <w:i w:val="false"/>
                                      <w:caps w:val="false"/>
                                      <w:smallCaps w:val="false"/>
                                      <w:sz w:val="16"/>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contingent coupon rate) / 4.</w:t>
                                  </w:r>
                                </w:p>
                              </w:tc>
                            </w:tr>
                            <w:tr>
                              <w:trPr/>
                              <w:tc>
                                <w:tcPr>
                                  <w:tcW w:w="1476"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 Dates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7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Quarterly, on the third business day following each calculation day,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contingent coupon payment date with respect to the final calculation day will be the stated maturity date</w:t>
                                  </w:r>
                                </w:p>
                              </w:tc>
                            </w:tr>
                            <w:tr>
                              <w:trPr/>
                              <w:tc>
                                <w:tcPr>
                                  <w:tcW w:w="1476"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Rate:</w:t>
                                  </w:r>
                                </w:p>
                              </w:tc>
                              <w:tc>
                                <w:tcPr>
                                  <w:tcW w:w="8729" w:type="dxa"/>
                                  <w:tcBorders>
                                    <w:bottom w:val="single" w:sz="8" w:space="0" w:color="000000"/>
                                    <w:right w:val="single" w:sz="8" w:space="0" w:color="000000"/>
                                  </w:tcBorders>
                                  <w:tcMar>
                                    <w:top w:w="0" w:type="dxa"/>
                                    <w:left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10.00% per annum (to be provided in the pricing supplement)</w:t>
                                  </w:r>
                                </w:p>
                              </w:tc>
                            </w:tr>
                            <w:tr>
                              <w:trPr/>
                              <w:tc>
                                <w:tcPr>
                                  <w:tcW w:w="1476"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Automatic Call: </w:t>
                                  </w:r>
                                </w:p>
                              </w:tc>
                              <w:tc>
                                <w:tcPr>
                                  <w:tcW w:w="87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closing level of the lowest performing Index on any of the calculation days from December 2026 to June 2029, inclusive, is greater than or equal to its starting level,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 final contingent coupon payment. </w:t>
                                  </w:r>
                                </w:p>
                              </w:tc>
                            </w:tr>
                            <w:tr>
                              <w:trPr/>
                              <w:tc>
                                <w:tcPr>
                                  <w:tcW w:w="1476"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7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Quarterly, on the 25</w:t>
                                  </w:r>
                                  <w:r>
                                    <w:rPr>
                                      <w:rFonts w:ascii="Georgia;Times;Serif" w:hAnsi="Georgia;Times;Serif"/>
                                      <w:b w:val="false"/>
                                      <w:i w:val="false"/>
                                      <w:caps w:val="false"/>
                                      <w:smallCaps w:val="false"/>
                                      <w:position w:val="5"/>
                                      <w:sz w:val="13"/>
                                      <w:sz w:val="16"/>
                                    </w:rPr>
                                    <w:t>th</w:t>
                                  </w:r>
                                  <w:r>
                                    <w:rPr>
                                      <w:rFonts w:ascii="Georgia;Times;Serif" w:hAnsi="Georgia;Times;Serif"/>
                                      <w:b w:val="false"/>
                                      <w:i w:val="false"/>
                                      <w:caps w:val="false"/>
                                      <w:smallCaps w:val="false"/>
                                      <w:sz w:val="16"/>
                                    </w:rPr>
                                    <w:t xml:space="preserve"> day of each March, June, September and December, commencing December 2026 and ending September 2029.</w:t>
                                    <w:br/>
                                    <w:t> We refer to September 25, 2029 as the “</w:t>
                                  </w:r>
                                  <w:r>
                                    <w:rPr>
                                      <w:rFonts w:ascii="Georgia;Times;Serif" w:hAnsi="Georgia;Times;Serif"/>
                                      <w:b w:val="false"/>
                                      <w:i w:val="false"/>
                                      <w:caps w:val="false"/>
                                      <w:smallCaps w:val="false"/>
                                      <w:sz w:val="16"/>
                                      <w:u w:val="single"/>
                                    </w:rPr>
                                    <w:t>final calculation day</w:t>
                                  </w:r>
                                  <w:r>
                                    <w:rPr>
                                      <w:rFonts w:ascii="Georgia;Times;Serif" w:hAnsi="Georgia;Times;Serif"/>
                                      <w:b w:val="false"/>
                                      <w:i w:val="false"/>
                                      <w:caps w:val="false"/>
                                      <w:smallCaps w:val="false"/>
                                      <w:sz w:val="16"/>
                                    </w:rPr>
                                    <w:t>.”</w:t>
                                  </w:r>
                                </w:p>
                              </w:tc>
                            </w:tr>
                            <w:tr>
                              <w:trPr/>
                              <w:tc>
                                <w:tcPr>
                                  <w:tcW w:w="1476"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 xml:space="preserve">: </w:t>
                                  </w:r>
                                </w:p>
                              </w:tc>
                              <w:tc>
                                <w:tcPr>
                                  <w:tcW w:w="87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applicable calculation day</w:t>
                                  </w:r>
                                </w:p>
                              </w:tc>
                            </w:tr>
                            <w:tr>
                              <w:trPr/>
                              <w:tc>
                                <w:tcPr>
                                  <w:tcW w:w="14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729"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level of the lowest performing Index on the final calculation day is greater than or equal to its threshold level: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level of the lowest performing Index on the final calculation day is less than its threshold level:</w:t>
                                  </w:r>
                                </w:p>
                                <w:p>
                                  <w:pPr>
                                    <w:pStyle w:val="TableContents"/>
                                    <w:bidi w:val="0"/>
                                    <w:spacing w:before="60" w:after="40"/>
                                    <w:ind w:left="60" w:right="6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index return of the lowest performing Index on the final calculation day)</w:t>
                                  </w:r>
                                </w:p>
                              </w:tc>
                            </w:tr>
                            <w:tr>
                              <w:trPr/>
                              <w:tc>
                                <w:tcPr>
                                  <w:tcW w:w="14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Index:</w:t>
                                  </w:r>
                                </w:p>
                              </w:tc>
                              <w:tc>
                                <w:tcPr>
                                  <w:tcW w:w="87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any calculation day, the “</w:t>
                                  </w:r>
                                  <w:r>
                                    <w:rPr>
                                      <w:rFonts w:ascii="Georgia;Times;Serif" w:hAnsi="Georgia;Times;Serif"/>
                                      <w:b w:val="false"/>
                                      <w:i w:val="false"/>
                                      <w:caps w:val="false"/>
                                      <w:smallCaps w:val="false"/>
                                      <w:sz w:val="16"/>
                                      <w:u w:val="single"/>
                                    </w:rPr>
                                    <w:t>lowest performing Index</w:t>
                                  </w:r>
                                  <w:r>
                                    <w:rPr>
                                      <w:rFonts w:ascii="Georgia;Times;Serif" w:hAnsi="Georgia;Times;Serif"/>
                                      <w:b w:val="false"/>
                                      <w:i w:val="false"/>
                                      <w:caps w:val="false"/>
                                      <w:smallCaps w:val="false"/>
                                      <w:sz w:val="16"/>
                                    </w:rPr>
                                    <w:t>” will be the Index with the lowest index return on that calculation day.</w:t>
                                  </w:r>
                                </w:p>
                              </w:tc>
                            </w:tr>
                            <w:tr>
                              <w:trPr/>
                              <w:tc>
                                <w:tcPr>
                                  <w:tcW w:w="14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Level:</w:t>
                                  </w:r>
                                </w:p>
                              </w:tc>
                              <w:tc>
                                <w:tcPr>
                                  <w:tcW w:w="87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its closing level on the pricing date</w:t>
                                  </w:r>
                                </w:p>
                              </w:tc>
                            </w:tr>
                            <w:tr>
                              <w:trPr/>
                              <w:tc>
                                <w:tcPr>
                                  <w:tcW w:w="14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Level:</w:t>
                                  </w:r>
                                </w:p>
                              </w:tc>
                              <w:tc>
                                <w:tcPr>
                                  <w:tcW w:w="87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its closing level on the final calculation day</w:t>
                                  </w:r>
                                </w:p>
                              </w:tc>
                            </w:tr>
                            <w:tr>
                              <w:trPr/>
                              <w:tc>
                                <w:tcPr>
                                  <w:tcW w:w="14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Index Return:</w:t>
                                  </w:r>
                                </w:p>
                              </w:tc>
                              <w:tc>
                                <w:tcPr>
                                  <w:tcW w:w="87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on any calculation day, (closing level on that calculation day – starting level) / starting level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3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476"/>
                        <w:gridCol w:w="8729"/>
                      </w:tblGrid>
                      <w:tr>
                        <w:trPr/>
                        <w:tc>
                          <w:tcPr>
                            <w:tcW w:w="14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72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4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7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4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Indices:</w:t>
                            </w:r>
                          </w:p>
                        </w:tc>
                        <w:tc>
                          <w:tcPr>
                            <w:tcW w:w="87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S&amp;P 500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SPX), EURO STOXX 50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SX5E) and Russell 2000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RTY)</w:t>
                            </w:r>
                          </w:p>
                        </w:tc>
                      </w:tr>
                      <w:tr>
                        <w:trPr/>
                        <w:tc>
                          <w:tcPr>
                            <w:tcW w:w="14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7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25, 2026</w:t>
                            </w:r>
                          </w:p>
                        </w:tc>
                      </w:tr>
                      <w:tr>
                        <w:trPr/>
                        <w:tc>
                          <w:tcPr>
                            <w:tcW w:w="14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7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30, 2026</w:t>
                            </w:r>
                          </w:p>
                        </w:tc>
                      </w:tr>
                      <w:tr>
                        <w:trPr/>
                        <w:tc>
                          <w:tcPr>
                            <w:tcW w:w="14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7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28, 2029</w:t>
                            </w:r>
                          </w:p>
                        </w:tc>
                      </w:tr>
                      <w:tr>
                        <w:trPr/>
                        <w:tc>
                          <w:tcPr>
                            <w:tcW w:w="14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7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476"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w:t>
                            </w:r>
                          </w:p>
                        </w:tc>
                        <w:tc>
                          <w:tcPr>
                            <w:tcW w:w="8729"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On each contingent coupon payment date, you will receive a contingent coupon payment at a per annum rate equal to the contingent coupon rate if, and only if, the closing level of the lowest performing Index on the related calculation day is greater than or equal to its threshold level. Each “</w:t>
                            </w:r>
                            <w:r>
                              <w:rPr>
                                <w:rFonts w:ascii="Georgia;Times;Serif" w:hAnsi="Georgia;Times;Serif"/>
                                <w:b w:val="false"/>
                                <w:i w:val="false"/>
                                <w:caps w:val="false"/>
                                <w:smallCaps w:val="false"/>
                                <w:sz w:val="16"/>
                                <w:u w:val="single"/>
                              </w:rPr>
                              <w:t>contingent coupon payment</w:t>
                            </w:r>
                            <w:r>
                              <w:rPr>
                                <w:rFonts w:ascii="Georgia;Times;Serif" w:hAnsi="Georgia;Times;Serif"/>
                                <w:b w:val="false"/>
                                <w:i w:val="false"/>
                                <w:caps w:val="false"/>
                                <w:smallCaps w:val="false"/>
                                <w:sz w:val="16"/>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contingent coupon rate) / 4.</w:t>
                            </w:r>
                          </w:p>
                        </w:tc>
                      </w:tr>
                      <w:tr>
                        <w:trPr/>
                        <w:tc>
                          <w:tcPr>
                            <w:tcW w:w="1476"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 Dates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7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Quarterly, on the third business day following each calculation day,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contingent coupon payment date with respect to the final calculation day will be the stated maturity date</w:t>
                            </w:r>
                          </w:p>
                        </w:tc>
                      </w:tr>
                      <w:tr>
                        <w:trPr/>
                        <w:tc>
                          <w:tcPr>
                            <w:tcW w:w="1476"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Rate:</w:t>
                            </w:r>
                          </w:p>
                        </w:tc>
                        <w:tc>
                          <w:tcPr>
                            <w:tcW w:w="8729" w:type="dxa"/>
                            <w:tcBorders>
                              <w:bottom w:val="single" w:sz="8" w:space="0" w:color="000000"/>
                              <w:right w:val="single" w:sz="8" w:space="0" w:color="000000"/>
                            </w:tcBorders>
                            <w:tcMar>
                              <w:top w:w="0" w:type="dxa"/>
                              <w:left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10.00% per annum (to be provided in the pricing supplement)</w:t>
                            </w:r>
                          </w:p>
                        </w:tc>
                      </w:tr>
                      <w:tr>
                        <w:trPr/>
                        <w:tc>
                          <w:tcPr>
                            <w:tcW w:w="1476"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Automatic Call: </w:t>
                            </w:r>
                          </w:p>
                        </w:tc>
                        <w:tc>
                          <w:tcPr>
                            <w:tcW w:w="87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closing level of the lowest performing Index on any of the calculation days from December 2026 to June 2029, inclusive, is greater than or equal to its starting level,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 final contingent coupon payment. </w:t>
                            </w:r>
                          </w:p>
                        </w:tc>
                      </w:tr>
                      <w:tr>
                        <w:trPr/>
                        <w:tc>
                          <w:tcPr>
                            <w:tcW w:w="1476"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7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Quarterly, on the 25</w:t>
                            </w:r>
                            <w:r>
                              <w:rPr>
                                <w:rFonts w:ascii="Georgia;Times;Serif" w:hAnsi="Georgia;Times;Serif"/>
                                <w:b w:val="false"/>
                                <w:i w:val="false"/>
                                <w:caps w:val="false"/>
                                <w:smallCaps w:val="false"/>
                                <w:position w:val="5"/>
                                <w:sz w:val="13"/>
                                <w:sz w:val="16"/>
                              </w:rPr>
                              <w:t>th</w:t>
                            </w:r>
                            <w:r>
                              <w:rPr>
                                <w:rFonts w:ascii="Georgia;Times;Serif" w:hAnsi="Georgia;Times;Serif"/>
                                <w:b w:val="false"/>
                                <w:i w:val="false"/>
                                <w:caps w:val="false"/>
                                <w:smallCaps w:val="false"/>
                                <w:sz w:val="16"/>
                              </w:rPr>
                              <w:t xml:space="preserve"> day of each March, June, September and December, commencing December 2026 and ending September 2029.</w:t>
                              <w:br/>
                              <w:t> We refer to September 25, 2029 as the “</w:t>
                            </w:r>
                            <w:r>
                              <w:rPr>
                                <w:rFonts w:ascii="Georgia;Times;Serif" w:hAnsi="Georgia;Times;Serif"/>
                                <w:b w:val="false"/>
                                <w:i w:val="false"/>
                                <w:caps w:val="false"/>
                                <w:smallCaps w:val="false"/>
                                <w:sz w:val="16"/>
                                <w:u w:val="single"/>
                              </w:rPr>
                              <w:t>final calculation day</w:t>
                            </w:r>
                            <w:r>
                              <w:rPr>
                                <w:rFonts w:ascii="Georgia;Times;Serif" w:hAnsi="Georgia;Times;Serif"/>
                                <w:b w:val="false"/>
                                <w:i w:val="false"/>
                                <w:caps w:val="false"/>
                                <w:smallCaps w:val="false"/>
                                <w:sz w:val="16"/>
                              </w:rPr>
                              <w:t>.”</w:t>
                            </w:r>
                          </w:p>
                        </w:tc>
                      </w:tr>
                      <w:tr>
                        <w:trPr/>
                        <w:tc>
                          <w:tcPr>
                            <w:tcW w:w="1476"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 xml:space="preserve">: </w:t>
                            </w:r>
                          </w:p>
                        </w:tc>
                        <w:tc>
                          <w:tcPr>
                            <w:tcW w:w="87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applicable calculation day</w:t>
                            </w:r>
                          </w:p>
                        </w:tc>
                      </w:tr>
                      <w:tr>
                        <w:trPr/>
                        <w:tc>
                          <w:tcPr>
                            <w:tcW w:w="14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729"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level of the lowest performing Index on the final calculation day is greater than or equal to its threshold level: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level of the lowest performing Index on the final calculation day is less than its threshold level:</w:t>
                            </w:r>
                          </w:p>
                          <w:p>
                            <w:pPr>
                              <w:pStyle w:val="TableContents"/>
                              <w:bidi w:val="0"/>
                              <w:spacing w:before="60" w:after="40"/>
                              <w:ind w:left="60" w:right="6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index return of the lowest performing Index on the final calculation day)</w:t>
                            </w:r>
                          </w:p>
                        </w:tc>
                      </w:tr>
                      <w:tr>
                        <w:trPr/>
                        <w:tc>
                          <w:tcPr>
                            <w:tcW w:w="14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Index:</w:t>
                            </w:r>
                          </w:p>
                        </w:tc>
                        <w:tc>
                          <w:tcPr>
                            <w:tcW w:w="87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any calculation day, the “</w:t>
                            </w:r>
                            <w:r>
                              <w:rPr>
                                <w:rFonts w:ascii="Georgia;Times;Serif" w:hAnsi="Georgia;Times;Serif"/>
                                <w:b w:val="false"/>
                                <w:i w:val="false"/>
                                <w:caps w:val="false"/>
                                <w:smallCaps w:val="false"/>
                                <w:sz w:val="16"/>
                                <w:u w:val="single"/>
                              </w:rPr>
                              <w:t>lowest performing Index</w:t>
                            </w:r>
                            <w:r>
                              <w:rPr>
                                <w:rFonts w:ascii="Georgia;Times;Serif" w:hAnsi="Georgia;Times;Serif"/>
                                <w:b w:val="false"/>
                                <w:i w:val="false"/>
                                <w:caps w:val="false"/>
                                <w:smallCaps w:val="false"/>
                                <w:sz w:val="16"/>
                              </w:rPr>
                              <w:t>” will be the Index with the lowest index return on that calculation day.</w:t>
                            </w:r>
                          </w:p>
                        </w:tc>
                      </w:tr>
                      <w:tr>
                        <w:trPr/>
                        <w:tc>
                          <w:tcPr>
                            <w:tcW w:w="14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Level:</w:t>
                            </w:r>
                          </w:p>
                        </w:tc>
                        <w:tc>
                          <w:tcPr>
                            <w:tcW w:w="87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its closing level on the pricing date</w:t>
                            </w:r>
                          </w:p>
                        </w:tc>
                      </w:tr>
                      <w:tr>
                        <w:trPr/>
                        <w:tc>
                          <w:tcPr>
                            <w:tcW w:w="14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Level:</w:t>
                            </w:r>
                          </w:p>
                        </w:tc>
                        <w:tc>
                          <w:tcPr>
                            <w:tcW w:w="87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its closing level on the final calculation day</w:t>
                            </w:r>
                          </w:p>
                        </w:tc>
                      </w:tr>
                      <w:tr>
                        <w:trPr/>
                        <w:tc>
                          <w:tcPr>
                            <w:tcW w:w="147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Index Return:</w:t>
                            </w:r>
                          </w:p>
                        </w:tc>
                        <w:tc>
                          <w:tcPr>
                            <w:tcW w:w="87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on any calculation day, (closing level on that calculation day – starting level) / starting level</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9739630"/>
                <wp:effectExtent l="0" t="0" r="0" b="0"/>
                <wp:wrapSquare wrapText="left"/>
                <wp:docPr id="3" name="Frame2"/>
                <a:graphic xmlns:a="http://schemas.openxmlformats.org/drawingml/2006/main">
                  <a:graphicData uri="http://schemas.microsoft.com/office/word/2010/wordprocessingShape">
                    <wps:wsp>
                      <wps:cNvSpPr txBox="1"/>
                      <wps:spPr>
                        <a:xfrm>
                          <a:off x="0" y="0"/>
                          <a:ext cx="3175000" cy="9739630"/>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291"/>
                              <w:gridCol w:w="8914"/>
                            </w:tblGrid>
                            <w:tr>
                              <w:trPr/>
                              <w:tc>
                                <w:tcPr>
                                  <w:tcW w:w="12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Level:</w:t>
                                  </w:r>
                                </w:p>
                              </w:tc>
                              <w:tc>
                                <w:tcPr>
                                  <w:tcW w:w="89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75% of its starting level</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46661PVR5</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1.575%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1.00%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 </w:t>
                            </w:r>
                          </w:p>
                          <w:p>
                            <w:pPr>
                              <w:pStyle w:val="TextBody"/>
                              <w:bidi w:val="0"/>
                              <w:spacing w:before="0" w:after="20"/>
                              <w:jc w:val="left"/>
                              <w:rPr>
                                <w:caps w:val="false"/>
                                <w:smallCaps w:val="false"/>
                              </w:rPr>
                            </w:pPr>
                            <w:r>
                              <w:rPr>
                                <w:caps w:val="false"/>
                                <w:smallCaps w:val="false"/>
                              </w:rPr>
                              <w:drawing>
                                <wp:inline distT="0" distB="0" distL="0" distR="0">
                                  <wp:extent cx="3333750" cy="20193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333750" cy="2019300"/>
                                          </a:xfrm>
                                          <a:prstGeom prst="rect">
                                            <a:avLst/>
                                          </a:prstGeom>
                                        </pic:spPr>
                                      </pic:pic>
                                    </a:graphicData>
                                  </a:graphic>
                                </wp:inline>
                              </w:drawing>
                            </w:r>
                          </w:p>
                          <w:p>
                            <w:pPr>
                              <w:pStyle w:val="TextBody"/>
                              <w:bidi w:val="0"/>
                              <w:spacing w:before="40" w:after="40"/>
                              <w:ind w:left="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prior to maturity and the ending level of the lowest performing Index on the final calculation day is less than its threshold level, you will lose more than 25%, and possibly all, of the principal amount of your securities at maturity.</w:t>
                            </w:r>
                          </w:p>
                          <w:p>
                            <w:pPr>
                              <w:pStyle w:val="TextBody"/>
                              <w:bidi w:val="0"/>
                              <w:spacing w:before="40" w:after="40"/>
                              <w:ind w:left="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return on the securities will be limited to the sum of your contingent coupon payments, if any. You will not participate in any appreciation of any Index, but you will have full downside exposure to the lowest performing Index on the final calculation day if its ending level is less than its threshold level.</w:t>
                            </w:r>
                          </w:p>
                          <w:p>
                            <w:pPr>
                              <w:pStyle w:val="TextBody"/>
                              <w:bidi w:val="0"/>
                              <w:spacing w:before="40" w:after="40"/>
                              <w:ind w:left="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40" w:after="40"/>
                              <w:ind w:left="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$962.30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0" w:after="20"/>
                              <w:jc w:val="left"/>
                              <w:rPr/>
                            </w:pPr>
                            <w:r>
                              <w:rPr>
                                <w:rFonts w:ascii="Georgia;Times;Serif" w:hAnsi="Georgia;Times;Serif"/>
                                <w:b w:val="false"/>
                                <w:i w:val="false"/>
                                <w:caps w:val="false"/>
                                <w:smallCaps w:val="false"/>
                                <w:sz w:val="16"/>
                              </w:rPr>
                              <w:t xml:space="preserve">Preliminary Pricing Supplement: </w:t>
                            </w:r>
                            <w:hyperlink r:id="rId4">
                              <w:r>
                                <w:rPr>
                                  <w:rStyle w:val="InternetLink"/>
                                  <w:rFonts w:ascii="Georgia;Times;Serif" w:hAnsi="Georgia;Times;Serif"/>
                                  <w:b w:val="false"/>
                                  <w:i w:val="false"/>
                                  <w:caps w:val="false"/>
                                  <w:smallCaps w:val="false"/>
                                  <w:sz w:val="16"/>
                                </w:rPr>
                                <w:t>http://www.sec.gov/Archives/edgar/data/19617/000121390026100533/</w:t>
                                <w:br/>
                                <w:t>ea0305745-01_424b2.htm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66.9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291"/>
                        <w:gridCol w:w="8914"/>
                      </w:tblGrid>
                      <w:tr>
                        <w:trPr/>
                        <w:tc>
                          <w:tcPr>
                            <w:tcW w:w="12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Level:</w:t>
                            </w:r>
                          </w:p>
                        </w:tc>
                        <w:tc>
                          <w:tcPr>
                            <w:tcW w:w="89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75% of its starting level</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46661PVR5</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1.575%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1.00%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 </w:t>
                      </w:r>
                    </w:p>
                    <w:p>
                      <w:pPr>
                        <w:pStyle w:val="TextBody"/>
                        <w:bidi w:val="0"/>
                        <w:spacing w:before="0" w:after="20"/>
                        <w:jc w:val="left"/>
                        <w:rPr>
                          <w:caps w:val="false"/>
                          <w:smallCaps w:val="false"/>
                        </w:rPr>
                      </w:pPr>
                      <w:r>
                        <w:rPr>
                          <w:caps w:val="false"/>
                          <w:smallCaps w:val="false"/>
                        </w:rPr>
                        <w:drawing>
                          <wp:inline distT="0" distB="0" distL="0" distR="0">
                            <wp:extent cx="3333750" cy="20193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333750" cy="2019300"/>
                                    </a:xfrm>
                                    <a:prstGeom prst="rect">
                                      <a:avLst/>
                                    </a:prstGeom>
                                  </pic:spPr>
                                </pic:pic>
                              </a:graphicData>
                            </a:graphic>
                          </wp:inline>
                        </w:drawing>
                      </w:r>
                    </w:p>
                    <w:p>
                      <w:pPr>
                        <w:pStyle w:val="TextBody"/>
                        <w:bidi w:val="0"/>
                        <w:spacing w:before="40" w:after="40"/>
                        <w:ind w:left="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prior to maturity and the ending level of the lowest performing Index on the final calculation day is less than its threshold level, you will lose more than 25%, and possibly all, of the principal amount of your securities at maturity.</w:t>
                      </w:r>
                    </w:p>
                    <w:p>
                      <w:pPr>
                        <w:pStyle w:val="TextBody"/>
                        <w:bidi w:val="0"/>
                        <w:spacing w:before="40" w:after="40"/>
                        <w:ind w:left="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return on the securities will be limited to the sum of your contingent coupon payments, if any. You will not participate in any appreciation of any Index, but you will have full downside exposure to the lowest performing Index on the final calculation day if its ending level is less than its threshold level.</w:t>
                      </w:r>
                    </w:p>
                    <w:p>
                      <w:pPr>
                        <w:pStyle w:val="TextBody"/>
                        <w:bidi w:val="0"/>
                        <w:spacing w:before="40" w:after="40"/>
                        <w:ind w:left="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40" w:after="40"/>
                        <w:ind w:left="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$962.30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0" w:after="20"/>
                        <w:jc w:val="left"/>
                        <w:rPr/>
                      </w:pPr>
                      <w:r>
                        <w:rPr>
                          <w:rFonts w:ascii="Georgia;Times;Serif" w:hAnsi="Georgia;Times;Serif"/>
                          <w:b w:val="false"/>
                          <w:i w:val="false"/>
                          <w:caps w:val="false"/>
                          <w:smallCaps w:val="false"/>
                          <w:sz w:val="16"/>
                        </w:rPr>
                        <w:t xml:space="preserve">Preliminary Pricing Supplement: </w:t>
                      </w:r>
                      <w:hyperlink r:id="rId6">
                        <w:r>
                          <w:rPr>
                            <w:rStyle w:val="InternetLink"/>
                            <w:rFonts w:ascii="Georgia;Times;Serif" w:hAnsi="Georgia;Times;Serif"/>
                            <w:b w:val="false"/>
                            <w:i w:val="false"/>
                            <w:caps w:val="false"/>
                            <w:smallCaps w:val="false"/>
                            <w:sz w:val="16"/>
                          </w:rPr>
                          <w:t>http://www.sec.gov/Archives/edgar/data/19617/000121390026100533/</w:t>
                          <w:br/>
                          <w:t>ea0305745-01_424b2.htm</w:t>
                        </w:r>
                      </w:hyperlink>
                    </w:p>
                  </w:txbxContent>
                </v:textbox>
                <w10:wrap type="square" side="left"/>
              </v:rect>
            </w:pict>
          </mc:Fallback>
        </mc:AlternateContent>
      </w:r>
    </w:p>
    <w:p>
      <w:pPr>
        <w:pStyle w:val="TextBody"/>
        <w:bidi w:val="0"/>
        <w:spacing w:before="0" w:after="20"/>
        <w:jc w:val="left"/>
        <w:rPr>
          <w:caps w:val="false"/>
          <w:smallCaps w:val="false"/>
        </w:rPr>
      </w:pPr>
      <w:r>
        <w:rPr>
          <w:caps w:val="false"/>
          <w:smallCaps w:val="false"/>
        </w:rPr>
        <w:t> </w:t>
      </w:r>
    </w:p>
    <w:p>
      <w:pPr>
        <w:pStyle w:val="TextBody"/>
        <w:bidi w:val="0"/>
        <w:spacing w:before="0" w:after="2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p>
    <w:p>
      <w:pPr>
        <w:pStyle w:val="TextBody"/>
        <w:bidi w:val="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40" w:after="40"/>
        <w:ind w:left="40" w:right="4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product supplement and underlying supplement.</w:t>
      </w:r>
    </w:p>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5123"/>
        <w:gridCol w:w="5082"/>
      </w:tblGrid>
      <w:tr>
        <w:trPr/>
        <w:tc>
          <w:tcPr>
            <w:tcW w:w="5123"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Not Automatically Called and the Ending Level of the Lowest Performing Index on the Final Calculation Day Is Less Than Its Threshold Level, You Will Lose More Than 25%, and Possibly All, of the Principal Amount of Your Securities at Maturity.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Do Not Guarantee the Payment of Interest and May Not Pay Any Interest at All.</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 xml:space="preserve">The Potential Return on the Securities Is Limited to the Sum of Any Contingent Coupon Payments </w:t>
            </w:r>
            <w:r>
              <w:rPr>
                <w:rFonts w:ascii="Georgia;Times;Serif" w:hAnsi="Georgia;Times;Serif"/>
                <w:b/>
                <w:i w:val="false"/>
                <w:caps w:val="false"/>
                <w:smallCaps w:val="false"/>
                <w:sz w:val="18"/>
              </w:rPr>
              <w:t>and You Will Not Participate in Any Appreciation of Any Index.</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Reinvestment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Are Exposed to the Risk of Decline in the Level of Each Index.</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Your Maturity Payment Amount Will Be Determined by the Lowest Performing Index.</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Risks Resulting from the Relationship Among the Indices.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Higher Contingent Coupon Rates Are Associated with Greater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Level May Terminate on the Final Calculation Day.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Dividend Payments or Voting Rights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p>
            <w:pPr>
              <w:pStyle w:val="TableContents"/>
              <w:bidi w:val="0"/>
              <w:spacing w:before="0" w:after="40"/>
              <w:ind w:left="0" w:right="0" w:hanging="0"/>
              <w:jc w:val="left"/>
              <w:rPr>
                <w:caps w:val="false"/>
                <w:smallCaps w:val="false"/>
              </w:rPr>
            </w:pPr>
            <w:r>
              <w:rPr>
                <w:caps w:val="false"/>
                <w:smallCaps w:val="false"/>
              </w:rPr>
              <w:t> </w:t>
            </w:r>
          </w:p>
        </w:tc>
        <w:tc>
          <w:tcPr>
            <w:tcW w:w="5082"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ind w:left="360" w:right="0" w:hanging="360"/>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Each of JPMorgan Chase &amp; Co. and Wells Fargo &amp; Company (the Parent Company of WFS) Is Currently One of the Companies that Make Up the S&amp;P 500</w:t>
            </w:r>
            <w:r>
              <w:rPr>
                <w:rFonts w:ascii="Georgia;Times;Serif" w:hAnsi="Georgia;Times;Serif"/>
                <w:b/>
                <w:i w:val="false"/>
                <w:caps w:val="false"/>
                <w:smallCaps w:val="false"/>
                <w:position w:val="6"/>
                <w:sz w:val="14"/>
                <w:sz w:val="18"/>
              </w:rPr>
              <w:t>®</w:t>
            </w:r>
            <w:r>
              <w:rPr>
                <w:rFonts w:ascii="Georgia;Times;Serif" w:hAnsi="Georgia;Times;Serif"/>
                <w:b/>
                <w:i w:val="false"/>
                <w:caps w:val="false"/>
                <w:smallCaps w:val="false"/>
                <w:sz w:val="18"/>
              </w:rPr>
              <w:t xml:space="preserve"> Index.</w:t>
            </w:r>
          </w:p>
          <w:p>
            <w:pPr>
              <w:pStyle w:val="TableContents"/>
              <w:bidi w:val="0"/>
              <w:ind w:left="360" w:right="0" w:hanging="360"/>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 xml:space="preserve">The </w:t>
            </w:r>
            <w:r>
              <w:rPr>
                <w:rFonts w:ascii="Georgia;Times;Serif" w:hAnsi="Georgia;Times;Serif"/>
                <w:b/>
                <w:i w:val="false"/>
                <w:caps w:val="false"/>
                <w:smallCaps w:val="false"/>
                <w:sz w:val="18"/>
                <w:shd w:fill="FFFFFF" w:val="clear"/>
              </w:rPr>
              <w:t>Securities Are Subject to Non-U.S. Securities Risk with Respect to the EURO STOXX 50</w:t>
            </w:r>
            <w:r>
              <w:rPr>
                <w:rFonts w:ascii="Georgia;Times;Serif" w:hAnsi="Georgia;Times;Serif"/>
                <w:b/>
                <w:i w:val="false"/>
                <w:caps w:val="false"/>
                <w:smallCaps w:val="false"/>
                <w:position w:val="6"/>
                <w:sz w:val="14"/>
                <w:sz w:val="18"/>
                <w:shd w:fill="FFFFFF" w:val="clear"/>
              </w:rPr>
              <w:t>®</w:t>
            </w:r>
            <w:r>
              <w:rPr>
                <w:rFonts w:ascii="Georgia;Times;Serif" w:hAnsi="Georgia;Times;Serif"/>
                <w:b/>
                <w:i w:val="false"/>
                <w:caps w:val="false"/>
                <w:smallCaps w:val="false"/>
                <w:sz w:val="18"/>
                <w:shd w:fill="FFFFFF" w:val="clear"/>
              </w:rPr>
              <w:t xml:space="preserve"> Index.</w:t>
            </w:r>
          </w:p>
          <w:p>
            <w:pPr>
              <w:pStyle w:val="TableContents"/>
              <w:bidi w:val="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Direct Exposure to Fluctuations in Foreign Exchange Rates with Respect to the EURO STOXX 50</w:t>
            </w:r>
            <w:r>
              <w:rPr>
                <w:rFonts w:ascii="Georgia;Times;Serif" w:hAnsi="Georgia;Times;Serif"/>
                <w:b/>
                <w:i w:val="false"/>
                <w:caps w:val="false"/>
                <w:smallCaps w:val="false"/>
                <w:position w:val="6"/>
                <w:sz w:val="14"/>
                <w:sz w:val="18"/>
              </w:rPr>
              <w:t>®</w:t>
            </w:r>
            <w:r>
              <w:rPr>
                <w:rFonts w:ascii="Georgia;Times;Serif" w:hAnsi="Georgia;Times;Serif"/>
                <w:b/>
                <w:i w:val="false"/>
                <w:caps w:val="false"/>
                <w:smallCaps w:val="false"/>
                <w:sz w:val="18"/>
              </w:rPr>
              <w:t xml:space="preserve"> Index.</w:t>
            </w:r>
          </w:p>
          <w:p>
            <w:pPr>
              <w:pStyle w:val="TableContents"/>
              <w:bidi w:val="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 xml:space="preserve">An Investment </w:t>
            </w:r>
            <w:r>
              <w:rPr>
                <w:rFonts w:ascii="Georgia;Times;Serif" w:hAnsi="Georgia;Times;Serif"/>
                <w:b/>
                <w:i w:val="false"/>
                <w:caps w:val="false"/>
                <w:smallCaps w:val="false"/>
                <w:sz w:val="18"/>
                <w:shd w:fill="FFFFFF" w:val="clear"/>
              </w:rPr>
              <w:t>in the Securities Is Subject to Risks Associated with Small Capitalization Stocks with Respect to the Russell 2000</w:t>
            </w:r>
            <w:r>
              <w:rPr>
                <w:rFonts w:ascii="Georgia;Times;Serif" w:hAnsi="Georgia;Times;Serif"/>
                <w:b/>
                <w:i w:val="false"/>
                <w:caps w:val="false"/>
                <w:smallCaps w:val="false"/>
                <w:position w:val="6"/>
                <w:sz w:val="14"/>
                <w:sz w:val="18"/>
                <w:shd w:fill="FFFFFF" w:val="clear"/>
              </w:rPr>
              <w:t>®</w:t>
            </w:r>
            <w:r>
              <w:rPr>
                <w:rFonts w:ascii="Georgia;Times;Serif" w:hAnsi="Georgia;Times;Serif"/>
                <w:b/>
                <w:i w:val="false"/>
                <w:caps w:val="false"/>
                <w:smallCaps w:val="false"/>
                <w:sz w:val="18"/>
                <w:shd w:fill="FFFFFF" w:val="clear"/>
              </w:rPr>
              <w:t xml:space="preserve"> Index.</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Any Payment on the Securities Will Depend upon the Performance of Each Index and Therefore the Securities Are Subject to the Risks Associated with Each Index, Each as Discussed in the Accompanying Preliminary Pricing Supplement and Product Supplement.</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60"/>
        <w:jc w:val="left"/>
        <w:rPr>
          <w:caps w:val="false"/>
          <w:smallCaps w:val="false"/>
          <w:color w:val="8F8F8F"/>
        </w:rPr>
      </w:pPr>
      <w:r>
        <w:rPr>
          <w:caps w:val="false"/>
          <w:smallCaps w:val="false"/>
          <w:color w:val="8F8F8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100533/ea0305745-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100533/ea0305745-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1768</Words>
  <Characters>9391</Characters>
  <CharactersWithSpaces>11179</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