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180975</wp:posOffset>
            </wp:positionV>
            <wp:extent cx="28479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5715"/>
                    </a:xfrm>
                    <a:prstGeom prst="rect">
                      <a:avLst/>
                    </a:prstGeom>
                    <a:noFill/>
                  </pic:spPr>
                </pic:pic>
              </a:graphicData>
            </a:graphic>
          </wp:anchor>
        </w:drawing>
      </w:r>
    </w:p>
    <w:p>
      <w:pPr>
        <w:spacing w:after="0" w:line="332" w:lineRule="exact"/>
        <w:rPr>
          <w:sz w:val="24"/>
          <w:szCs w:val="24"/>
          <w:color w:val="auto"/>
        </w:rPr>
      </w:pPr>
    </w:p>
    <w:p>
      <w:pPr>
        <w:ind w:left="532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165735</wp:posOffset>
            </wp:positionV>
            <wp:extent cx="28479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5715"/>
                    </a:xfrm>
                    <a:prstGeom prst="rect">
                      <a:avLst/>
                    </a:prstGeom>
                    <a:noFill/>
                  </pic:spPr>
                </pic:pic>
              </a:graphicData>
            </a:graphic>
          </wp:anchor>
        </w:drawing>
      </w:r>
    </w:p>
    <w:p>
      <w:pPr>
        <w:spacing w:after="0" w:line="273"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5" w:lineRule="exact"/>
        <w:rPr>
          <w:sz w:val="24"/>
          <w:szCs w:val="24"/>
          <w:color w:val="auto"/>
        </w:rPr>
      </w:pPr>
    </w:p>
    <w:p>
      <w:pPr>
        <w:ind w:left="4040"/>
        <w:spacing w:after="0"/>
        <w:rPr>
          <w:sz w:val="20"/>
          <w:szCs w:val="20"/>
          <w:color w:val="auto"/>
        </w:rPr>
      </w:pPr>
      <w:r>
        <w:rPr>
          <w:rFonts w:ascii="Arial" w:cs="Arial" w:eastAsia="Arial" w:hAnsi="Arial"/>
          <w:sz w:val="12"/>
          <w:szCs w:val="12"/>
          <w:b w:val="1"/>
          <w:bCs w:val="1"/>
          <w:color w:val="auto"/>
        </w:rPr>
        <w:t>Date of Report (date of earliest event reported): February 25, 2020</w:t>
      </w:r>
    </w:p>
    <w:p>
      <w:pPr>
        <w:spacing w:after="0" w:line="290"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-169545</wp:posOffset>
            </wp:positionV>
            <wp:extent cx="28479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5715"/>
                    </a:xfrm>
                    <a:prstGeom prst="rect">
                      <a:avLst/>
                    </a:prstGeom>
                    <a:noFill/>
                  </pic:spPr>
                </pic:pic>
              </a:graphicData>
            </a:graphic>
          </wp:anchor>
        </w:drawing>
      </w:r>
    </w:p>
    <w:p>
      <w:pPr>
        <w:spacing w:after="0" w:line="6" w:lineRule="exact"/>
        <w:rPr>
          <w:sz w:val="24"/>
          <w:szCs w:val="24"/>
          <w:color w:val="auto"/>
        </w:rPr>
      </w:pPr>
    </w:p>
    <w:p>
      <w:pPr>
        <w:ind w:left="480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183515</wp:posOffset>
            </wp:positionV>
            <wp:extent cx="28479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571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3720" w:type="dxa"/>
        <w:tblCellMar>
          <w:top w:w="0" w:type="dxa"/>
          <w:left w:w="0" w:type="dxa"/>
          <w:bottom w:w="0" w:type="dxa"/>
          <w:right w:w="0" w:type="dxa"/>
        </w:tblCellMar>
      </w:tblPr>
      <w:tr>
        <w:trPr>
          <w:trHeight w:val="107"/>
        </w:trPr>
        <w:tc>
          <w:tcPr>
            <w:tcW w:w="1520" w:type="dxa"/>
            <w:vAlign w:val="bottom"/>
          </w:tcPr>
          <w:p>
            <w:pPr>
              <w:jc w:val="center"/>
              <w:ind w:right="58"/>
              <w:spacing w:after="0"/>
              <w:rPr>
                <w:sz w:val="20"/>
                <w:szCs w:val="20"/>
                <w:color w:val="auto"/>
              </w:rPr>
            </w:pPr>
            <w:r>
              <w:rPr>
                <w:rFonts w:ascii="Arial" w:cs="Arial" w:eastAsia="Arial" w:hAnsi="Arial"/>
                <w:sz w:val="8"/>
                <w:szCs w:val="8"/>
                <w:b w:val="1"/>
                <w:bCs w:val="1"/>
                <w:color w:val="auto"/>
                <w:w w:val="96"/>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88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109"/>
        </w:trPr>
        <w:tc>
          <w:tcPr>
            <w:tcW w:w="1520" w:type="dxa"/>
            <w:vAlign w:val="bottom"/>
          </w:tcPr>
          <w:p>
            <w:pPr>
              <w:jc w:val="center"/>
              <w:ind w:right="78"/>
              <w:spacing w:after="0"/>
              <w:rPr>
                <w:sz w:val="20"/>
                <w:szCs w:val="20"/>
                <w:color w:val="auto"/>
              </w:rPr>
            </w:pPr>
            <w:r>
              <w:rPr>
                <w:rFonts w:ascii="Arial" w:cs="Arial" w:eastAsia="Arial" w:hAnsi="Arial"/>
                <w:sz w:val="8"/>
                <w:szCs w:val="8"/>
                <w:b w:val="1"/>
                <w:bCs w:val="1"/>
                <w:color w:val="auto"/>
                <w:w w:val="94"/>
              </w:rPr>
              <w:t>(State or other jurisdiction of</w:t>
            </w:r>
          </w:p>
        </w:tc>
        <w:tc>
          <w:tcPr>
            <w:tcW w:w="1340" w:type="dxa"/>
            <w:vAlign w:val="bottom"/>
          </w:tcPr>
          <w:p>
            <w:pPr>
              <w:jc w:val="center"/>
              <w:ind w:right="118"/>
              <w:spacing w:after="0"/>
              <w:rPr>
                <w:sz w:val="20"/>
                <w:szCs w:val="20"/>
                <w:color w:val="auto"/>
              </w:rPr>
            </w:pPr>
            <w:r>
              <w:rPr>
                <w:rFonts w:ascii="Arial" w:cs="Arial" w:eastAsia="Arial" w:hAnsi="Arial"/>
                <w:sz w:val="8"/>
                <w:szCs w:val="8"/>
                <w:b w:val="1"/>
                <w:bCs w:val="1"/>
                <w:color w:val="auto"/>
                <w:w w:val="96"/>
              </w:rPr>
              <w:t>(Commission File Number)</w:t>
            </w:r>
          </w:p>
        </w:tc>
        <w:tc>
          <w:tcPr>
            <w:tcW w:w="880" w:type="dxa"/>
            <w:vAlign w:val="bottom"/>
          </w:tcPr>
          <w:p>
            <w:pPr>
              <w:jc w:val="center"/>
              <w:ind w:left="198"/>
              <w:spacing w:after="0"/>
              <w:rPr>
                <w:sz w:val="20"/>
                <w:szCs w:val="20"/>
                <w:color w:val="auto"/>
              </w:rPr>
            </w:pPr>
            <w:r>
              <w:rPr>
                <w:rFonts w:ascii="Arial" w:cs="Arial" w:eastAsia="Arial" w:hAnsi="Arial"/>
                <w:sz w:val="8"/>
                <w:szCs w:val="8"/>
                <w:b w:val="1"/>
                <w:bCs w:val="1"/>
                <w:color w:val="auto"/>
                <w:w w:val="99"/>
              </w:rPr>
              <w:t>(I.R.S. employer</w:t>
            </w:r>
          </w:p>
        </w:tc>
      </w:tr>
      <w:tr>
        <w:trPr>
          <w:trHeight w:val="107"/>
        </w:trPr>
        <w:tc>
          <w:tcPr>
            <w:tcW w:w="1520" w:type="dxa"/>
            <w:vAlign w:val="bottom"/>
          </w:tcPr>
          <w:p>
            <w:pPr>
              <w:jc w:val="center"/>
              <w:ind w:right="58"/>
              <w:spacing w:after="0"/>
              <w:rPr>
                <w:sz w:val="20"/>
                <w:szCs w:val="20"/>
                <w:color w:val="auto"/>
              </w:rPr>
            </w:pPr>
            <w:r>
              <w:rPr>
                <w:rFonts w:ascii="Arial" w:cs="Arial" w:eastAsia="Arial" w:hAnsi="Arial"/>
                <w:sz w:val="8"/>
                <w:szCs w:val="8"/>
                <w:b w:val="1"/>
                <w:bCs w:val="1"/>
                <w:color w:val="auto"/>
                <w:w w:val="96"/>
              </w:rPr>
              <w:t>incorporation or organization)</w:t>
            </w:r>
          </w:p>
        </w:tc>
        <w:tc>
          <w:tcPr>
            <w:tcW w:w="1340" w:type="dxa"/>
            <w:vAlign w:val="bottom"/>
          </w:tcPr>
          <w:p>
            <w:pPr>
              <w:spacing w:after="0"/>
              <w:rPr>
                <w:sz w:val="9"/>
                <w:szCs w:val="9"/>
                <w:color w:val="auto"/>
              </w:rPr>
            </w:pPr>
          </w:p>
        </w:tc>
        <w:tc>
          <w:tcPr>
            <w:tcW w:w="880" w:type="dxa"/>
            <w:vAlign w:val="bottom"/>
          </w:tcPr>
          <w:p>
            <w:pPr>
              <w:jc w:val="center"/>
              <w:ind w:left="198"/>
              <w:spacing w:after="0"/>
              <w:rPr>
                <w:sz w:val="20"/>
                <w:szCs w:val="20"/>
                <w:color w:val="auto"/>
              </w:rPr>
            </w:pPr>
            <w:r>
              <w:rPr>
                <w:rFonts w:ascii="Arial" w:cs="Arial" w:eastAsia="Arial" w:hAnsi="Arial"/>
                <w:sz w:val="8"/>
                <w:szCs w:val="8"/>
                <w:b w:val="1"/>
                <w:bCs w:val="1"/>
                <w:color w:val="auto"/>
                <w:w w:val="95"/>
              </w:rPr>
              <w:t>identification no.)</w:t>
            </w:r>
          </w:p>
        </w:tc>
      </w:tr>
      <w:tr>
        <w:trPr>
          <w:trHeight w:val="234"/>
        </w:trPr>
        <w:tc>
          <w:tcPr>
            <w:tcW w:w="1520" w:type="dxa"/>
            <w:vAlign w:val="bottom"/>
          </w:tcPr>
          <w:p>
            <w:pPr>
              <w:jc w:val="center"/>
              <w:ind w:right="78"/>
              <w:spacing w:after="0"/>
              <w:rPr>
                <w:sz w:val="20"/>
                <w:szCs w:val="20"/>
                <w:color w:val="auto"/>
              </w:rPr>
            </w:pPr>
            <w:r>
              <w:rPr>
                <w:rFonts w:ascii="Arial" w:cs="Arial" w:eastAsia="Arial" w:hAnsi="Arial"/>
                <w:sz w:val="8"/>
                <w:szCs w:val="8"/>
                <w:b w:val="1"/>
                <w:bCs w:val="1"/>
                <w:color w:val="auto"/>
                <w:w w:val="93"/>
              </w:rPr>
              <w:t>383 Madison Avenue,</w:t>
            </w: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0"/>
        </w:trPr>
        <w:tc>
          <w:tcPr>
            <w:tcW w:w="1520" w:type="dxa"/>
            <w:vAlign w:val="bottom"/>
          </w:tcPr>
          <w:p>
            <w:pPr>
              <w:jc w:val="center"/>
              <w:ind w:right="98"/>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5"/>
                <w:szCs w:val="15"/>
                <w:color w:val="auto"/>
              </w:rPr>
            </w:pPr>
          </w:p>
        </w:tc>
        <w:tc>
          <w:tcPr>
            <w:tcW w:w="880" w:type="dxa"/>
            <w:vAlign w:val="bottom"/>
          </w:tcPr>
          <w:p>
            <w:pPr>
              <w:jc w:val="right"/>
              <w:ind w:right="178"/>
              <w:spacing w:after="0"/>
              <w:rPr>
                <w:sz w:val="20"/>
                <w:szCs w:val="20"/>
                <w:color w:val="auto"/>
              </w:rPr>
            </w:pPr>
            <w:r>
              <w:rPr>
                <w:rFonts w:ascii="Arial" w:cs="Arial" w:eastAsia="Arial" w:hAnsi="Arial"/>
                <w:sz w:val="8"/>
                <w:szCs w:val="8"/>
                <w:b w:val="1"/>
                <w:bCs w:val="1"/>
                <w:color w:val="auto"/>
              </w:rPr>
              <w:t>10179</w:t>
            </w:r>
          </w:p>
        </w:tc>
      </w:tr>
      <w:tr>
        <w:trPr>
          <w:trHeight w:val="180"/>
        </w:trPr>
        <w:tc>
          <w:tcPr>
            <w:tcW w:w="1520" w:type="dxa"/>
            <w:vAlign w:val="bottom"/>
          </w:tcPr>
          <w:p>
            <w:pPr>
              <w:jc w:val="center"/>
              <w:ind w:right="78"/>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1340" w:type="dxa"/>
            <w:vAlign w:val="bottom"/>
          </w:tcPr>
          <w:p>
            <w:pPr>
              <w:spacing w:after="0"/>
              <w:rPr>
                <w:sz w:val="15"/>
                <w:szCs w:val="15"/>
                <w:color w:val="auto"/>
              </w:rPr>
            </w:pPr>
          </w:p>
        </w:tc>
        <w:tc>
          <w:tcPr>
            <w:tcW w:w="880" w:type="dxa"/>
            <w:vAlign w:val="bottom"/>
          </w:tcPr>
          <w:p>
            <w:pPr>
              <w:jc w:val="center"/>
              <w:ind w:left="198"/>
              <w:spacing w:after="0"/>
              <w:rPr>
                <w:sz w:val="20"/>
                <w:szCs w:val="20"/>
                <w:color w:val="auto"/>
              </w:rPr>
            </w:pPr>
            <w:r>
              <w:rPr>
                <w:rFonts w:ascii="Arial" w:cs="Arial" w:eastAsia="Arial" w:hAnsi="Arial"/>
                <w:sz w:val="8"/>
                <w:szCs w:val="8"/>
                <w:b w:val="1"/>
                <w:bCs w:val="1"/>
                <w:color w:val="auto"/>
              </w:rPr>
              <w:t>(Zip Code)</w:t>
            </w:r>
          </w:p>
        </w:tc>
      </w:tr>
    </w:tbl>
    <w:p>
      <w:pPr>
        <w:spacing w:after="0" w:line="34" w:lineRule="exact"/>
        <w:rPr>
          <w:sz w:val="24"/>
          <w:szCs w:val="24"/>
          <w:color w:val="auto"/>
        </w:rPr>
      </w:pPr>
    </w:p>
    <w:p>
      <w:pPr>
        <w:ind w:left="436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115" w:lineRule="exact"/>
        <w:rPr>
          <w:sz w:val="24"/>
          <w:szCs w:val="24"/>
          <w:color w:val="auto"/>
        </w:rPr>
      </w:pPr>
    </w:p>
    <w:p>
      <w:pPr>
        <w:ind w:left="360" w:hanging="350"/>
        <w:spacing w:after="0"/>
        <w:tabs>
          <w:tab w:leader="none" w:pos="36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33" w:lineRule="exact"/>
        <w:rPr>
          <w:rFonts w:ascii="MS PGothic" w:cs="MS PGothic" w:eastAsia="MS PGothic" w:hAnsi="MS PGothic"/>
          <w:sz w:val="8"/>
          <w:szCs w:val="8"/>
          <w:color w:val="auto"/>
        </w:rPr>
      </w:pPr>
    </w:p>
    <w:p>
      <w:pPr>
        <w:ind w:left="360" w:hanging="350"/>
        <w:spacing w:after="0"/>
        <w:tabs>
          <w:tab w:leader="none" w:pos="36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133" w:lineRule="exact"/>
        <w:rPr>
          <w:rFonts w:ascii="MS PGothic" w:cs="MS PGothic" w:eastAsia="MS PGothic" w:hAnsi="MS PGothic"/>
          <w:sz w:val="8"/>
          <w:szCs w:val="8"/>
          <w:color w:val="auto"/>
        </w:rPr>
      </w:pPr>
    </w:p>
    <w:p>
      <w:pPr>
        <w:ind w:left="360" w:hanging="350"/>
        <w:spacing w:after="0"/>
        <w:tabs>
          <w:tab w:leader="none" w:pos="36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33" w:lineRule="exact"/>
        <w:rPr>
          <w:rFonts w:ascii="MS PGothic" w:cs="MS PGothic" w:eastAsia="MS PGothic" w:hAnsi="MS PGothic"/>
          <w:sz w:val="8"/>
          <w:szCs w:val="8"/>
          <w:color w:val="auto"/>
        </w:rPr>
      </w:pPr>
    </w:p>
    <w:p>
      <w:pPr>
        <w:ind w:left="360" w:hanging="350"/>
        <w:spacing w:after="0"/>
        <w:tabs>
          <w:tab w:leader="none" w:pos="36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57" w:lineRule="exact"/>
        <w:rPr>
          <w:sz w:val="24"/>
          <w:szCs w:val="24"/>
          <w:color w:val="auto"/>
        </w:rPr>
      </w:pPr>
    </w:p>
    <w:p>
      <w:pPr>
        <w:ind w:left="456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105" w:lineRule="exact"/>
        <w:rPr>
          <w:sz w:val="24"/>
          <w:szCs w:val="24"/>
          <w:color w:val="auto"/>
        </w:rPr>
      </w:pPr>
    </w:p>
    <w:tbl>
      <w:tblPr>
        <w:tblLayout w:type="fixed"/>
        <w:tblInd w:w="60" w:type="dxa"/>
        <w:tblCellMar>
          <w:top w:w="0" w:type="dxa"/>
          <w:left w:w="0" w:type="dxa"/>
          <w:bottom w:w="0" w:type="dxa"/>
          <w:right w:w="0" w:type="dxa"/>
        </w:tblCellMar>
      </w:tblPr>
      <w:tr>
        <w:trPr>
          <w:trHeight w:val="92"/>
        </w:trPr>
        <w:tc>
          <w:tcPr>
            <w:tcW w:w="64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w w:val="89"/>
              </w:rPr>
              <w:t>Title of each class</w:t>
            </w:r>
          </w:p>
        </w:tc>
        <w:tc>
          <w:tcPr>
            <w:tcW w:w="5520" w:type="dxa"/>
            <w:vAlign w:val="bottom"/>
          </w:tcPr>
          <w:p>
            <w:pPr>
              <w:spacing w:after="0"/>
              <w:rPr>
                <w:sz w:val="7"/>
                <w:szCs w:val="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w w:val="91"/>
              </w:rPr>
              <w:t>Trading Symbol(s)</w:t>
            </w:r>
          </w:p>
        </w:tc>
        <w:tc>
          <w:tcPr>
            <w:tcW w:w="1600" w:type="dxa"/>
            <w:vAlign w:val="bottom"/>
          </w:tcPr>
          <w:p>
            <w:pPr>
              <w:spacing w:after="0"/>
              <w:rPr>
                <w:sz w:val="7"/>
                <w:szCs w:val="7"/>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w w:val="91"/>
              </w:rPr>
              <w:t>Name of each exchange on which registered</w:t>
            </w:r>
          </w:p>
        </w:tc>
      </w:tr>
      <w:tr>
        <w:trPr>
          <w:trHeight w:val="121"/>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Common stock</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6.125% Non-Cumulative Preferred Stock, Series Y</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 PR F</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6.10% Non-Cumulative Preferred Stock, Series AA</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 PR G</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6.15% Non-Cumulative Preferred Stock, Series BB</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 PR H</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 PR D</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 PR C</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 PR J</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Alerian MLP Index ETNs due May 24, 2024</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AMJ</w:t>
            </w:r>
          </w:p>
        </w:tc>
        <w:tc>
          <w:tcPr>
            <w:tcW w:w="1560" w:type="dxa"/>
            <w:vAlign w:val="bottom"/>
          </w:tcPr>
          <w:p>
            <w:pPr>
              <w:spacing w:after="0"/>
              <w:rPr>
                <w:sz w:val="20"/>
                <w:szCs w:val="20"/>
                <w:color w:val="auto"/>
              </w:rPr>
            </w:pPr>
            <w:r>
              <w:rPr>
                <w:rFonts w:ascii="Arial" w:cs="Arial" w:eastAsia="Arial" w:hAnsi="Arial"/>
                <w:sz w:val="8"/>
                <w:szCs w:val="8"/>
                <w:b w:val="1"/>
                <w:bCs w:val="1"/>
                <w:color w:val="auto"/>
              </w:rPr>
              <w:t>NYSE Arca, Inc.</w:t>
            </w:r>
          </w:p>
        </w:tc>
      </w:tr>
      <w:tr>
        <w:trPr>
          <w:trHeight w:val="126"/>
        </w:trPr>
        <w:tc>
          <w:tcPr>
            <w:tcW w:w="616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Step-Up Fixed Rate Notes due April 26, 2028 of JPMorgan Chase Financial Company LLC</w:t>
            </w:r>
          </w:p>
        </w:tc>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JPM/28</w:t>
            </w:r>
          </w:p>
        </w:tc>
        <w:tc>
          <w:tcPr>
            <w:tcW w:w="156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bl>
    <w:p>
      <w:pPr>
        <w:spacing w:after="0" w:line="36" w:lineRule="exact"/>
        <w:rPr>
          <w:sz w:val="24"/>
          <w:szCs w:val="24"/>
          <w:color w:val="auto"/>
        </w:rPr>
      </w:pPr>
    </w:p>
    <w:p>
      <w:pPr>
        <w:ind w:right="979"/>
        <w:spacing w:after="0" w:line="138"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176" w:lineRule="exact"/>
        <w:rPr>
          <w:sz w:val="24"/>
          <w:szCs w:val="24"/>
          <w:color w:val="auto"/>
        </w:rPr>
      </w:pPr>
    </w:p>
    <w:p>
      <w:pPr>
        <w:ind w:left="570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239"/>
          </w:cols>
          <w:pgMar w:left="220" w:top="487"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3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February 25, 2020, JPMorgan Chase &amp; Co. (“JPMorgan Chase” or the “Firm”) held an Investor Day presentation during which it provided information to investors about the Firm and its various lines of business. Exhibit 99 is a copy of the slides furnished at, and posted on the Firm’s website in connection with, the presentation.</w:t>
      </w:r>
    </w:p>
    <w:p>
      <w:pPr>
        <w:spacing w:after="0" w:line="34"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2019, which has been filed with the Securities and Exchange Commission and is available on JPMorgan Chase’s website (https://jpmorganchaseco.gcs-web.com/financial-information/sec-filings) and on the Securities and Exchange Commission’s website (www.sec.gov). JPMorgan Chase does not undertake to update any forward-looking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(d)</w:t>
      </w:r>
      <w:r>
        <w:rPr>
          <w:sz w:val="20"/>
          <w:szCs w:val="20"/>
          <w:color w:val="auto"/>
        </w:rPr>
        <w:tab/>
      </w:r>
      <w:r>
        <w:rPr>
          <w:rFonts w:ascii="Arial" w:cs="Arial" w:eastAsia="Arial" w:hAnsi="Arial"/>
          <w:sz w:val="11"/>
          <w:szCs w:val="11"/>
          <w:color w:val="auto"/>
        </w:rPr>
        <w:t>Exhibit</w:t>
      </w:r>
    </w:p>
    <w:p>
      <w:pPr>
        <w:spacing w:after="0" w:line="326"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1660" w:type="dxa"/>
            <w:vAlign w:val="bottom"/>
            <w:gridSpan w:val="2"/>
          </w:tcPr>
          <w:p>
            <w:pPr>
              <w:ind w:left="50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0" w:type="dxa"/>
            <w:vAlign w:val="bottom"/>
            <w:gridSpan w:val="2"/>
          </w:tcPr>
          <w:p>
            <w:pPr>
              <w:ind w:left="700"/>
              <w:spacing w:after="0"/>
              <w:rPr>
                <w:sz w:val="20"/>
                <w:szCs w:val="20"/>
                <w:color w:val="auto"/>
              </w:rPr>
            </w:pPr>
            <w:r>
              <w:rPr>
                <w:rFonts w:ascii="Arial" w:cs="Arial" w:eastAsia="Arial" w:hAnsi="Arial"/>
                <w:sz w:val="12"/>
                <w:szCs w:val="12"/>
                <w:b w:val="1"/>
                <w:bCs w:val="1"/>
                <w:color w:val="auto"/>
              </w:rPr>
              <w:t>Description of Exhibit</w:t>
            </w:r>
          </w:p>
        </w:tc>
      </w:tr>
      <w:tr>
        <w:trPr>
          <w:trHeight w:val="277"/>
        </w:trPr>
        <w:tc>
          <w:tcPr>
            <w:tcW w:w="15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20" w:type="dxa"/>
            <w:vAlign w:val="bottom"/>
            <w:tcBorders>
              <w:top w:val="single" w:sz="8" w:color="auto"/>
              <w:bottom w:val="single" w:sz="8" w:color="0000FF"/>
            </w:tcBorders>
          </w:tcPr>
          <w:p>
            <w:pPr>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JPMorgan Chase &amp; Co. 2020</w:t>
              </w:r>
            </w:hyperlink>
          </w:p>
        </w:tc>
        <w:tc>
          <w:tcPr>
            <w:tcW w:w="3160" w:type="dxa"/>
            <w:vAlign w:val="bottom"/>
            <w:tcBorders>
              <w:top w:val="single" w:sz="8" w:color="auto"/>
              <w:bottom w:val="single" w:sz="8" w:color="0000FF"/>
            </w:tcBorders>
            <w:gridSpan w:val="3"/>
          </w:tcPr>
          <w:p>
            <w:pPr>
              <w:ind w:left="20"/>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Investor Day cover page, forward-looking statements and agenda</w:t>
              </w:r>
            </w:hyperlink>
          </w:p>
        </w:tc>
        <w:tc>
          <w:tcPr>
            <w:tcW w:w="4080" w:type="dxa"/>
            <w:vAlign w:val="bottom"/>
            <w:tcBorders>
              <w:top w:val="single" w:sz="8" w:color="auto"/>
            </w:tcBorders>
          </w:tcPr>
          <w:p>
            <w:pPr>
              <w:spacing w:after="0"/>
              <w:rPr>
                <w:sz w:val="24"/>
                <w:szCs w:val="24"/>
                <w:color w:val="auto"/>
              </w:rPr>
            </w:pPr>
          </w:p>
        </w:tc>
      </w:tr>
      <w:tr>
        <w:trPr>
          <w:trHeight w:val="160"/>
        </w:trPr>
        <w:tc>
          <w:tcPr>
            <w:tcW w:w="1560" w:type="dxa"/>
            <w:vAlign w:val="bottom"/>
          </w:tcPr>
          <w:p>
            <w:pPr>
              <w:ind w:left="20"/>
              <w:spacing w:after="0"/>
              <w:rPr>
                <w:sz w:val="20"/>
                <w:szCs w:val="20"/>
                <w:color w:val="auto"/>
              </w:rPr>
            </w:pPr>
            <w:r>
              <w:rPr>
                <w:rFonts w:ascii="Arial" w:cs="Arial" w:eastAsia="Arial" w:hAnsi="Arial"/>
                <w:sz w:val="12"/>
                <w:szCs w:val="12"/>
                <w:color w:val="auto"/>
              </w:rPr>
              <w:t>99.2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rFonts w:ascii="Arial" w:cs="Arial" w:eastAsia="Arial" w:hAnsi="Arial"/>
                <w:sz w:val="12"/>
                <w:szCs w:val="12"/>
                <w:color w:val="0000FF"/>
                <w:w w:val="89"/>
              </w:rPr>
            </w:pPr>
            <w:hyperlink w:anchor="page8">
              <w:r>
                <w:rPr>
                  <w:rFonts w:ascii="Arial" w:cs="Arial" w:eastAsia="Arial" w:hAnsi="Arial"/>
                  <w:sz w:val="12"/>
                  <w:szCs w:val="12"/>
                  <w:color w:val="0000FF"/>
                  <w:w w:val="89"/>
                </w:rPr>
                <w:t>JPMorgan Chase &amp; Co. 2020</w:t>
              </w:r>
            </w:hyperlink>
          </w:p>
        </w:tc>
        <w:tc>
          <w:tcPr>
            <w:tcW w:w="7240" w:type="dxa"/>
            <w:vAlign w:val="bottom"/>
            <w:gridSpan w:val="4"/>
          </w:tcPr>
          <w:p>
            <w:pPr>
              <w:ind w:left="20"/>
              <w:spacing w:after="0"/>
              <w:rPr>
                <w:rFonts w:ascii="Arial" w:cs="Arial" w:eastAsia="Arial" w:hAnsi="Arial"/>
                <w:sz w:val="12"/>
                <w:szCs w:val="12"/>
                <w:color w:val="0000FF"/>
              </w:rPr>
            </w:pPr>
            <w:hyperlink w:anchor="page8">
              <w:r>
                <w:rPr>
                  <w:rFonts w:ascii="Arial" w:cs="Arial" w:eastAsia="Arial" w:hAnsi="Arial"/>
                  <w:sz w:val="12"/>
                  <w:szCs w:val="12"/>
                  <w:color w:val="0000FF"/>
                </w:rPr>
                <w:t>Investor Day presentation slides</w:t>
              </w:r>
            </w:hyperlink>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r>
      <w:tr>
        <w:trPr>
          <w:trHeight w:val="160"/>
        </w:trPr>
        <w:tc>
          <w:tcPr>
            <w:tcW w:w="1560" w:type="dxa"/>
            <w:vAlign w:val="bottom"/>
          </w:tcPr>
          <w:p>
            <w:pPr>
              <w:ind w:left="20"/>
              <w:spacing w:after="0"/>
              <w:rPr>
                <w:sz w:val="20"/>
                <w:szCs w:val="20"/>
                <w:color w:val="auto"/>
              </w:rPr>
            </w:pPr>
            <w:r>
              <w:rPr>
                <w:rFonts w:ascii="Arial" w:cs="Arial" w:eastAsia="Arial" w:hAnsi="Arial"/>
                <w:sz w:val="12"/>
                <w:szCs w:val="12"/>
                <w:color w:val="auto"/>
              </w:rPr>
              <w:t>99.3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bottom w:val="single" w:sz="8" w:color="0000FF"/>
            </w:tcBorders>
          </w:tcPr>
          <w:p>
            <w:pPr>
              <w:spacing w:after="0"/>
              <w:rPr>
                <w:rFonts w:ascii="Arial" w:cs="Arial" w:eastAsia="Arial" w:hAnsi="Arial"/>
                <w:sz w:val="12"/>
                <w:szCs w:val="12"/>
                <w:color w:val="0000FF"/>
                <w:w w:val="89"/>
              </w:rPr>
            </w:pPr>
            <w:hyperlink w:anchor="page197">
              <w:r>
                <w:rPr>
                  <w:rFonts w:ascii="Arial" w:cs="Arial" w:eastAsia="Arial" w:hAnsi="Arial"/>
                  <w:sz w:val="12"/>
                  <w:szCs w:val="12"/>
                  <w:color w:val="0000FF"/>
                  <w:w w:val="89"/>
                </w:rPr>
                <w:t>JPMorgan Chase &amp; Co. 2020</w:t>
              </w:r>
            </w:hyperlink>
          </w:p>
        </w:tc>
        <w:tc>
          <w:tcPr>
            <w:tcW w:w="1640" w:type="dxa"/>
            <w:vAlign w:val="bottom"/>
            <w:tcBorders>
              <w:bottom w:val="single" w:sz="8" w:color="0000FF"/>
            </w:tcBorders>
            <w:gridSpan w:val="2"/>
          </w:tcPr>
          <w:p>
            <w:pPr>
              <w:ind w:left="20"/>
              <w:spacing w:after="0"/>
              <w:rPr>
                <w:rFonts w:ascii="Arial" w:cs="Arial" w:eastAsia="Arial" w:hAnsi="Arial"/>
                <w:sz w:val="12"/>
                <w:szCs w:val="12"/>
                <w:color w:val="0000FF"/>
                <w:w w:val="89"/>
              </w:rPr>
            </w:pPr>
            <w:hyperlink w:anchor="page197">
              <w:r>
                <w:rPr>
                  <w:rFonts w:ascii="Arial" w:cs="Arial" w:eastAsia="Arial" w:hAnsi="Arial"/>
                  <w:sz w:val="12"/>
                  <w:szCs w:val="12"/>
                  <w:color w:val="0000FF"/>
                  <w:w w:val="89"/>
                </w:rPr>
                <w:t>Investor Day speaker biographies</w:t>
              </w:r>
            </w:hyperlink>
          </w:p>
        </w:tc>
        <w:tc>
          <w:tcPr>
            <w:tcW w:w="5600" w:type="dxa"/>
            <w:vAlign w:val="bottom"/>
            <w:gridSpan w:val="2"/>
          </w:tcPr>
          <w:p>
            <w:pPr>
              <w:spacing w:after="0"/>
              <w:rPr>
                <w:sz w:val="13"/>
                <w:szCs w:val="13"/>
                <w:color w:val="auto"/>
              </w:rPr>
            </w:pPr>
          </w:p>
        </w:tc>
      </w:tr>
      <w:tr>
        <w:trPr>
          <w:trHeight w:val="187"/>
        </w:trPr>
        <w:tc>
          <w:tcPr>
            <w:tcW w:w="1560" w:type="dxa"/>
            <w:vAlign w:val="bottom"/>
          </w:tcPr>
          <w:p>
            <w:pPr>
              <w:ind w:left="20"/>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60" w:type="dxa"/>
            <w:vAlign w:val="bottom"/>
            <w:gridSpan w:val="5"/>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bl>
    <w:p>
      <w:pPr>
        <w:spacing w:after="0" w:line="27" w:lineRule="exact"/>
        <w:rPr>
          <w:sz w:val="20"/>
          <w:szCs w:val="20"/>
          <w:color w:val="auto"/>
        </w:rPr>
      </w:pPr>
    </w:p>
    <w:p>
      <w:pPr>
        <w:ind w:left="5700" w:right="3960" w:hanging="5113"/>
        <w:spacing w:after="0" w:line="809" w:lineRule="auto"/>
        <w:tabs>
          <w:tab w:leader="none" w:pos="224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Cover Page Interactive Data File (embedded within the Inline XBRL document and included in Exhibit 101). 2</w:t>
      </w:r>
    </w:p>
    <w:p>
      <w:pPr>
        <w:sectPr>
          <w:pgSz w:w="11900" w:h="16838" w:orient="portrait"/>
          <w:cols w:equalWidth="0" w:num="1">
            <w:col w:w="11460"/>
          </w:cols>
          <w:pgMar w:left="220" w:top="41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tbl>
      <w:tblPr>
        <w:tblLayout w:type="fixed"/>
        <w:tblInd w:w="590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JPMorgan Chase &amp; Co.</w:t>
            </w:r>
          </w:p>
        </w:tc>
      </w:tr>
      <w:tr>
        <w:trPr>
          <w:trHeight w:val="160"/>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Pr>
          <w:p>
            <w:pPr>
              <w:jc w:val="center"/>
              <w:spacing w:after="0"/>
              <w:rPr>
                <w:sz w:val="20"/>
                <w:szCs w:val="20"/>
                <w:color w:val="auto"/>
              </w:rPr>
            </w:pPr>
            <w:r>
              <w:rPr>
                <w:rFonts w:ascii="Arial" w:cs="Arial" w:eastAsia="Arial" w:hAnsi="Arial"/>
                <w:sz w:val="12"/>
                <w:szCs w:val="12"/>
                <w:color w:val="auto"/>
                <w:w w:val="92"/>
              </w:rPr>
              <w:t>(Registrant)</w:t>
            </w:r>
          </w:p>
        </w:tc>
      </w:tr>
      <w:tr>
        <w:trPr>
          <w:trHeight w:val="567"/>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Jordan A. Costa</w:t>
            </w:r>
          </w:p>
        </w:tc>
      </w:tr>
      <w:tr>
        <w:trPr>
          <w:trHeight w:val="160"/>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Pr>
          <w:p>
            <w:pPr>
              <w:jc w:val="center"/>
              <w:spacing w:after="0"/>
              <w:rPr>
                <w:sz w:val="20"/>
                <w:szCs w:val="20"/>
                <w:color w:val="auto"/>
              </w:rPr>
            </w:pPr>
            <w:r>
              <w:rPr>
                <w:rFonts w:ascii="Arial" w:cs="Arial" w:eastAsia="Arial" w:hAnsi="Arial"/>
                <w:sz w:val="12"/>
                <w:szCs w:val="12"/>
                <w:color w:val="auto"/>
                <w:w w:val="88"/>
              </w:rPr>
              <w:t>Jordan A. Costa</w:t>
            </w:r>
          </w:p>
        </w:tc>
      </w:tr>
      <w:tr>
        <w:trPr>
          <w:trHeight w:val="180"/>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2"/>
                <w:szCs w:val="12"/>
                <w:color w:val="auto"/>
                <w:w w:val="93"/>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0"/>
          <w:szCs w:val="10"/>
          <w:color w:val="auto"/>
        </w:rPr>
        <w:t>February 25, 2020</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554" w:right="1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853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853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4866640</wp:posOffset>
            </wp:positionV>
            <wp:extent cx="724471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10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451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853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853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853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104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4715" cy="451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104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4715" cy="451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853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853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4715" cy="485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4504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2020-02-25T15:31:50Z</dcterms:created>
  <dcterms:modified xsi:type="dcterms:W3CDTF">2020-02-25T15:31:50Z</dcterms:modified>
</cp:coreProperties>
</file>