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Stacey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JPMORGAN CHASE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JPM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10017-2014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05/20/2026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5,468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300.2662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46,428</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79,468</w:t>
            </w:r>
            <w:r>
              <w:rPr>
                <w:rFonts w:ascii="Times New Roman" w:cs="Times New Roman" w:eastAsia="Times New Roman" w:hAnsi="Times New Roman"/>
                <w:sz w:val="22"/>
                <w:szCs w:val="22"/>
                <w:color w:val="008000"/>
                <w:vertAlign w:val="superscript"/>
              </w:rPr>
              <w:t>(1)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16,196</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Balances reflect a) 9,204 shares transferred from a Grantor Retained Annuity Trust ("GRAT") to the Grantor on May 8, 2026; b) 7,517 shares transferred from a GRAT to the Grantor on May 8, 2026; c) 2,592 shares transferred from a GRAT to a Family Trust on May 11, 2026; d) 17,553 shares transferred from a GRAT to the Grantor on May 14, 2026; and e) 54,385 shares transferred from the Grantor to fund a GRAT on May 15, 2026. These transactions are exempt from Section 16(b) pursuant to Rule 16a-13.</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poafriedman.txt</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Denise G. Connors under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3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POA</w:t>
            </w:r>
          </w:p>
        </w:tc>
        <w:tc>
          <w:tcPr>
            <w:tcW w:w="1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JPMorgan Chase &amp; Co.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Preparing, Signing and Filing Certain Reports with the SEC</w:t>
      </w:r>
    </w:p>
    <w:p>
      <w:pPr>
        <w:spacing w:after="0" w:line="175" w:lineRule="exact"/>
        <w:rPr>
          <w:sz w:val="20"/>
          <w:szCs w:val="20"/>
          <w:color w:val="auto"/>
        </w:rPr>
      </w:pPr>
    </w:p>
    <w:p>
      <w:pPr>
        <w:ind w:right="1479" w:firstLine="832"/>
        <w:spacing w:after="0" w:line="262" w:lineRule="auto"/>
        <w:rPr>
          <w:sz w:val="20"/>
          <w:szCs w:val="20"/>
          <w:color w:val="auto"/>
        </w:rPr>
      </w:pPr>
      <w:r>
        <w:rPr>
          <w:rFonts w:ascii="Courier New" w:cs="Courier New" w:eastAsia="Courier New" w:hAnsi="Courier New"/>
          <w:sz w:val="17"/>
          <w:szCs w:val="17"/>
          <w:color w:val="auto"/>
        </w:rPr>
        <w:t>KNOW ALL BY THESE PRESENTS, that the undersigned in his or her capacity as an officer or director of JPMorgan Chase &amp; Co. ("JPMC") hereby constitutes and appoints each of John H. Tribolati, Reid R. Broda, Carin S. Reddish,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Denise G. Connors, signing singly, his/her true and lawful attorney-in-fact to:</w:t>
      </w:r>
    </w:p>
    <w:p>
      <w:pPr>
        <w:spacing w:after="0" w:line="175" w:lineRule="exact"/>
        <w:rPr>
          <w:sz w:val="20"/>
          <w:szCs w:val="20"/>
          <w:color w:val="auto"/>
        </w:rPr>
      </w:pPr>
    </w:p>
    <w:p>
      <w:pPr>
        <w:ind w:right="1359" w:firstLine="7"/>
        <w:spacing w:after="0" w:line="257"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connection with transactions in JPMC securities (a) any and all forms of report, including amendments to such reports, required to be made pursuant to Section 16(a) of the Securities Exchange Act of 1934 (the "Exchange Act") and related rules of the Securities and Exchange Commission ("SEC") and (b) any documents or reports</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may be required under SEC Rule 144 to permit the undersigned to sell JPMC common stock without registration under the Securities Act of 1933 (the "1933 Act") in reliance on Rule 144 as amended from time to time;</w:t>
      </w:r>
    </w:p>
    <w:p>
      <w:pPr>
        <w:spacing w:after="0" w:line="67" w:lineRule="exact"/>
        <w:rPr>
          <w:rFonts w:ascii="Courier New" w:cs="Courier New" w:eastAsia="Courier New" w:hAnsi="Courier New"/>
          <w:sz w:val="17"/>
          <w:szCs w:val="17"/>
          <w:color w:val="auto"/>
        </w:rPr>
      </w:pPr>
    </w:p>
    <w:p>
      <w:pPr>
        <w:ind w:right="2199" w:firstLine="7"/>
        <w:spacing w:after="0" w:line="3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apply for, if required, and administer Edgar codes on behalf of the undersigned to enable electronic filings with the SEC;</w:t>
      </w:r>
    </w:p>
    <w:p>
      <w:pPr>
        <w:spacing w:after="0" w:line="1" w:lineRule="exact"/>
        <w:rPr>
          <w:rFonts w:ascii="Courier New" w:cs="Courier New" w:eastAsia="Courier New" w:hAnsi="Courier New"/>
          <w:sz w:val="17"/>
          <w:szCs w:val="17"/>
          <w:color w:val="auto"/>
        </w:rPr>
      </w:pPr>
    </w:p>
    <w:p>
      <w:pPr>
        <w:ind w:right="1479" w:firstLine="7"/>
        <w:spacing w:after="0" w:line="29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for the preparation and timely filing of any such reports, documents and reports with the SEC, any United States stock exchange, and any other authority; and</w:t>
      </w:r>
    </w:p>
    <w:p>
      <w:pPr>
        <w:spacing w:after="0" w:line="68" w:lineRule="exact"/>
        <w:rPr>
          <w:rFonts w:ascii="Courier New" w:cs="Courier New" w:eastAsia="Courier New" w:hAnsi="Courier New"/>
          <w:sz w:val="17"/>
          <w:szCs w:val="17"/>
          <w:color w:val="auto"/>
        </w:rPr>
      </w:pPr>
    </w:p>
    <w:p>
      <w:pPr>
        <w:ind w:right="17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479" w:firstLine="832"/>
        <w:spacing w:after="0" w:line="26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hereby granted. The undersigned acknowledges that none of the foregoing attorneys-in-fact in serving in such capacity at the request of the undersigned is assuming any of the undersigned's responsibilities to comply with either the Exchange Act or the 1933 Act.</w:t>
      </w:r>
    </w:p>
    <w:p>
      <w:pPr>
        <w:spacing w:after="0" w:line="95" w:lineRule="exact"/>
        <w:rPr>
          <w:sz w:val="20"/>
          <w:szCs w:val="20"/>
          <w:color w:val="auto"/>
        </w:rPr>
      </w:pPr>
    </w:p>
    <w:p>
      <w:pPr>
        <w:ind w:right="1479" w:firstLine="832"/>
        <w:spacing w:after="0" w:line="269" w:lineRule="auto"/>
        <w:rPr>
          <w:sz w:val="20"/>
          <w:szCs w:val="20"/>
          <w:color w:val="auto"/>
        </w:rPr>
      </w:pPr>
      <w:r>
        <w:rPr>
          <w:rFonts w:ascii="Courier New" w:cs="Courier New" w:eastAsia="Courier New" w:hAnsi="Courier New"/>
          <w:sz w:val="17"/>
          <w:szCs w:val="17"/>
          <w:color w:val="auto"/>
        </w:rPr>
        <w:t>The undersigned attests and agrees that the use of an electronic signature in any authentication document that includes the undersigned's typed,</w:t>
      </w:r>
    </w:p>
    <w:p>
      <w:pPr>
        <w:ind w:right="2619"/>
        <w:spacing w:after="0" w:line="249" w:lineRule="auto"/>
        <w:rPr>
          <w:sz w:val="20"/>
          <w:szCs w:val="20"/>
          <w:color w:val="auto"/>
        </w:rPr>
      </w:pPr>
      <w:r>
        <w:rPr>
          <w:rFonts w:ascii="Courier New" w:cs="Courier New" w:eastAsia="Courier New" w:hAnsi="Courier New"/>
          <w:sz w:val="17"/>
          <w:szCs w:val="17"/>
          <w:color w:val="auto"/>
        </w:rPr>
        <w:t>conformed signature, or that includes the typed, conformed signature of any attorney-in-fact of the undersigned, and that is filled with or furnished to the SEC by or on behalf of the undersigned, JPMC of any of</w:t>
      </w:r>
    </w:p>
    <w:p>
      <w:pPr>
        <w:ind w:right="1999"/>
        <w:spacing w:after="0" w:line="291" w:lineRule="auto"/>
        <w:rPr>
          <w:sz w:val="20"/>
          <w:szCs w:val="20"/>
          <w:color w:val="auto"/>
        </w:rPr>
      </w:pPr>
      <w:r>
        <w:rPr>
          <w:rFonts w:ascii="Courier New" w:cs="Courier New" w:eastAsia="Courier New" w:hAnsi="Courier New"/>
          <w:sz w:val="17"/>
          <w:szCs w:val="17"/>
          <w:color w:val="auto"/>
        </w:rPr>
        <w:t>its affiliates, constitutes the legal equivalent of the undersigned's, manual signature for purposes of authenticating the undersigned's signature to any filing or submission for which it is provided.</w:t>
      </w:r>
    </w:p>
    <w:p>
      <w:pPr>
        <w:spacing w:after="0" w:line="67" w:lineRule="exact"/>
        <w:rPr>
          <w:sz w:val="20"/>
          <w:szCs w:val="20"/>
          <w:color w:val="auto"/>
        </w:rPr>
      </w:pPr>
    </w:p>
    <w:p>
      <w:pPr>
        <w:ind w:right="1879" w:firstLine="1663"/>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May 7, 2026.</w:t>
      </w:r>
    </w:p>
    <w:p>
      <w:pPr>
        <w:spacing w:after="0" w:line="1" w:lineRule="exact"/>
        <w:rPr>
          <w:sz w:val="20"/>
          <w:szCs w:val="20"/>
          <w:color w:val="auto"/>
        </w:rPr>
      </w:pPr>
    </w:p>
    <w:p>
      <w:pPr>
        <w:jc w:val="both"/>
        <w:ind w:left="5000"/>
        <w:spacing w:after="0"/>
        <w:tabs>
          <w:tab w:leader="none" w:pos="5500" w:val="left"/>
        </w:tabs>
        <w:rPr>
          <w:sz w:val="20"/>
          <w:szCs w:val="20"/>
          <w:color w:val="auto"/>
        </w:rPr>
      </w:pPr>
      <w:r>
        <w:rPr>
          <w:rFonts w:ascii="Courier New" w:cs="Courier New" w:eastAsia="Courier New" w:hAnsi="Courier New"/>
          <w:sz w:val="17"/>
          <w:szCs w:val="17"/>
          <w:color w:val="auto"/>
        </w:rPr>
        <w:t>/s/</w:t>
        <w:tab/>
        <w:t>Stacey Friedman</w:t>
      </w:r>
    </w:p>
    <w:p>
      <w:pPr>
        <w:spacing w:after="0" w:line="39"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7"/>
          <w:szCs w:val="17"/>
          <w:color w:val="auto"/>
        </w:rPr>
        <w:t>Stacey Friedman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2926" TargetMode="External"/><Relationship Id="rId14"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2026-05-20T15:58:54Z</dcterms:created>
  <dcterms:modified xsi:type="dcterms:W3CDTF">2026-05-20T15:58:54Z</dcterms:modified>
</cp:coreProperties>
</file>