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161290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 SECTION 13 OR 15(d)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0"/>
          <w:szCs w:val="20"/>
          <w:color w:val="auto"/>
        </w:rPr>
      </w:pPr>
    </w:p>
    <w:p>
      <w:pPr>
        <w:ind w:left="1660"/>
        <w:spacing w:after="0"/>
        <w:tabs>
          <w:tab w:leader="none" w:pos="2860" w:val="left"/>
          <w:tab w:leader="none" w:pos="7340" w:val="left"/>
          <w:tab w:leader="none" w:pos="9260" w:val="left"/>
        </w:tabs>
        <w:rPr>
          <w:sz w:val="20"/>
          <w:szCs w:val="20"/>
          <w:color w:val="auto"/>
        </w:rPr>
      </w:pPr>
      <w:r>
        <w:rPr>
          <w:rFonts w:ascii="Arial" w:cs="Arial" w:eastAsia="Arial" w:hAnsi="Arial"/>
          <w:sz w:val="18"/>
          <w:szCs w:val="18"/>
          <w:color w:val="auto"/>
        </w:rPr>
        <w:t>Date of Report:</w:t>
      </w:r>
      <w:r>
        <w:rPr>
          <w:sz w:val="20"/>
          <w:szCs w:val="20"/>
          <w:color w:val="auto"/>
        </w:rPr>
        <w:tab/>
      </w:r>
      <w:r>
        <w:rPr>
          <w:rFonts w:ascii="Arial" w:cs="Arial" w:eastAsia="Arial" w:hAnsi="Arial"/>
          <w:sz w:val="18"/>
          <w:szCs w:val="18"/>
          <w:b w:val="1"/>
          <w:bCs w:val="1"/>
          <w:u w:val="single" w:color="auto"/>
          <w:color w:val="auto"/>
        </w:rPr>
        <w:t>October 1, 2003</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b w:val="1"/>
          <w:bCs w:val="1"/>
          <w:u w:val="single" w:color="auto"/>
          <w:color w:val="auto"/>
        </w:rPr>
        <w:t>1-5805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J.P. MORGAN CHASE &amp; CO.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6760" w:type="dxa"/>
            <w:vAlign w:val="bottom"/>
            <w:gridSpan w:val="3"/>
          </w:tcPr>
          <w:p>
            <w:pPr>
              <w:jc w:val="center"/>
              <w:ind w:right="1680"/>
              <w:spacing w:after="0"/>
              <w:rPr>
                <w:sz w:val="20"/>
                <w:szCs w:val="20"/>
                <w:color w:val="auto"/>
              </w:rPr>
            </w:pPr>
            <w:r>
              <w:rPr>
                <w:rFonts w:ascii="Arial" w:cs="Arial" w:eastAsia="Arial" w:hAnsi="Arial"/>
                <w:sz w:val="18"/>
                <w:szCs w:val="18"/>
                <w:color w:val="auto"/>
                <w:w w:val="89"/>
              </w:rPr>
              <w:t>Delaware</w:t>
            </w:r>
          </w:p>
        </w:tc>
        <w:tc>
          <w:tcPr>
            <w:tcW w:w="4080" w:type="dxa"/>
            <w:vAlign w:val="bottom"/>
            <w:gridSpan w:val="3"/>
          </w:tcPr>
          <w:p>
            <w:pPr>
              <w:jc w:val="right"/>
              <w:ind w:right="1812"/>
              <w:spacing w:after="0"/>
              <w:rPr>
                <w:sz w:val="20"/>
                <w:szCs w:val="20"/>
                <w:color w:val="auto"/>
              </w:rPr>
            </w:pPr>
            <w:r>
              <w:rPr>
                <w:rFonts w:ascii="Arial" w:cs="Arial" w:eastAsia="Arial" w:hAnsi="Arial"/>
                <w:sz w:val="18"/>
                <w:szCs w:val="18"/>
                <w:color w:val="auto"/>
              </w:rPr>
              <w:t>13-2624428</w:t>
            </w:r>
          </w:p>
        </w:tc>
        <w:tc>
          <w:tcPr>
            <w:tcW w:w="280" w:type="dxa"/>
            <w:vAlign w:val="bottom"/>
          </w:tcPr>
          <w:p>
            <w:pPr>
              <w:spacing w:after="0"/>
              <w:rPr>
                <w:sz w:val="19"/>
                <w:szCs w:val="19"/>
                <w:color w:val="auto"/>
              </w:rPr>
            </w:pPr>
          </w:p>
        </w:tc>
      </w:tr>
      <w:tr>
        <w:trPr>
          <w:trHeight w:val="104"/>
        </w:trPr>
        <w:tc>
          <w:tcPr>
            <w:tcW w:w="30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22"/>
        </w:trPr>
        <w:tc>
          <w:tcPr>
            <w:tcW w:w="300" w:type="dxa"/>
            <w:vAlign w:val="bottom"/>
          </w:tcPr>
          <w:p>
            <w:pPr>
              <w:spacing w:after="0"/>
              <w:rPr>
                <w:sz w:val="24"/>
                <w:szCs w:val="24"/>
                <w:color w:val="auto"/>
              </w:rPr>
            </w:pPr>
          </w:p>
        </w:tc>
        <w:tc>
          <w:tcPr>
            <w:tcW w:w="676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88"/>
              </w:rPr>
              <w:t>(State or other jurisdiction of incorporation)</w:t>
            </w:r>
          </w:p>
        </w:tc>
        <w:tc>
          <w:tcPr>
            <w:tcW w:w="80" w:type="dxa"/>
            <w:vAlign w:val="bottom"/>
          </w:tcPr>
          <w:p>
            <w:pPr>
              <w:spacing w:after="0"/>
              <w:rPr>
                <w:sz w:val="24"/>
                <w:szCs w:val="24"/>
                <w:color w:val="auto"/>
              </w:rPr>
            </w:pPr>
          </w:p>
        </w:tc>
        <w:tc>
          <w:tcPr>
            <w:tcW w:w="400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91"/>
              </w:rPr>
              <w:t>(I.R.S. Employer Identification No.)</w:t>
            </w:r>
          </w:p>
        </w:tc>
        <w:tc>
          <w:tcPr>
            <w:tcW w:w="280" w:type="dxa"/>
            <w:vAlign w:val="bottom"/>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6760" w:type="dxa"/>
            <w:vAlign w:val="bottom"/>
            <w:gridSpan w:val="3"/>
          </w:tcPr>
          <w:p>
            <w:pPr>
              <w:jc w:val="center"/>
              <w:ind w:right="1680"/>
              <w:spacing w:after="0"/>
              <w:rPr>
                <w:sz w:val="20"/>
                <w:szCs w:val="20"/>
                <w:color w:val="auto"/>
              </w:rPr>
            </w:pPr>
            <w:r>
              <w:rPr>
                <w:rFonts w:ascii="Arial" w:cs="Arial" w:eastAsia="Arial" w:hAnsi="Arial"/>
                <w:sz w:val="18"/>
                <w:szCs w:val="18"/>
                <w:color w:val="auto"/>
                <w:w w:val="89"/>
              </w:rPr>
              <w:t>270 Park Avenue, New York, New York</w:t>
            </w:r>
          </w:p>
        </w:tc>
        <w:tc>
          <w:tcPr>
            <w:tcW w:w="4080" w:type="dxa"/>
            <w:vAlign w:val="bottom"/>
            <w:gridSpan w:val="3"/>
          </w:tcPr>
          <w:p>
            <w:pPr>
              <w:jc w:val="right"/>
              <w:ind w:right="2032"/>
              <w:spacing w:after="0"/>
              <w:rPr>
                <w:sz w:val="20"/>
                <w:szCs w:val="20"/>
                <w:color w:val="auto"/>
              </w:rPr>
            </w:pPr>
            <w:r>
              <w:rPr>
                <w:rFonts w:ascii="Arial" w:cs="Arial" w:eastAsia="Arial" w:hAnsi="Arial"/>
                <w:sz w:val="18"/>
                <w:szCs w:val="18"/>
                <w:color w:val="auto"/>
              </w:rPr>
              <w:t>10017</w:t>
            </w:r>
          </w:p>
        </w:tc>
        <w:tc>
          <w:tcPr>
            <w:tcW w:w="280" w:type="dxa"/>
            <w:vAlign w:val="bottom"/>
          </w:tcPr>
          <w:p>
            <w:pPr>
              <w:spacing w:after="0"/>
              <w:rPr>
                <w:sz w:val="24"/>
                <w:szCs w:val="24"/>
                <w:color w:val="auto"/>
              </w:rPr>
            </w:pPr>
          </w:p>
        </w:tc>
      </w:tr>
      <w:tr>
        <w:trPr>
          <w:trHeight w:val="104"/>
        </w:trPr>
        <w:tc>
          <w:tcPr>
            <w:tcW w:w="30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6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22"/>
        </w:trPr>
        <w:tc>
          <w:tcPr>
            <w:tcW w:w="300" w:type="dxa"/>
            <w:vAlign w:val="bottom"/>
          </w:tcPr>
          <w:p>
            <w:pPr>
              <w:spacing w:after="0"/>
              <w:rPr>
                <w:sz w:val="24"/>
                <w:szCs w:val="24"/>
                <w:color w:val="auto"/>
              </w:rPr>
            </w:pPr>
          </w:p>
        </w:tc>
        <w:tc>
          <w:tcPr>
            <w:tcW w:w="676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92"/>
              </w:rPr>
              <w:t>(Zip Code)</w:t>
            </w:r>
          </w:p>
        </w:tc>
        <w:tc>
          <w:tcPr>
            <w:tcW w:w="280" w:type="dxa"/>
            <w:vAlign w:val="bottom"/>
          </w:tcPr>
          <w:p>
            <w:pPr>
              <w:spacing w:after="0"/>
              <w:rPr>
                <w:sz w:val="24"/>
                <w:szCs w:val="24"/>
                <w:color w:val="auto"/>
              </w:rPr>
            </w:pPr>
          </w:p>
        </w:tc>
      </w:tr>
      <w:tr>
        <w:trPr>
          <w:trHeight w:val="394"/>
        </w:trPr>
        <w:tc>
          <w:tcPr>
            <w:tcW w:w="300" w:type="dxa"/>
            <w:vAlign w:val="bottom"/>
          </w:tcPr>
          <w:p>
            <w:pPr>
              <w:spacing w:after="0"/>
              <w:rPr>
                <w:sz w:val="24"/>
                <w:szCs w:val="24"/>
                <w:color w:val="auto"/>
              </w:rPr>
            </w:pPr>
          </w:p>
        </w:tc>
        <w:tc>
          <w:tcPr>
            <w:tcW w:w="6760" w:type="dxa"/>
            <w:vAlign w:val="bottom"/>
            <w:gridSpan w:val="3"/>
          </w:tcPr>
          <w:p>
            <w:pPr>
              <w:ind w:left="3000"/>
              <w:spacing w:after="0"/>
              <w:rPr>
                <w:sz w:val="20"/>
                <w:szCs w:val="20"/>
                <w:color w:val="auto"/>
              </w:rPr>
            </w:pPr>
            <w:r>
              <w:rPr>
                <w:rFonts w:ascii="Arial" w:cs="Arial" w:eastAsia="Arial" w:hAnsi="Arial"/>
                <w:sz w:val="18"/>
                <w:szCs w:val="18"/>
                <w:color w:val="auto"/>
                <w:w w:val="88"/>
              </w:rPr>
              <w:t>(Registrant's telephone number, including area code)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212-270-6000</w:t>
            </w: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3"/>
        </w:trPr>
        <w:tc>
          <w:tcPr>
            <w:tcW w:w="3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1"/>
        </w:trPr>
        <w:tc>
          <w:tcPr>
            <w:tcW w:w="3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0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r>
      <w:tr>
        <w:trPr>
          <w:trHeight w:val="223"/>
        </w:trPr>
        <w:tc>
          <w:tcPr>
            <w:tcW w:w="30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3"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5. Other Events</w:t>
      </w:r>
    </w:p>
    <w:p>
      <w:pPr>
        <w:spacing w:after="0" w:line="212"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J.P. Morgan Securities Inc., a subsidiary of J.P. Morgan Chase &amp; Co. (the Firm), entered into an agreement with the Securities and Exchange Commission on October 1, 2003 resolving matters relating to JPMSI’s initial public offering allocation practices. JPMSI did not admit or deny any allegations but agreed to the entry of an injunction prohibiting future violations and to pay a $25 million civil penalty. The agreement settles SEC allegations that JPMSI had violated Rule 101 of Regulation M by attempting to induce aftermarket orders for IPO shares before certain IPOs were completed and that, with respect to one IPO, JPMSI had violated “just and equitable principles of trade” in contravention of NASD Conduct Rule 2110 by persuading at least one customer to accept an allocation of shares in a “cold” IPO by promising an allocation of shares in an upcoming IPO that was oversubscribed. The Firm will not be taking a charge to its earnings in connection with this settlement.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jc w:val="center"/>
        <w:ind w:left="4580"/>
        <w:spacing w:after="0"/>
        <w:rPr>
          <w:sz w:val="20"/>
          <w:szCs w:val="20"/>
          <w:color w:val="auto"/>
        </w:rPr>
      </w:pPr>
      <w:r>
        <w:rPr>
          <w:rFonts w:ascii="Arial" w:cs="Arial" w:eastAsia="Arial" w:hAnsi="Arial"/>
          <w:sz w:val="22"/>
          <w:szCs w:val="22"/>
          <w:u w:val="single" w:color="auto"/>
          <w:color w:val="auto"/>
        </w:rPr>
        <w:t>J.P. MORGAN CHASE &amp; CO.</w:t>
      </w:r>
    </w:p>
    <w:p>
      <w:pPr>
        <w:spacing w:after="0" w:line="8" w:lineRule="exact"/>
        <w:rPr>
          <w:sz w:val="20"/>
          <w:szCs w:val="20"/>
          <w:color w:val="auto"/>
        </w:rPr>
      </w:pPr>
    </w:p>
    <w:p>
      <w:pPr>
        <w:jc w:val="center"/>
        <w:ind w:left="4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58" w:lineRule="exact"/>
        <w:rPr>
          <w:sz w:val="20"/>
          <w:szCs w:val="20"/>
          <w:color w:val="auto"/>
        </w:rPr>
      </w:pPr>
    </w:p>
    <w:p>
      <w:pPr>
        <w:jc w:val="center"/>
        <w:ind w:left="4580"/>
        <w:spacing w:after="0"/>
        <w:rPr>
          <w:sz w:val="20"/>
          <w:szCs w:val="20"/>
          <w:color w:val="auto"/>
        </w:rPr>
      </w:pPr>
      <w:r>
        <w:rPr>
          <w:rFonts w:ascii="Arial" w:cs="Arial" w:eastAsia="Arial" w:hAnsi="Arial"/>
          <w:sz w:val="22"/>
          <w:szCs w:val="22"/>
          <w:color w:val="auto"/>
        </w:rPr>
        <w:t>/s/ William H. McDavid</w:t>
      </w:r>
    </w:p>
    <w:p>
      <w:pPr>
        <w:ind w:left="5880"/>
        <w:spacing w:after="0" w:line="238" w:lineRule="auto"/>
        <w:rPr>
          <w:sz w:val="20"/>
          <w:szCs w:val="20"/>
          <w:color w:val="auto"/>
        </w:rPr>
      </w:pPr>
      <w:r>
        <w:rPr>
          <w:rFonts w:ascii="Arial" w:cs="Arial" w:eastAsia="Arial" w:hAnsi="Arial"/>
          <w:sz w:val="22"/>
          <w:szCs w:val="22"/>
          <w:color w:val="auto"/>
        </w:rPr>
        <w:t>_______________________________________</w:t>
      </w:r>
    </w:p>
    <w:p>
      <w:pPr>
        <w:ind w:left="6320"/>
        <w:spacing w:after="0"/>
        <w:rPr>
          <w:sz w:val="20"/>
          <w:szCs w:val="20"/>
          <w:color w:val="auto"/>
        </w:rPr>
      </w:pPr>
      <w:r>
        <w:rPr>
          <w:rFonts w:ascii="Arial" w:cs="Arial" w:eastAsia="Arial" w:hAnsi="Arial"/>
          <w:sz w:val="22"/>
          <w:szCs w:val="22"/>
          <w:color w:val="auto"/>
        </w:rPr>
        <w:t>William H. McDavid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 2003</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240" w:top="92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2019-12-12T22:48:41Z</dcterms:created>
  <dcterms:modified xsi:type="dcterms:W3CDTF">2019-12-12T22:48:41Z</dcterms:modified>
</cp:coreProperties>
</file>