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2.5yrNC6m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16, 2026  Final Review Date:   April 16, 2029  Maturity Date:   April 19, 2029  Review Dates:   Monthly  Contingent Interest Rate:   [9.25%-11.25%]* per annum, paid monthly at a rate of between 0.77083% and 0.9375%*, if applicable  Interest Barrier/Trigger Value :   With respect to each Underlying, an amount that represents 70.00% of its Initial Value  CUSIP:   46661PJA6  Preliminary Pricing Supplement:   http://sp.jpmorgan.com/document/cusip/46661PJA6/doctype/Product_Termsheet/document.pdf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Review Date (other than the first, second, third, fourth, fifth and final Review Dates) the closing value of each Underlying is  greater than or equal to   its Initial Value, the notes will be automatically called and you will receive a cash payment for each $1,000 principal amount note, equal to (a) $1,000   plus   (b) the Contingent Interest Payment applicable to that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9.25% per annum Contingent Interest Rate)  60.00%   $1,007.7083  40.00%   $1,007.7083  20.00%   $1,007.7083  5.00%   $1,007.7083  0.00%   $1,007.7083  -5.00%   $1,007.7083  -20.00%   $1,007.7083  -30.00%   $1,007.7083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Review Date is greater than or equal to its Interest Barrier, you will receive on the applicable Interest Payment Date for each $1,000 principal amount note a Contingent Interest Payment equal to between $7.7083 and $9.375 (equivalent to a Contingent Interest Rate of between 9.25% and 11.25% per annum, payable at a rate of between 0.77083% and 0.9375%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2.5yrNC6m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8139</Characters>
  <CharactersWithSpaces>9882</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