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8025-01_fwp.htm"/>
      <w:bookmarkStart w:id="1" w:name="ksea0308025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October 7,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Worst-of SX5E/SPX/RTY Contingent Income Callable Securities with 1-Year Initial Non-Call Period</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7220585"/>
                <wp:effectExtent l="0" t="0" r="0" b="0"/>
                <wp:wrapSquare wrapText="right"/>
                <wp:docPr id="1" name="Frame1"/>
                <a:graphic xmlns:a="http://schemas.openxmlformats.org/drawingml/2006/main">
                  <a:graphicData uri="http://schemas.microsoft.com/office/word/2010/wordprocessingShape">
                    <wps:wsp>
                      <wps:cNvSpPr txBox="1"/>
                      <wps:spPr>
                        <a:xfrm>
                          <a:off x="0" y="0"/>
                          <a:ext cx="3110230" cy="722058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21"/>
                              <w:gridCol w:w="8984"/>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21"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84"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2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84" w:type="dxa"/>
                                  <w:tcBorders/>
                                  <w:shd w:fill="DCEBF4" w:val="clear"/>
                                  <w:vAlign w:val="center"/>
                                </w:tcPr>
                                <w:p>
                                  <w:pPr>
                                    <w:pStyle w:val="TableContents"/>
                                    <w:bidi w:val="0"/>
                                    <w:spacing w:before="0" w:after="283"/>
                                    <w:jc w:val="left"/>
                                    <w:rPr>
                                      <w:sz w:val="15"/>
                                    </w:rPr>
                                  </w:pPr>
                                  <w:r>
                                    <w:rPr>
                                      <w:sz w:val="15"/>
                                    </w:rPr>
                                    <w:t>JPMorgan Chase &amp; Co.</w:t>
                                  </w:r>
                                </w:p>
                              </w:tc>
                            </w:tr>
                            <w:tr>
                              <w:trPr/>
                              <w:tc>
                                <w:tcPr>
                                  <w:tcW w:w="122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84" w:type="dxa"/>
                                  <w:tcBorders/>
                                  <w:vAlign w:val="center"/>
                                </w:tcPr>
                                <w:p>
                                  <w:pPr>
                                    <w:pStyle w:val="TableContents"/>
                                    <w:bidi w:val="0"/>
                                    <w:spacing w:before="0" w:after="283"/>
                                    <w:jc w:val="left"/>
                                    <w:rPr>
                                      <w:sz w:val="15"/>
                                    </w:rPr>
                                  </w:pPr>
                                  <w:r>
                                    <w:rPr>
                                      <w:sz w:val="15"/>
                                    </w:rPr>
                                    <w:t>EURO STOXX 50</w:t>
                                  </w:r>
                                  <w:r>
                                    <w:rPr>
                                      <w:position w:val="5"/>
                                      <w:sz w:val="12"/>
                                      <w:sz w:val="15"/>
                                    </w:rPr>
                                    <w:t>®</w:t>
                                  </w:r>
                                  <w:r>
                                    <w:rPr>
                                      <w:sz w:val="15"/>
                                    </w:rPr>
                                    <w:t xml:space="preserve"> Index (Bloomberg ticker: SX5E Index) (the “SX5E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2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84"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second, third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2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84"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bl>
                          <w:tbl>
                            <w:tblPr>
                              <w:tblW w:w="10205" w:type="dxa"/>
                              <w:jc w:val="left"/>
                              <w:tblInd w:w="0" w:type="dxa"/>
                              <w:tblLayout w:type="fixed"/>
                              <w:tblCellMar>
                                <w:top w:w="0" w:type="dxa"/>
                                <w:left w:w="0" w:type="dxa"/>
                                <w:bottom w:w="0" w:type="dxa"/>
                                <w:right w:w="0" w:type="dxa"/>
                              </w:tblCellMar>
                            </w:tblPr>
                            <w:tblGrid>
                              <w:gridCol w:w="1293"/>
                              <w:gridCol w:w="8912"/>
                            </w:tblGrid>
                            <w:tr>
                              <w:trPr/>
                              <w:tc>
                                <w:tcPr>
                                  <w:tcW w:w="129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12" w:type="dxa"/>
                                  <w:tcBorders/>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$22.00 (at least 2.20%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4"/>
                              <w:gridCol w:w="2744"/>
                              <w:gridCol w:w="6497"/>
                            </w:tblGrid>
                            <w:tr>
                              <w:trPr/>
                              <w:tc>
                                <w:tcPr>
                                  <w:tcW w:w="964"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4" w:type="dxa"/>
                                  <w:tcBorders/>
                                  <w:vAlign w:val="center"/>
                                </w:tcPr>
                                <w:p>
                                  <w:pPr>
                                    <w:pStyle w:val="TableContents"/>
                                    <w:bidi w:val="0"/>
                                    <w:spacing w:before="0" w:after="283"/>
                                    <w:ind w:left="0" w:right="0" w:hanging="147"/>
                                    <w:jc w:val="left"/>
                                    <w:rPr>
                                      <w:color w:val="296DC1"/>
                                    </w:rPr>
                                  </w:pPr>
                                  <w:r>
                                    <w:rPr>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65%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65%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8.5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21"/>
                        <w:gridCol w:w="8984"/>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r>
                        <w:trPr/>
                        <w:tc>
                          <w:tcPr>
                            <w:tcW w:w="1221"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84"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rPr/>
                        <w:tc>
                          <w:tcPr>
                            <w:tcW w:w="122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84" w:type="dxa"/>
                            <w:tcBorders/>
                            <w:shd w:fill="DCEBF4" w:val="clear"/>
                            <w:vAlign w:val="center"/>
                          </w:tcPr>
                          <w:p>
                            <w:pPr>
                              <w:pStyle w:val="TableContents"/>
                              <w:bidi w:val="0"/>
                              <w:spacing w:before="0" w:after="283"/>
                              <w:jc w:val="left"/>
                              <w:rPr>
                                <w:sz w:val="15"/>
                              </w:rPr>
                            </w:pPr>
                            <w:r>
                              <w:rPr>
                                <w:sz w:val="15"/>
                              </w:rPr>
                              <w:t>JPMorgan Chase &amp; Co.</w:t>
                            </w:r>
                          </w:p>
                        </w:tc>
                      </w:tr>
                      <w:tr>
                        <w:trPr/>
                        <w:tc>
                          <w:tcPr>
                            <w:tcW w:w="122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84" w:type="dxa"/>
                            <w:tcBorders/>
                            <w:vAlign w:val="center"/>
                          </w:tcPr>
                          <w:p>
                            <w:pPr>
                              <w:pStyle w:val="TableContents"/>
                              <w:bidi w:val="0"/>
                              <w:spacing w:before="0" w:after="283"/>
                              <w:jc w:val="left"/>
                              <w:rPr>
                                <w:sz w:val="15"/>
                              </w:rPr>
                            </w:pPr>
                            <w:r>
                              <w:rPr>
                                <w:sz w:val="15"/>
                              </w:rPr>
                              <w:t>EURO STOXX 50</w:t>
                            </w:r>
                            <w:r>
                              <w:rPr>
                                <w:position w:val="5"/>
                                <w:sz w:val="12"/>
                                <w:sz w:val="15"/>
                              </w:rPr>
                              <w:t>®</w:t>
                            </w:r>
                            <w:r>
                              <w:rPr>
                                <w:sz w:val="15"/>
                              </w:rPr>
                              <w:t xml:space="preserve"> Index (Bloomberg ticker: SX5E Index) (the “SX5E Index”), S&amp;P 500</w:t>
                            </w:r>
                            <w:r>
                              <w:rPr>
                                <w:position w:val="5"/>
                                <w:sz w:val="12"/>
                                <w:sz w:val="15"/>
                              </w:rPr>
                              <w:t>®</w:t>
                            </w:r>
                            <w:r>
                              <w:rPr>
                                <w:sz w:val="15"/>
                              </w:rPr>
                              <w:t xml:space="preserve"> Index (Bloomberg ticker: SPX Index) (the “SPX Index”) and Russell 2000</w:t>
                            </w:r>
                            <w:r>
                              <w:rPr>
                                <w:position w:val="5"/>
                                <w:sz w:val="12"/>
                                <w:sz w:val="15"/>
                              </w:rPr>
                              <w:t>®</w:t>
                            </w:r>
                            <w:r>
                              <w:rPr>
                                <w:sz w:val="15"/>
                              </w:rPr>
                              <w:t xml:space="preserve"> Index (Bloomberg ticker: RTY Index) (the “RTY Index”) (each an “underlying index”)</w:t>
                            </w:r>
                          </w:p>
                        </w:tc>
                      </w:tr>
                      <w:tr>
                        <w:trPr/>
                        <w:tc>
                          <w:tcPr>
                            <w:tcW w:w="122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84"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first, second, third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rPr/>
                        <w:tc>
                          <w:tcPr>
                            <w:tcW w:w="122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84"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otherwise due with respect to the related quarterly monitoring period.</w:t>
                            </w:r>
                          </w:p>
                        </w:tc>
                      </w:tr>
                    </w:tbl>
                    <w:tbl>
                      <w:tblPr>
                        <w:tblW w:w="10205" w:type="dxa"/>
                        <w:jc w:val="left"/>
                        <w:tblInd w:w="0" w:type="dxa"/>
                        <w:tblLayout w:type="fixed"/>
                        <w:tblCellMar>
                          <w:top w:w="0" w:type="dxa"/>
                          <w:left w:w="0" w:type="dxa"/>
                          <w:bottom w:w="0" w:type="dxa"/>
                          <w:right w:w="0" w:type="dxa"/>
                        </w:tblCellMar>
                      </w:tblPr>
                      <w:tblGrid>
                        <w:gridCol w:w="1293"/>
                        <w:gridCol w:w="8912"/>
                      </w:tblGrid>
                      <w:tr>
                        <w:trPr/>
                        <w:tc>
                          <w:tcPr>
                            <w:tcW w:w="129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12" w:type="dxa"/>
                            <w:tcBorders/>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If the closing level of each underlying index is greater than or equal to its downside threshold level on each day during a quarterly monitoring period, we will pay a contingent quarterly payment of at least $22.00 (at least 2.20%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5"/>
                              </w:rPr>
                              <w:t xml:space="preserve">If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on </w:t>
                            </w:r>
                            <w:r>
                              <w:rPr>
                                <w:rFonts w:ascii="Arial;Helvetica;Sans-Serif" w:hAnsi="Arial;Helvetica;Sans-Serif"/>
                                <w:b/>
                                <w:i w:val="false"/>
                                <w:caps w:val="false"/>
                                <w:smallCaps w:val="false"/>
                                <w:sz w:val="15"/>
                              </w:rPr>
                              <w:t>any</w:t>
                            </w:r>
                            <w:r>
                              <w:rPr>
                                <w:rFonts w:ascii="Arial;Helvetica;Sans-Serif" w:hAnsi="Arial;Helvetica;Sans-Serif"/>
                                <w:b w:val="false"/>
                                <w:i w:val="false"/>
                                <w:caps w:val="false"/>
                                <w:smallCaps w:val="false"/>
                                <w:sz w:val="15"/>
                              </w:rPr>
                              <w:t xml:space="preserve"> day during a quarterly monitoring period, no contingent quarterly payment will be payable with respect to that quarterly monitoring period.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964"/>
                        <w:gridCol w:w="2744"/>
                        <w:gridCol w:w="6497"/>
                      </w:tblGrid>
                      <w:tr>
                        <w:trPr/>
                        <w:tc>
                          <w:tcPr>
                            <w:tcW w:w="964"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(ii) if the closing level of each underlying index on each day during the final quarterly monitoring period is greater than or equal to its downside threshold level, the contingent quarterly payment with respect to the final quarterly monitoring period.</w:t>
                            </w:r>
                          </w:p>
                        </w:tc>
                      </w:tr>
                      <w:tr>
                        <w:trPr/>
                        <w:tc>
                          <w:tcPr>
                            <w:tcW w:w="964" w:type="dxa"/>
                            <w:tcBorders/>
                            <w:vAlign w:val="center"/>
                          </w:tcPr>
                          <w:p>
                            <w:pPr>
                              <w:pStyle w:val="TableContents"/>
                              <w:bidi w:val="0"/>
                              <w:spacing w:before="0" w:after="283"/>
                              <w:ind w:left="0" w:right="0" w:hanging="147"/>
                              <w:jc w:val="left"/>
                              <w:rPr>
                                <w:color w:val="296DC1"/>
                              </w:rPr>
                            </w:pPr>
                            <w:r>
                              <w:rPr>
                                <w:color w:val="296DC1"/>
                              </w:rPr>
                              <w:t> </w:t>
                            </w:r>
                          </w:p>
                        </w:tc>
                        <w:tc>
                          <w:tcPr>
                            <w:tcW w:w="2744" w:type="dxa"/>
                            <w:tcBorders/>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w:t>
                            </w:r>
                            <w:r>
                              <w:rPr>
                                <w:b/>
                                <w:sz w:val="15"/>
                              </w:rPr>
                              <w:t>any</w:t>
                            </w:r>
                            <w:r>
                              <w:rPr>
                                <w:sz w:val="15"/>
                              </w:rPr>
                              <w:t xml:space="preserve"> underlying index is </w:t>
                            </w:r>
                            <w:r>
                              <w:rPr>
                                <w:b/>
                                <w:sz w:val="15"/>
                              </w:rPr>
                              <w:t>less than</w:t>
                            </w:r>
                            <w:r>
                              <w:rPr>
                                <w:sz w:val="15"/>
                              </w:rPr>
                              <w:t xml:space="preserve"> its downside threshold level:</w:t>
                            </w:r>
                          </w:p>
                        </w:tc>
                        <w:tc>
                          <w:tcPr>
                            <w:tcW w:w="6497"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65% of the stated principal amount of the securities and could be zero.</w:t>
                            </w:r>
                          </w:p>
                        </w:tc>
                      </w:tr>
                    </w:tbl>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65% of its initial index value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Quarterly monitoring period:</w:t>
                            </w:r>
                          </w:p>
                        </w:tc>
                        <w:tc>
                          <w:tcPr>
                            <w:tcW w:w="8308" w:type="dxa"/>
                            <w:tcBorders/>
                            <w:vAlign w:val="center"/>
                          </w:tcPr>
                          <w:p>
                            <w:pPr>
                              <w:pStyle w:val="TableContents"/>
                              <w:bidi w:val="0"/>
                              <w:spacing w:before="0" w:after="283"/>
                              <w:jc w:val="left"/>
                              <w:rPr>
                                <w:sz w:val="15"/>
                              </w:rPr>
                            </w:pPr>
                            <w:r>
                              <w:rPr>
                                <w:sz w:val="15"/>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8308" w:type="dxa"/>
                            <w:tcBorders/>
                            <w:shd w:fill="DCEBF4" w:val="clear"/>
                            <w:vAlign w:val="center"/>
                          </w:tcPr>
                          <w:p>
                            <w:pPr>
                              <w:pStyle w:val="TableContents"/>
                              <w:bidi w:val="0"/>
                              <w:spacing w:before="0" w:after="283"/>
                              <w:jc w:val="left"/>
                              <w:rPr>
                                <w:sz w:val="15"/>
                              </w:rPr>
                            </w:pPr>
                            <w:r>
                              <w:rPr>
                                <w:sz w:val="15"/>
                              </w:rPr>
                              <w:t>With respect to each underlying index, its closing level on the pricing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8308" w:type="dxa"/>
                            <w:tcBorders/>
                            <w:vAlign w:val="center"/>
                          </w:tcPr>
                          <w:p>
                            <w:pPr>
                              <w:pStyle w:val="TableContents"/>
                              <w:bidi w:val="0"/>
                              <w:spacing w:before="0" w:after="283"/>
                              <w:jc w:val="left"/>
                              <w:rPr>
                                <w:sz w:val="15"/>
                              </w:rPr>
                            </w:pPr>
                            <w:r>
                              <w:rPr>
                                <w:sz w:val="15"/>
                              </w:rPr>
                              <w:t>With respect to each underlying index, its closing level on the final determination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8308" w:type="dxa"/>
                            <w:tcBorders/>
                            <w:shd w:fill="DCEBF4" w:val="clear"/>
                            <w:vAlign w:val="center"/>
                          </w:tcPr>
                          <w:p>
                            <w:pPr>
                              <w:pStyle w:val="TableContents"/>
                              <w:bidi w:val="0"/>
                              <w:spacing w:before="0" w:after="283"/>
                              <w:jc w:val="left"/>
                              <w:rPr>
                                <w:sz w:val="15"/>
                              </w:rPr>
                            </w:pPr>
                            <w:r>
                              <w:rPr>
                                <w:sz w:val="15"/>
                              </w:rPr>
                              <w:t>The underlying index with the worst index performance factor</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8308" w:type="dxa"/>
                            <w:tcBorders/>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16,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19, 2027, April 16, 2027, July 16, 2027, October 18, 2027, January 18, 2028, April 18, 2028, July 17, 2028 and October 16,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22, 2027, April 21, 2027, July 21, 2027, October 21, 2027, January 21, 2028, April 21, 2028, July 20,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19,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46661PM20 / US46661PM206</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2">
                                    <w:r>
                                      <w:rPr>
                                        <w:rStyle w:val="InternetLink"/>
                                        <w:sz w:val="15"/>
                                      </w:rPr>
                                      <w:t>http://www.sec.gov/Archives/edgar/data/</w:t>
                                      <w:br/>
                                      <w:t>19617/000121390026107586/ea0307994-01_424b2.htm</w:t>
                                    </w:r>
                                  </w:hyperlink>
                                  <w:r>
                                    <w:rPr>
                                      <w:sz w:val="15"/>
                                    </w:rPr>
                                    <w:t xml:space="preserve">   </w:t>
                                  </w:r>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left"/>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$649.90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741"/>
                        <w:gridCol w:w="7464"/>
                      </w:tblGrid>
                      <w:tr>
                        <w:trPr/>
                        <w:tc>
                          <w:tcPr>
                            <w:tcW w:w="2741"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7464" w:type="dxa"/>
                            <w:tcBorders/>
                            <w:shd w:fill="DCEBF4" w:val="clear"/>
                            <w:vAlign w:val="center"/>
                          </w:tcPr>
                          <w:p>
                            <w:pPr>
                              <w:pStyle w:val="TableContents"/>
                              <w:bidi w:val="0"/>
                              <w:spacing w:before="0" w:after="283"/>
                              <w:jc w:val="left"/>
                              <w:rPr>
                                <w:sz w:val="15"/>
                              </w:rPr>
                            </w:pPr>
                            <w:r>
                              <w:rPr>
                                <w:sz w:val="15"/>
                              </w:rPr>
                              <w:t>$1,000 per security</w:t>
                            </w:r>
                          </w:p>
                        </w:tc>
                      </w:tr>
                      <w:tr>
                        <w:trPr/>
                        <w:tc>
                          <w:tcPr>
                            <w:tcW w:w="2741"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7464" w:type="dxa"/>
                            <w:tcBorders/>
                            <w:vAlign w:val="center"/>
                          </w:tcPr>
                          <w:p>
                            <w:pPr>
                              <w:pStyle w:val="TableContents"/>
                              <w:bidi w:val="0"/>
                              <w:spacing w:before="0" w:after="283"/>
                              <w:jc w:val="left"/>
                              <w:rPr>
                                <w:sz w:val="15"/>
                              </w:rPr>
                            </w:pPr>
                            <w:r>
                              <w:rPr>
                                <w:sz w:val="15"/>
                              </w:rPr>
                              <w:t>$1,000 per security</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464" w:type="dxa"/>
                            <w:tcBorders/>
                            <w:shd w:fill="DCEBF4" w:val="clear"/>
                            <w:vAlign w:val="center"/>
                          </w:tcPr>
                          <w:p>
                            <w:pPr>
                              <w:pStyle w:val="TableContents"/>
                              <w:bidi w:val="0"/>
                              <w:spacing w:before="0" w:after="283"/>
                              <w:jc w:val="left"/>
                              <w:rPr>
                                <w:sz w:val="15"/>
                              </w:rPr>
                            </w:pPr>
                            <w:r>
                              <w:rPr>
                                <w:sz w:val="15"/>
                              </w:rPr>
                              <w:t>Expected to be October 16, 2026</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464" w:type="dxa"/>
                            <w:tcBorders/>
                            <w:vAlign w:val="center"/>
                          </w:tcPr>
                          <w:p>
                            <w:pPr>
                              <w:pStyle w:val="TableContents"/>
                              <w:bidi w:val="0"/>
                              <w:spacing w:before="0" w:after="283"/>
                              <w:jc w:val="left"/>
                              <w:rPr>
                                <w:sz w:val="15"/>
                              </w:rPr>
                            </w:pPr>
                            <w:r>
                              <w:rPr>
                                <w:sz w:val="15"/>
                              </w:rPr>
                              <w:t>3 business days after the pricing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shd w:fill="DCEBF4" w:val="clear"/>
                            <w:vAlign w:val="center"/>
                          </w:tcPr>
                          <w:p>
                            <w:pPr>
                              <w:pStyle w:val="TableContents"/>
                              <w:bidi w:val="0"/>
                              <w:spacing w:before="0" w:after="283"/>
                              <w:jc w:val="left"/>
                              <w:rPr>
                                <w:sz w:val="15"/>
                              </w:rPr>
                            </w:pPr>
                            <w:r>
                              <w:rPr>
                                <w:sz w:val="15"/>
                              </w:rPr>
                              <w:t>January 19, 2027, April 16, 2027, July 16, 2027, October 18, 2027, January 18, 2028, April 18, 2028, July 17, 2028 and October 16, 2028</w:t>
                            </w:r>
                          </w:p>
                        </w:tc>
                      </w:tr>
                      <w:tr>
                        <w:trPr/>
                        <w:tc>
                          <w:tcPr>
                            <w:tcW w:w="2741"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464" w:type="dxa"/>
                            <w:tcBorders/>
                            <w:vAlign w:val="center"/>
                          </w:tcPr>
                          <w:p>
                            <w:pPr>
                              <w:pStyle w:val="TableContents"/>
                              <w:bidi w:val="0"/>
                              <w:spacing w:before="0" w:after="283"/>
                              <w:jc w:val="left"/>
                              <w:rPr>
                                <w:sz w:val="15"/>
                              </w:rPr>
                            </w:pPr>
                            <w:r>
                              <w:rPr>
                                <w:sz w:val="15"/>
                              </w:rPr>
                              <w:t>January 22, 2027, April 21, 2027, July 21, 2027, October 21, 2027, January 21, 2028, April 21, 2028, July 20, 2028 and the maturity date</w:t>
                            </w:r>
                          </w:p>
                        </w:tc>
                      </w:tr>
                      <w:tr>
                        <w:trPr/>
                        <w:tc>
                          <w:tcPr>
                            <w:tcW w:w="2741"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464" w:type="dxa"/>
                            <w:tcBorders/>
                            <w:shd w:fill="DCEBF4" w:val="clear"/>
                            <w:vAlign w:val="center"/>
                          </w:tcPr>
                          <w:p>
                            <w:pPr>
                              <w:pStyle w:val="TableContents"/>
                              <w:bidi w:val="0"/>
                              <w:spacing w:before="0" w:after="283"/>
                              <w:jc w:val="left"/>
                              <w:rPr>
                                <w:sz w:val="15"/>
                              </w:rPr>
                            </w:pPr>
                            <w:r>
                              <w:rPr>
                                <w:sz w:val="15"/>
                              </w:rPr>
                              <w:t>October 19, 2028</w:t>
                            </w:r>
                          </w:p>
                        </w:tc>
                      </w:tr>
                      <w:tr>
                        <w:trPr/>
                        <w:tc>
                          <w:tcPr>
                            <w:tcW w:w="2741" w:type="dxa"/>
                            <w:tcBorders/>
                            <w:vAlign w:val="center"/>
                          </w:tcPr>
                          <w:p>
                            <w:pPr>
                              <w:pStyle w:val="TableContents"/>
                              <w:bidi w:val="0"/>
                              <w:spacing w:before="0" w:after="283"/>
                              <w:jc w:val="left"/>
                              <w:rPr>
                                <w:b/>
                                <w:color w:val="296DC1"/>
                                <w:sz w:val="16"/>
                              </w:rPr>
                            </w:pPr>
                            <w:r>
                              <w:rPr>
                                <w:b/>
                                <w:color w:val="296DC1"/>
                                <w:sz w:val="16"/>
                              </w:rPr>
                              <w:t>CUSIP / ISIN:</w:t>
                            </w:r>
                          </w:p>
                        </w:tc>
                        <w:tc>
                          <w:tcPr>
                            <w:tcW w:w="7464" w:type="dxa"/>
                            <w:tcBorders/>
                            <w:vAlign w:val="center"/>
                          </w:tcPr>
                          <w:p>
                            <w:pPr>
                              <w:pStyle w:val="TableContents"/>
                              <w:bidi w:val="0"/>
                              <w:spacing w:before="0" w:after="283"/>
                              <w:jc w:val="left"/>
                              <w:rPr>
                                <w:sz w:val="15"/>
                              </w:rPr>
                            </w:pPr>
                            <w:r>
                              <w:rPr>
                                <w:sz w:val="15"/>
                              </w:rPr>
                              <w:t>46661PM20 / US46661PM206</w:t>
                            </w:r>
                          </w:p>
                        </w:tc>
                      </w:tr>
                      <w:tr>
                        <w:trPr/>
                        <w:tc>
                          <w:tcPr>
                            <w:tcW w:w="2741"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464" w:type="dxa"/>
                            <w:tcBorders/>
                            <w:shd w:fill="DCEBF4" w:val="clear"/>
                            <w:vAlign w:val="center"/>
                          </w:tcPr>
                          <w:p>
                            <w:pPr>
                              <w:pStyle w:val="TableContents"/>
                              <w:bidi w:val="0"/>
                              <w:spacing w:before="0" w:after="283"/>
                              <w:jc w:val="left"/>
                              <w:rPr/>
                            </w:pPr>
                            <w:hyperlink r:id="rId3">
                              <w:r>
                                <w:rPr>
                                  <w:rStyle w:val="InternetLink"/>
                                  <w:sz w:val="15"/>
                                </w:rPr>
                                <w:t>http://www.sec.gov/Archives/edgar/data/</w:t>
                                <w:br/>
                                <w:t>19617/000121390026107586/ea0307994-01_424b2.htm</w:t>
                              </w:r>
                            </w:hyperlink>
                            <w:r>
                              <w:rPr>
                                <w:sz w:val="15"/>
                              </w:rPr>
                              <w:t xml:space="preserve">   </w:t>
                            </w:r>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10205" w:type="dxa"/>
                        <w:jc w:val="left"/>
                        <w:tblInd w:w="0" w:type="dxa"/>
                        <w:tblLayout w:type="fixed"/>
                        <w:tblCellMar>
                          <w:top w:w="0" w:type="dxa"/>
                          <w:left w:w="0" w:type="dxa"/>
                          <w:bottom w:w="0" w:type="dxa"/>
                          <w:right w:w="0" w:type="dxa"/>
                        </w:tblCellMar>
                      </w:tblPr>
                      <w:tblGrid>
                        <w:gridCol w:w="3578"/>
                        <w:gridCol w:w="6627"/>
                      </w:tblGrid>
                      <w:tr>
                        <w:trPr/>
                        <w:tc>
                          <w:tcPr>
                            <w:tcW w:w="10205" w:type="dxa"/>
                            <w:gridSpan w:val="2"/>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r>
                        <w:trP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6627"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-35.01%</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$649.90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Worst-of SX5E/SPX/RTY Contingent Income Callable Securities with 1-Year Initial Non-Call Period</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monitoring period if the closing level of any underlying index is less than its downside threshold level on any day during that quarterly monitoring period.</w:t>
            </w:r>
          </w:p>
        </w:tc>
      </w:tr>
    </w:tbl>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8" w:type="dxa"/>
            <w:tcBorders/>
            <w:vAlign w:val="center"/>
          </w:tcPr>
          <w:p>
            <w:pPr>
              <w:pStyle w:val="TableContents"/>
              <w:bidi w:val="0"/>
              <w:spacing w:before="0" w:after="283"/>
              <w:jc w:val="left"/>
              <w:rPr>
                <w:sz w:val="18"/>
              </w:rPr>
            </w:pPr>
            <w:r>
              <w:rPr>
                <w:sz w:val="18"/>
              </w:rPr>
              <w:t>The contingent quarterly payment is based on the closing levels of the underlying indices during the quarterly monitoring periods.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5" w:type="dxa"/>
            <w:tcBorders/>
            <w:vAlign w:val="center"/>
          </w:tcPr>
          <w:p>
            <w:pPr>
              <w:pStyle w:val="TableContents"/>
              <w:bidi w:val="0"/>
              <w:spacing w:before="0" w:after="283"/>
              <w:jc w:val="left"/>
              <w:rPr>
                <w:sz w:val="18"/>
              </w:rPr>
            </w:pPr>
            <w:r>
              <w:rPr>
                <w:sz w:val="18"/>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SX5E Index.</w:t>
            </w:r>
          </w:p>
        </w:tc>
      </w:tr>
    </w:tbl>
    <w:tbl>
      <w:tblPr>
        <w:tblW w:w="5000" w:type="pct"/>
        <w:jc w:val="left"/>
        <w:tblInd w:w="0" w:type="dxa"/>
        <w:tblLayout w:type="fixed"/>
        <w:tblCellMar>
          <w:top w:w="0" w:type="dxa"/>
          <w:left w:w="0" w:type="dxa"/>
          <w:bottom w:w="0" w:type="dxa"/>
          <w:right w:w="0" w:type="dxa"/>
        </w:tblCellMar>
      </w:tblPr>
      <w:tblGrid>
        <w:gridCol w:w="47"/>
        <w:gridCol w:w="157"/>
        <w:gridCol w:w="10001"/>
      </w:tblGrid>
      <w:tr>
        <w:trPr/>
        <w:tc>
          <w:tcPr>
            <w:tcW w:w="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1" w:type="dxa"/>
            <w:tcBorders/>
            <w:vAlign w:val="center"/>
          </w:tcPr>
          <w:p>
            <w:pPr>
              <w:pStyle w:val="TableContents"/>
              <w:bidi w:val="0"/>
              <w:spacing w:before="0" w:after="283"/>
              <w:jc w:val="left"/>
              <w:rPr>
                <w:sz w:val="18"/>
              </w:rPr>
            </w:pPr>
            <w:r>
              <w:rPr>
                <w:sz w:val="18"/>
              </w:rPr>
              <w:t xml:space="preserve">The securities are not directly exposed to fluctuations in foreign exchange rates with respect to the SX5E Index. </w:t>
            </w:r>
          </w:p>
        </w:tc>
      </w:tr>
    </w:tbl>
    <w:tbl>
      <w:tblPr>
        <w:tblW w:w="8883" w:type="dxa"/>
        <w:jc w:val="left"/>
        <w:tblInd w:w="0" w:type="dxa"/>
        <w:tblLayout w:type="fixed"/>
        <w:tblCellMar>
          <w:top w:w="0" w:type="dxa"/>
          <w:left w:w="0" w:type="dxa"/>
          <w:bottom w:w="0" w:type="dxa"/>
          <w:right w:w="0" w:type="dxa"/>
        </w:tblCellMar>
      </w:tblPr>
      <w:tblGrid>
        <w:gridCol w:w="38"/>
        <w:gridCol w:w="125"/>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20" w:type="dxa"/>
            <w:tcBorders/>
            <w:vAlign w:val="center"/>
          </w:tcPr>
          <w:p>
            <w:pPr>
              <w:pStyle w:val="TableContents"/>
              <w:bidi w:val="0"/>
              <w:spacing w:before="0" w:after="283"/>
              <w:jc w:val="both"/>
              <w:rPr>
                <w:sz w:val="18"/>
              </w:rPr>
            </w:pPr>
            <w:r>
              <w:rPr>
                <w:sz w:val="18"/>
              </w:rPr>
              <w:t>An investment in the securities is subject to risks associated with small capitalization stocks with respect to the RTY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pPr>
            <w:r>
              <w:rPr/>
              <w:t>Governmental legislative and regulatory actions, including sanctions, could adversely affect your investment in the securities.</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ind w:left="360" w:right="0" w:hanging="360"/>
        <w:jc w:val="left"/>
        <w:rPr>
          <w:caps w:val="false"/>
          <w:smallCaps w:val="false"/>
        </w:rPr>
      </w:pPr>
      <w:r>
        <w:rPr>
          <w:caps w:val="false"/>
          <w:smallCaps w:val="false"/>
        </w:rPr>
        <w:t> </w:t>
      </w:r>
    </w:p>
    <w:p>
      <w:pPr>
        <w:pStyle w:val="TextBody"/>
        <w:bidi w:val="0"/>
        <w:spacing w:before="0" w:after="283"/>
        <w:ind w:left="360" w:right="0" w:hanging="3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07586/ea0307994-01_424b2.htm" TargetMode="External"/><Relationship Id="rId3" Type="http://schemas.openxmlformats.org/officeDocument/2006/relationships/hyperlink" Target="http://www.sec.gov/Archives/edgar/data/19617/000121390026107586/ea0307994-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1822</Words>
  <Characters>10036</Characters>
  <CharactersWithSpaces>11722</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