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62"/>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Amendment no. 1 to pricing supplement dated November 8, 2016</w:t>
            </w:r>
          </w:p>
        </w:tc>
        <w:tc>
          <w:tcPr>
            <w:tcW w:w="4560" w:type="dxa"/>
            <w:vAlign w:val="bottom"/>
          </w:tcPr>
          <w:p>
            <w:pPr>
              <w:jc w:val="right"/>
              <w:spacing w:after="0"/>
              <w:rPr>
                <w:sz w:val="20"/>
                <w:szCs w:val="20"/>
                <w:color w:val="auto"/>
              </w:rPr>
            </w:pPr>
            <w:r>
              <w:rPr>
                <w:rFonts w:ascii="Arial" w:cs="Arial" w:eastAsia="Arial" w:hAnsi="Arial"/>
                <w:sz w:val="14"/>
                <w:szCs w:val="14"/>
                <w:b w:val="1"/>
                <w:bCs w:val="1"/>
                <w:color w:val="auto"/>
              </w:rPr>
              <w:t>Registration Statement Nos. 333-209682 and 333-209682-01</w:t>
            </w:r>
          </w:p>
        </w:tc>
      </w:tr>
      <w:tr>
        <w:trPr>
          <w:trHeight w:val="162"/>
        </w:trPr>
        <w:tc>
          <w:tcPr>
            <w:tcW w:w="6860" w:type="dxa"/>
            <w:vAlign w:val="bottom"/>
            <w:gridSpan w:val="2"/>
          </w:tcPr>
          <w:p>
            <w:pPr>
              <w:spacing w:after="0"/>
              <w:rPr>
                <w:sz w:val="20"/>
                <w:szCs w:val="20"/>
                <w:color w:val="auto"/>
              </w:rPr>
            </w:pPr>
            <w:r>
              <w:rPr>
                <w:rFonts w:ascii="Arial" w:cs="Arial" w:eastAsia="Arial" w:hAnsi="Arial"/>
                <w:sz w:val="14"/>
                <w:szCs w:val="14"/>
                <w:i w:val="1"/>
                <w:iCs w:val="1"/>
                <w:color w:val="auto"/>
              </w:rPr>
              <w:t>To prospectus dated April 15, 2016,</w:t>
            </w:r>
          </w:p>
        </w:tc>
        <w:tc>
          <w:tcPr>
            <w:tcW w:w="4560" w:type="dxa"/>
            <w:vAlign w:val="bottom"/>
          </w:tcPr>
          <w:p>
            <w:pPr>
              <w:jc w:val="right"/>
              <w:spacing w:after="0"/>
              <w:rPr>
                <w:sz w:val="20"/>
                <w:szCs w:val="20"/>
                <w:color w:val="auto"/>
              </w:rPr>
            </w:pPr>
            <w:r>
              <w:rPr>
                <w:rFonts w:ascii="Arial" w:cs="Arial" w:eastAsia="Arial" w:hAnsi="Arial"/>
                <w:sz w:val="14"/>
                <w:szCs w:val="14"/>
                <w:b w:val="1"/>
                <w:bCs w:val="1"/>
                <w:color w:val="auto"/>
              </w:rPr>
              <w:t>Dated November 14, 2016</w:t>
            </w:r>
          </w:p>
        </w:tc>
      </w:tr>
      <w:tr>
        <w:trPr>
          <w:trHeight w:val="166"/>
        </w:trPr>
        <w:tc>
          <w:tcPr>
            <w:tcW w:w="6860" w:type="dxa"/>
            <w:vAlign w:val="bottom"/>
            <w:gridSpan w:val="2"/>
          </w:tcPr>
          <w:p>
            <w:pPr>
              <w:spacing w:after="0"/>
              <w:rPr>
                <w:sz w:val="20"/>
                <w:szCs w:val="20"/>
                <w:color w:val="auto"/>
              </w:rPr>
            </w:pPr>
            <w:r>
              <w:rPr>
                <w:rFonts w:ascii="Arial" w:cs="Arial" w:eastAsia="Arial" w:hAnsi="Arial"/>
                <w:sz w:val="14"/>
                <w:szCs w:val="14"/>
                <w:i w:val="1"/>
                <w:iCs w:val="1"/>
                <w:color w:val="auto"/>
              </w:rPr>
              <w:t>prospectus supplement dated April 15, 2016,</w:t>
            </w:r>
          </w:p>
        </w:tc>
        <w:tc>
          <w:tcPr>
            <w:tcW w:w="4560" w:type="dxa"/>
            <w:vAlign w:val="bottom"/>
          </w:tcPr>
          <w:p>
            <w:pPr>
              <w:jc w:val="right"/>
              <w:spacing w:after="0"/>
              <w:rPr>
                <w:sz w:val="20"/>
                <w:szCs w:val="20"/>
                <w:color w:val="auto"/>
              </w:rPr>
            </w:pPr>
            <w:r>
              <w:rPr>
                <w:rFonts w:ascii="Arial" w:cs="Arial" w:eastAsia="Arial" w:hAnsi="Arial"/>
                <w:sz w:val="14"/>
                <w:szCs w:val="14"/>
                <w:b w:val="1"/>
                <w:bCs w:val="1"/>
                <w:color w:val="auto"/>
              </w:rPr>
              <w:t>Rule 424(b)(8)</w:t>
            </w:r>
          </w:p>
        </w:tc>
      </w:tr>
      <w:tr>
        <w:trPr>
          <w:trHeight w:val="162"/>
        </w:trPr>
        <w:tc>
          <w:tcPr>
            <w:tcW w:w="6860" w:type="dxa"/>
            <w:vAlign w:val="bottom"/>
            <w:gridSpan w:val="2"/>
          </w:tcPr>
          <w:p>
            <w:pPr>
              <w:spacing w:after="0"/>
              <w:rPr>
                <w:sz w:val="20"/>
                <w:szCs w:val="20"/>
                <w:color w:val="auto"/>
              </w:rPr>
            </w:pPr>
            <w:r>
              <w:rPr>
                <w:rFonts w:ascii="Arial" w:cs="Arial" w:eastAsia="Arial" w:hAnsi="Arial"/>
                <w:sz w:val="14"/>
                <w:szCs w:val="14"/>
                <w:i w:val="1"/>
                <w:iCs w:val="1"/>
                <w:color w:val="auto"/>
              </w:rPr>
              <w:t>product supplement no. 4-I dated April 15, 2016 and</w:t>
            </w:r>
          </w:p>
        </w:tc>
        <w:tc>
          <w:tcPr>
            <w:tcW w:w="4560" w:type="dxa"/>
            <w:vAlign w:val="bottom"/>
          </w:tcPr>
          <w:p>
            <w:pPr>
              <w:spacing w:after="0"/>
              <w:rPr>
                <w:sz w:val="14"/>
                <w:szCs w:val="14"/>
                <w:color w:val="auto"/>
              </w:rPr>
            </w:pPr>
          </w:p>
        </w:tc>
      </w:tr>
      <w:tr>
        <w:trPr>
          <w:trHeight w:val="192"/>
        </w:trPr>
        <w:tc>
          <w:tcPr>
            <w:tcW w:w="6860" w:type="dxa"/>
            <w:vAlign w:val="bottom"/>
            <w:gridSpan w:val="2"/>
          </w:tcPr>
          <w:p>
            <w:pPr>
              <w:spacing w:after="0"/>
              <w:rPr>
                <w:sz w:val="20"/>
                <w:szCs w:val="20"/>
                <w:color w:val="auto"/>
              </w:rPr>
            </w:pPr>
            <w:r>
              <w:rPr>
                <w:rFonts w:ascii="Arial" w:cs="Arial" w:eastAsia="Arial" w:hAnsi="Arial"/>
                <w:sz w:val="14"/>
                <w:szCs w:val="14"/>
                <w:i w:val="1"/>
                <w:iCs w:val="1"/>
                <w:color w:val="auto"/>
              </w:rPr>
              <w:t>underlying supplement no. 1-I dated April 15, 2016</w:t>
            </w:r>
          </w:p>
        </w:tc>
        <w:tc>
          <w:tcPr>
            <w:tcW w:w="4560" w:type="dxa"/>
            <w:vAlign w:val="bottom"/>
          </w:tcPr>
          <w:p>
            <w:pPr>
              <w:spacing w:after="0"/>
              <w:rPr>
                <w:sz w:val="16"/>
                <w:szCs w:val="16"/>
                <w:color w:val="auto"/>
              </w:rPr>
            </w:pPr>
          </w:p>
        </w:tc>
      </w:tr>
      <w:tr>
        <w:trPr>
          <w:trHeight w:val="412"/>
        </w:trPr>
        <w:tc>
          <w:tcPr>
            <w:tcW w:w="6860" w:type="dxa"/>
            <w:vAlign w:val="bottom"/>
            <w:gridSpan w:val="2"/>
          </w:tcPr>
          <w:p>
            <w:pPr>
              <w:spacing w:after="0"/>
              <w:rPr>
                <w:sz w:val="20"/>
                <w:szCs w:val="20"/>
                <w:color w:val="auto"/>
              </w:rPr>
            </w:pPr>
            <w:r>
              <w:rPr>
                <w:rFonts w:ascii="Arial" w:cs="Arial" w:eastAsia="Arial" w:hAnsi="Arial"/>
                <w:sz w:val="22"/>
                <w:szCs w:val="22"/>
                <w:b w:val="1"/>
                <w:bCs w:val="1"/>
                <w:color w:val="4E8ABE"/>
              </w:rPr>
              <w:t>JPMorgan Chase Financial Company LLC</w:t>
            </w:r>
          </w:p>
        </w:tc>
        <w:tc>
          <w:tcPr>
            <w:tcW w:w="4560" w:type="dxa"/>
            <w:vAlign w:val="bottom"/>
          </w:tcPr>
          <w:p>
            <w:pPr>
              <w:spacing w:after="0"/>
              <w:rPr>
                <w:sz w:val="24"/>
                <w:szCs w:val="24"/>
                <w:color w:val="auto"/>
              </w:rPr>
            </w:pPr>
          </w:p>
        </w:tc>
      </w:tr>
      <w:tr>
        <w:trPr>
          <w:trHeight w:val="217"/>
        </w:trPr>
        <w:tc>
          <w:tcPr>
            <w:tcW w:w="1840" w:type="dxa"/>
            <w:vAlign w:val="bottom"/>
          </w:tcPr>
          <w:p>
            <w:pPr>
              <w:spacing w:after="0"/>
              <w:rPr>
                <w:sz w:val="18"/>
                <w:szCs w:val="18"/>
                <w:color w:val="auto"/>
              </w:rPr>
            </w:pPr>
          </w:p>
        </w:tc>
        <w:tc>
          <w:tcPr>
            <w:tcW w:w="9580" w:type="dxa"/>
            <w:vAlign w:val="bottom"/>
            <w:gridSpan w:val="2"/>
          </w:tcPr>
          <w:p>
            <w:pPr>
              <w:spacing w:after="0"/>
              <w:rPr>
                <w:sz w:val="18"/>
                <w:szCs w:val="18"/>
                <w:color w:val="auto"/>
              </w:rPr>
            </w:pPr>
          </w:p>
        </w:tc>
      </w:tr>
      <w:tr>
        <w:trPr>
          <w:trHeight w:val="284"/>
        </w:trPr>
        <w:tc>
          <w:tcPr>
            <w:tcW w:w="1840" w:type="dxa"/>
            <w:vAlign w:val="bottom"/>
            <w:shd w:val="clear" w:color="auto" w:fill="4E8ABE"/>
          </w:tcPr>
          <w:p>
            <w:pPr>
              <w:jc w:val="right"/>
              <w:spacing w:after="0"/>
              <w:rPr>
                <w:sz w:val="20"/>
                <w:szCs w:val="20"/>
                <w:color w:val="auto"/>
              </w:rPr>
            </w:pPr>
            <w:r>
              <w:rPr>
                <w:rFonts w:ascii="Arial" w:cs="Arial" w:eastAsia="Arial" w:hAnsi="Arial"/>
                <w:sz w:val="18"/>
                <w:szCs w:val="18"/>
                <w:color w:val="FFFFFF"/>
              </w:rPr>
              <w:t>Structured</w:t>
            </w:r>
          </w:p>
        </w:tc>
        <w:tc>
          <w:tcPr>
            <w:tcW w:w="9580" w:type="dxa"/>
            <w:vAlign w:val="bottom"/>
            <w:gridSpan w:val="2"/>
          </w:tcPr>
          <w:p>
            <w:pPr>
              <w:ind w:left="80"/>
              <w:spacing w:after="0" w:line="284" w:lineRule="exact"/>
              <w:rPr>
                <w:sz w:val="20"/>
                <w:szCs w:val="20"/>
                <w:color w:val="auto"/>
              </w:rPr>
            </w:pPr>
            <w:r>
              <w:rPr>
                <w:rFonts w:ascii="Arial" w:cs="Arial" w:eastAsia="Arial" w:hAnsi="Arial"/>
                <w:sz w:val="18"/>
                <w:szCs w:val="18"/>
                <w:b w:val="1"/>
                <w:bCs w:val="1"/>
                <w:color w:val="4E8ABE"/>
              </w:rPr>
              <w:t>Capped Optimal Entry Return Enhanced Notes Linked to the S&amp;P 500</w:t>
            </w:r>
            <w:r>
              <w:rPr>
                <w:rFonts w:ascii="Arial" w:cs="Arial" w:eastAsia="Arial" w:hAnsi="Arial"/>
                <w:sz w:val="30"/>
                <w:szCs w:val="30"/>
                <w:b w:val="1"/>
                <w:bCs w:val="1"/>
                <w:color w:val="4E8ABE"/>
                <w:vertAlign w:val="superscript"/>
              </w:rPr>
              <w:t>®</w:t>
            </w:r>
            <w:r>
              <w:rPr>
                <w:rFonts w:ascii="Arial" w:cs="Arial" w:eastAsia="Arial" w:hAnsi="Arial"/>
                <w:sz w:val="18"/>
                <w:szCs w:val="18"/>
                <w:b w:val="1"/>
                <w:bCs w:val="1"/>
                <w:color w:val="4E8ABE"/>
              </w:rPr>
              <w:t xml:space="preserve"> Index due November 27, 2017</w:t>
            </w:r>
          </w:p>
        </w:tc>
      </w:tr>
      <w:tr>
        <w:trPr>
          <w:trHeight w:val="243"/>
        </w:trPr>
        <w:tc>
          <w:tcPr>
            <w:tcW w:w="1840" w:type="dxa"/>
            <w:vAlign w:val="bottom"/>
            <w:shd w:val="clear" w:color="auto" w:fill="4E8ABE"/>
          </w:tcPr>
          <w:p>
            <w:pPr>
              <w:jc w:val="right"/>
              <w:spacing w:after="0"/>
              <w:rPr>
                <w:sz w:val="20"/>
                <w:szCs w:val="20"/>
                <w:color w:val="auto"/>
              </w:rPr>
            </w:pPr>
            <w:r>
              <w:rPr>
                <w:rFonts w:ascii="Arial" w:cs="Arial" w:eastAsia="Arial" w:hAnsi="Arial"/>
                <w:sz w:val="18"/>
                <w:szCs w:val="18"/>
                <w:color w:val="FFFFFF"/>
              </w:rPr>
              <w:t>Investments</w:t>
            </w:r>
          </w:p>
        </w:tc>
        <w:tc>
          <w:tcPr>
            <w:tcW w:w="5020" w:type="dxa"/>
            <w:vAlign w:val="bottom"/>
          </w:tcPr>
          <w:p>
            <w:pPr>
              <w:ind w:left="80"/>
              <w:spacing w:after="0"/>
              <w:rPr>
                <w:sz w:val="20"/>
                <w:szCs w:val="20"/>
                <w:color w:val="auto"/>
              </w:rPr>
            </w:pPr>
            <w:r>
              <w:rPr>
                <w:rFonts w:ascii="Arial" w:cs="Arial" w:eastAsia="Arial" w:hAnsi="Arial"/>
                <w:sz w:val="14"/>
                <w:szCs w:val="14"/>
                <w:b w:val="1"/>
                <w:bCs w:val="1"/>
                <w:color w:val="4E8ABE"/>
              </w:rPr>
              <w:t>Fully and Unconditionally Guaranteed by JPMorgan Chase &amp; Co.</w:t>
            </w:r>
          </w:p>
        </w:tc>
        <w:tc>
          <w:tcPr>
            <w:tcW w:w="4560" w:type="dxa"/>
            <w:vAlign w:val="bottom"/>
          </w:tcPr>
          <w:p>
            <w:pPr>
              <w:spacing w:after="0"/>
              <w:rPr>
                <w:sz w:val="21"/>
                <w:szCs w:val="21"/>
                <w:color w:val="auto"/>
              </w:rPr>
            </w:pPr>
          </w:p>
        </w:tc>
      </w:tr>
      <w:tr>
        <w:trPr>
          <w:trHeight w:val="41"/>
        </w:trPr>
        <w:tc>
          <w:tcPr>
            <w:tcW w:w="1840" w:type="dxa"/>
            <w:vAlign w:val="bottom"/>
            <w:shd w:val="clear" w:color="auto" w:fill="4E8ABE"/>
          </w:tcPr>
          <w:p>
            <w:pPr>
              <w:spacing w:after="0"/>
              <w:rPr>
                <w:sz w:val="3"/>
                <w:szCs w:val="3"/>
                <w:color w:val="auto"/>
              </w:rPr>
            </w:pPr>
          </w:p>
        </w:tc>
        <w:tc>
          <w:tcPr>
            <w:tcW w:w="5020" w:type="dxa"/>
            <w:vAlign w:val="bottom"/>
          </w:tcPr>
          <w:p>
            <w:pPr>
              <w:spacing w:after="0"/>
              <w:rPr>
                <w:sz w:val="3"/>
                <w:szCs w:val="3"/>
                <w:color w:val="auto"/>
              </w:rPr>
            </w:pPr>
          </w:p>
        </w:tc>
        <w:tc>
          <w:tcPr>
            <w:tcW w:w="4560" w:type="dxa"/>
            <w:vAlign w:val="bottom"/>
          </w:tcPr>
          <w:p>
            <w:pPr>
              <w:spacing w:after="0"/>
              <w:rPr>
                <w:sz w:val="3"/>
                <w:szCs w:val="3"/>
                <w:color w:val="auto"/>
              </w:rPr>
            </w:pPr>
          </w:p>
        </w:tc>
      </w:tr>
    </w:tbl>
    <w:p>
      <w:pPr>
        <w:spacing w:after="0" w:line="180" w:lineRule="exact"/>
        <w:rPr>
          <w:sz w:val="24"/>
          <w:szCs w:val="24"/>
          <w:color w:val="auto"/>
        </w:rPr>
      </w:pPr>
    </w:p>
    <w:p>
      <w:pPr>
        <w:ind w:right="180"/>
        <w:spacing w:after="0" w:line="235" w:lineRule="auto"/>
        <w:rPr>
          <w:sz w:val="20"/>
          <w:szCs w:val="20"/>
          <w:color w:val="auto"/>
        </w:rPr>
      </w:pPr>
      <w:r>
        <w:rPr>
          <w:rFonts w:ascii="Arial" w:cs="Arial" w:eastAsia="Arial" w:hAnsi="Arial"/>
          <w:sz w:val="17"/>
          <w:szCs w:val="17"/>
          <w:color w:val="auto"/>
        </w:rPr>
        <w:t>As described in the pricing supplement dated November 8, 2016 relating to the Capped Optimal Entry Return Enhanced Notes Linked to the S&amp;P 500</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Index due November 27, 2017 (CUSIP: 46646E6V9), the Lookback Index Level, to which the Ending Index Level will be compared to determine the payment at maturity on the notes, is the lowest closing level of the Index during the Lookback Observation Period. The Lookback Observation Period is the period from and including the Pricing Date (November 8, 2016) to and including November 11, 2016.</w:t>
      </w:r>
    </w:p>
    <w:p>
      <w:pPr>
        <w:spacing w:after="0" w:line="164" w:lineRule="exact"/>
        <w:rPr>
          <w:sz w:val="24"/>
          <w:szCs w:val="24"/>
          <w:color w:val="auto"/>
        </w:rPr>
      </w:pPr>
    </w:p>
    <w:p>
      <w:pPr>
        <w:spacing w:after="0" w:line="276" w:lineRule="auto"/>
        <w:rPr>
          <w:sz w:val="20"/>
          <w:szCs w:val="20"/>
          <w:color w:val="auto"/>
        </w:rPr>
      </w:pPr>
      <w:r>
        <w:rPr>
          <w:rFonts w:ascii="Arial" w:cs="Arial" w:eastAsia="Arial" w:hAnsi="Arial"/>
          <w:sz w:val="18"/>
          <w:szCs w:val="18"/>
          <w:color w:val="auto"/>
        </w:rPr>
        <w:t>The lowest closing level of the Index during the Lookback Observation Period occurred on November 8, 2016, and the closing level of the Index on that date was 2,139.56. Accordingly, the Lookback Index Level is 2,139.56.</w:t>
      </w:r>
    </w:p>
    <w:p>
      <w:pPr>
        <w:spacing w:after="0" w:line="132" w:lineRule="exact"/>
        <w:rPr>
          <w:sz w:val="24"/>
          <w:szCs w:val="24"/>
          <w:color w:val="auto"/>
        </w:rPr>
      </w:pPr>
    </w:p>
    <w:p>
      <w:pPr>
        <w:ind w:right="220"/>
        <w:spacing w:after="0" w:line="243" w:lineRule="auto"/>
        <w:rPr>
          <w:sz w:val="20"/>
          <w:szCs w:val="20"/>
          <w:color w:val="auto"/>
        </w:rPr>
      </w:pPr>
      <w:r>
        <w:rPr>
          <w:rFonts w:ascii="Arial" w:cs="Arial" w:eastAsia="Arial" w:hAnsi="Arial"/>
          <w:sz w:val="18"/>
          <w:szCs w:val="18"/>
          <w:color w:val="auto"/>
        </w:rPr>
        <w:t xml:space="preserve">You should read this pricing supplement together with the pricing supplement dated November 8, 2016 and the related prospectus, as supplemented by the prospectus supplement, relating to our Series A medium-term notes, of which these notes are a part, and the more detailed information contained in the related product supplement and underlying supplement. </w:t>
      </w:r>
      <w:r>
        <w:rPr>
          <w:rFonts w:ascii="Arial" w:cs="Arial" w:eastAsia="Arial" w:hAnsi="Arial"/>
          <w:sz w:val="18"/>
          <w:szCs w:val="18"/>
          <w:b w:val="1"/>
          <w:bCs w:val="1"/>
          <w:color w:val="auto"/>
        </w:rPr>
        <w:t>This amendment no. 1 to the pricing</w:t>
      </w:r>
      <w:r>
        <w:rPr>
          <w:rFonts w:ascii="Arial" w:cs="Arial" w:eastAsia="Arial" w:hAnsi="Arial"/>
          <w:sz w:val="18"/>
          <w:szCs w:val="18"/>
          <w:color w:val="auto"/>
        </w:rPr>
        <w:t xml:space="preserve"> </w:t>
      </w:r>
      <w:r>
        <w:rPr>
          <w:rFonts w:ascii="Arial" w:cs="Arial" w:eastAsia="Arial" w:hAnsi="Arial"/>
          <w:sz w:val="18"/>
          <w:szCs w:val="18"/>
          <w:b w:val="1"/>
          <w:bCs w:val="1"/>
          <w:color w:val="auto"/>
        </w:rPr>
        <w:t>supplement dated November 8, 2016,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w:t>
      </w:r>
    </w:p>
    <w:p>
      <w:pPr>
        <w:spacing w:after="0" w:line="154" w:lineRule="exact"/>
        <w:rPr>
          <w:sz w:val="24"/>
          <w:szCs w:val="24"/>
          <w:color w:val="auto"/>
        </w:rPr>
      </w:pPr>
    </w:p>
    <w:p>
      <w:pPr>
        <w:ind w:right="900"/>
        <w:spacing w:after="0" w:line="276" w:lineRule="auto"/>
        <w:rPr>
          <w:sz w:val="20"/>
          <w:szCs w:val="20"/>
          <w:color w:val="auto"/>
        </w:rPr>
      </w:pPr>
      <w:r>
        <w:rPr>
          <w:rFonts w:ascii="Arial" w:cs="Arial" w:eastAsia="Arial" w:hAnsi="Arial"/>
          <w:sz w:val="18"/>
          <w:szCs w:val="18"/>
          <w:color w:val="auto"/>
        </w:rPr>
        <w:t>You may access these documents on the SEC website at www.sec.gov as follows (or if such address has changed, by reviewing our filings for the relevant date on the SEC website):</w:t>
      </w:r>
    </w:p>
    <w:p>
      <w:pPr>
        <w:spacing w:after="0" w:line="132" w:lineRule="exact"/>
        <w:rPr>
          <w:sz w:val="24"/>
          <w:szCs w:val="24"/>
          <w:color w:val="auto"/>
        </w:rPr>
      </w:pPr>
    </w:p>
    <w:p>
      <w:pPr>
        <w:ind w:left="1140" w:hanging="322"/>
        <w:spacing w:after="0"/>
        <w:tabs>
          <w:tab w:leader="none" w:pos="11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Pricing Supplement dated November 8, 2016</w:t>
      </w:r>
    </w:p>
    <w:p>
      <w:pPr>
        <w:spacing w:after="0" w:line="30"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
        </w:numPr>
        <w:rPr>
          <w:rFonts w:ascii="Arial" w:cs="Arial" w:eastAsia="Arial" w:hAnsi="Arial"/>
          <w:sz w:val="18"/>
          <w:szCs w:val="18"/>
          <w:u w:val="single" w:color="auto"/>
          <w:color w:val="0000EE"/>
        </w:rPr>
      </w:pPr>
      <w:hyperlink r:id="rId8">
        <w:r>
          <w:rPr>
            <w:rFonts w:ascii="Arial" w:cs="Arial" w:eastAsia="Arial" w:hAnsi="Arial"/>
            <w:sz w:val="18"/>
            <w:szCs w:val="18"/>
            <w:u w:val="single" w:color="auto"/>
            <w:color w:val="0000EE"/>
          </w:rPr>
          <w:t>https://www.sec.gov/Archives/edgar/data/19617/000114036116085709/form424b2.htm</w:t>
        </w:r>
      </w:hyperlink>
    </w:p>
    <w:p>
      <w:pPr>
        <w:spacing w:after="0" w:line="188" w:lineRule="exact"/>
        <w:rPr>
          <w:rFonts w:ascii="Arial" w:cs="Arial" w:eastAsia="Arial" w:hAnsi="Arial"/>
          <w:sz w:val="18"/>
          <w:szCs w:val="18"/>
          <w:u w:val="single" w:color="auto"/>
          <w:color w:val="0000EE"/>
        </w:rPr>
      </w:pPr>
    </w:p>
    <w:p>
      <w:pPr>
        <w:ind w:left="1140" w:right="2820" w:hanging="322"/>
        <w:spacing w:after="0" w:line="306" w:lineRule="auto"/>
        <w:tabs>
          <w:tab w:leader="none" w:pos="1140" w:val="left"/>
        </w:tabs>
        <w:numPr>
          <w:ilvl w:val="0"/>
          <w:numId w:val="1"/>
        </w:numPr>
        <w:rPr>
          <w:rFonts w:ascii="Arial" w:cs="Arial" w:eastAsia="Arial" w:hAnsi="Arial"/>
          <w:sz w:val="17"/>
          <w:szCs w:val="17"/>
          <w:u w:val="single" w:color="auto"/>
          <w:color w:val="0000EE"/>
        </w:rPr>
      </w:pPr>
      <w:r>
        <w:rPr>
          <w:rFonts w:ascii="Arial" w:cs="Arial" w:eastAsia="Arial" w:hAnsi="Arial"/>
          <w:sz w:val="17"/>
          <w:szCs w:val="17"/>
          <w:color w:val="auto"/>
        </w:rPr>
        <w:t xml:space="preserve">Product supplement no. 4-I dated April 15, 2016: </w:t>
      </w:r>
      <w:hyperlink r:id="rId9">
        <w:r>
          <w:rPr>
            <w:rFonts w:ascii="Arial" w:cs="Arial" w:eastAsia="Arial" w:hAnsi="Arial"/>
            <w:sz w:val="17"/>
            <w:szCs w:val="17"/>
            <w:u w:val="single" w:color="auto"/>
            <w:color w:val="0000EE"/>
          </w:rPr>
          <w:t>http://www.sec.gov/Archives/edgar/data/19617/000095010316012644/crt_dp64831-424b2.pdf</w:t>
        </w:r>
      </w:hyperlink>
    </w:p>
    <w:p>
      <w:pPr>
        <w:spacing w:after="0" w:line="108" w:lineRule="exact"/>
        <w:rPr>
          <w:rFonts w:ascii="Arial" w:cs="Arial" w:eastAsia="Arial" w:hAnsi="Arial"/>
          <w:sz w:val="17"/>
          <w:szCs w:val="17"/>
          <w:u w:val="single" w:color="auto"/>
          <w:color w:val="0000EE"/>
        </w:rPr>
      </w:pPr>
    </w:p>
    <w:p>
      <w:pPr>
        <w:ind w:left="1140" w:right="2820" w:hanging="322"/>
        <w:spacing w:after="0" w:line="322" w:lineRule="auto"/>
        <w:tabs>
          <w:tab w:leader="none" w:pos="1140" w:val="left"/>
        </w:tabs>
        <w:numPr>
          <w:ilvl w:val="0"/>
          <w:numId w:val="1"/>
        </w:numPr>
        <w:rPr>
          <w:rFonts w:ascii="Arial" w:cs="Arial" w:eastAsia="Arial" w:hAnsi="Arial"/>
          <w:sz w:val="17"/>
          <w:szCs w:val="17"/>
          <w:u w:val="single" w:color="auto"/>
          <w:color w:val="0000EE"/>
        </w:rPr>
      </w:pPr>
      <w:r>
        <w:rPr>
          <w:rFonts w:ascii="Arial" w:cs="Arial" w:eastAsia="Arial" w:hAnsi="Arial"/>
          <w:sz w:val="17"/>
          <w:szCs w:val="17"/>
          <w:color w:val="auto"/>
        </w:rPr>
        <w:t xml:space="preserve">Underlying supplement no. 1-I dated April 15, 2016: </w:t>
      </w:r>
      <w:hyperlink r:id="rId10">
        <w:r>
          <w:rPr>
            <w:rFonts w:ascii="Arial" w:cs="Arial" w:eastAsia="Arial" w:hAnsi="Arial"/>
            <w:sz w:val="17"/>
            <w:szCs w:val="17"/>
            <w:u w:val="single" w:color="auto"/>
            <w:color w:val="0000EE"/>
          </w:rPr>
          <w:t>http://www.sec.gov/Archives/edgar/data/19617/000095010316012649/crt-dp64909_424b2.pdf</w:t>
        </w:r>
      </w:hyperlink>
    </w:p>
    <w:p>
      <w:pPr>
        <w:spacing w:after="0" w:line="95" w:lineRule="exact"/>
        <w:rPr>
          <w:rFonts w:ascii="Arial" w:cs="Arial" w:eastAsia="Arial" w:hAnsi="Arial"/>
          <w:sz w:val="17"/>
          <w:szCs w:val="17"/>
          <w:u w:val="single" w:color="auto"/>
          <w:color w:val="0000EE"/>
        </w:rPr>
      </w:pPr>
    </w:p>
    <w:p>
      <w:pPr>
        <w:ind w:left="1140" w:right="2820" w:hanging="322"/>
        <w:spacing w:after="0" w:line="306" w:lineRule="auto"/>
        <w:tabs>
          <w:tab w:leader="none" w:pos="1140" w:val="left"/>
        </w:tabs>
        <w:numPr>
          <w:ilvl w:val="0"/>
          <w:numId w:val="1"/>
        </w:numPr>
        <w:rPr>
          <w:rFonts w:ascii="Arial" w:cs="Arial" w:eastAsia="Arial" w:hAnsi="Arial"/>
          <w:sz w:val="17"/>
          <w:szCs w:val="17"/>
          <w:u w:val="single" w:color="auto"/>
          <w:color w:val="0000EE"/>
        </w:rPr>
      </w:pPr>
      <w:r>
        <w:rPr>
          <w:rFonts w:ascii="Arial" w:cs="Arial" w:eastAsia="Arial" w:hAnsi="Arial"/>
          <w:sz w:val="17"/>
          <w:szCs w:val="17"/>
          <w:color w:val="auto"/>
        </w:rPr>
        <w:t xml:space="preserve">Prospectus supplement and prospectus, each dated April 15, 2016: </w:t>
      </w:r>
      <w:hyperlink r:id="rId11">
        <w:r>
          <w:rPr>
            <w:rFonts w:ascii="Arial" w:cs="Arial" w:eastAsia="Arial" w:hAnsi="Arial"/>
            <w:sz w:val="17"/>
            <w:szCs w:val="17"/>
            <w:u w:val="single" w:color="auto"/>
            <w:color w:val="0000EE"/>
          </w:rPr>
          <w:t>http://www.sec.gov/Archives/edgar/data/19617/000095010316012636/crt_dp64952-424b2.pdf</w:t>
        </w:r>
      </w:hyperlink>
    </w:p>
    <w:p>
      <w:pPr>
        <w:spacing w:after="0" w:line="108" w:lineRule="exact"/>
        <w:rPr>
          <w:rFonts w:ascii="Times New Roman" w:cs="Times New Roman" w:eastAsia="Times New Roman" w:hAnsi="Times New Roman"/>
          <w:sz w:val="17"/>
          <w:szCs w:val="17"/>
          <w:color w:val="auto"/>
        </w:rPr>
      </w:pPr>
    </w:p>
    <w:p>
      <w:pPr>
        <w:spacing w:after="0"/>
        <w:rPr>
          <w:sz w:val="20"/>
          <w:szCs w:val="20"/>
          <w:color w:val="auto"/>
        </w:rPr>
      </w:pPr>
      <w:r>
        <w:rPr>
          <w:rFonts w:ascii="Arial" w:cs="Arial" w:eastAsia="Arial" w:hAnsi="Arial"/>
          <w:sz w:val="18"/>
          <w:szCs w:val="18"/>
          <w:color w:val="auto"/>
        </w:rPr>
        <w:t>Our Central Index Key, or CIK, on the SEC website is 1665650, and JPMorgan Chase &amp; Co.’s CIK is 19617.</w:t>
      </w:r>
    </w:p>
    <w:p>
      <w:pPr>
        <w:spacing w:after="0" w:line="196" w:lineRule="exact"/>
        <w:rPr>
          <w:rFonts w:ascii="Times New Roman" w:cs="Times New Roman" w:eastAsia="Times New Roman" w:hAnsi="Times New Roman"/>
          <w:sz w:val="17"/>
          <w:szCs w:val="17"/>
          <w:color w:val="auto"/>
        </w:rPr>
      </w:pPr>
    </w:p>
    <w:p>
      <w:pPr>
        <w:ind w:right="740"/>
        <w:spacing w:after="0" w:line="261" w:lineRule="auto"/>
        <w:rPr>
          <w:sz w:val="20"/>
          <w:szCs w:val="20"/>
          <w:color w:val="auto"/>
        </w:rPr>
      </w:pPr>
      <w:r>
        <w:rPr>
          <w:rFonts w:ascii="Arial" w:cs="Arial" w:eastAsia="Arial" w:hAnsi="Arial"/>
          <w:sz w:val="18"/>
          <w:szCs w:val="18"/>
          <w:b w:val="1"/>
          <w:bCs w:val="1"/>
          <w:color w:val="auto"/>
        </w:rPr>
        <w:t>Investing in the notes involves a number of risks. See “Risk Factors” beginning on page PS-10 of the accompanying product supplement, “Risk Factors” beginning on page US-2 of the accompanying underlying supplement and “Selected Risk Considerations” beginning on page PS-3 of the pricing supplement.</w:t>
      </w:r>
    </w:p>
    <w:p>
      <w:pPr>
        <w:spacing w:after="0" w:line="137" w:lineRule="exact"/>
        <w:rPr>
          <w:rFonts w:ascii="Times New Roman" w:cs="Times New Roman" w:eastAsia="Times New Roman" w:hAnsi="Times New Roman"/>
          <w:sz w:val="17"/>
          <w:szCs w:val="17"/>
          <w:color w:val="auto"/>
        </w:rPr>
      </w:pPr>
    </w:p>
    <w:p>
      <w:pPr>
        <w:spacing w:after="0" w:line="255" w:lineRule="auto"/>
        <w:rPr>
          <w:sz w:val="20"/>
          <w:szCs w:val="20"/>
          <w:color w:val="auto"/>
        </w:rPr>
      </w:pPr>
      <w:r>
        <w:rPr>
          <w:rFonts w:ascii="Arial" w:cs="Arial" w:eastAsia="Arial" w:hAnsi="Arial"/>
          <w:sz w:val="18"/>
          <w:szCs w:val="18"/>
          <w:color w:val="auto"/>
        </w:rPr>
        <w:t>Neither the Securities and Exchange Commission (the “SEC”) nor any state securities commission has approved or disapproved of the notes or passed upon the accuracy or the adequacy of the pricing supplement or the accompanying product supplement, underlying supplement, prospectus supplement and prospectus. Any representation to the contrary is a criminal offense.</w:t>
      </w:r>
    </w:p>
    <w:p>
      <w:pPr>
        <w:spacing w:after="0" w:line="153" w:lineRule="exact"/>
        <w:rPr>
          <w:rFonts w:ascii="Times New Roman" w:cs="Times New Roman" w:eastAsia="Times New Roman" w:hAnsi="Times New Roman"/>
          <w:sz w:val="17"/>
          <w:szCs w:val="17"/>
          <w:color w:val="auto"/>
        </w:rPr>
      </w:pPr>
    </w:p>
    <w:p>
      <w:pPr>
        <w:ind w:right="100"/>
        <w:spacing w:after="0" w:line="274" w:lineRule="auto"/>
        <w:rPr>
          <w:sz w:val="20"/>
          <w:szCs w:val="20"/>
          <w:color w:val="auto"/>
        </w:rPr>
      </w:pPr>
      <w:r>
        <w:rPr>
          <w:rFonts w:ascii="Arial" w:cs="Arial" w:eastAsia="Arial" w:hAnsi="Arial"/>
          <w:sz w:val="18"/>
          <w:szCs w:val="18"/>
          <w:i w:val="1"/>
          <w:iCs w:val="1"/>
          <w:color w:val="auto"/>
        </w:rPr>
        <w:t>The notes are not bank deposits, are not insured by the Federal Deposit Insurance Corporation or any other governmental agency and are not obligations of, or guaranteed by, a bank.</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3324225</wp:posOffset>
            </wp:positionH>
            <wp:positionV relativeFrom="paragraph">
              <wp:posOffset>99060</wp:posOffset>
            </wp:positionV>
            <wp:extent cx="617220"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extLst>
                    </a:blip>
                    <a:srcRect/>
                    <a:stretch>
                      <a:fillRect/>
                    </a:stretch>
                  </pic:blipFill>
                  <pic:spPr bwMode="auto">
                    <a:xfrm>
                      <a:off x="0" y="0"/>
                      <a:ext cx="617220" cy="163195"/>
                    </a:xfrm>
                    <a:prstGeom prst="rect">
                      <a:avLst/>
                    </a:prstGeom>
                    <a:noFill/>
                  </pic:spPr>
                </pic:pic>
              </a:graphicData>
            </a:graphic>
          </wp:anchor>
        </w:drawing>
      </w:r>
    </w:p>
    <w:p>
      <w:pPr>
        <w:spacing w:after="0" w:line="200" w:lineRule="exact"/>
        <w:rPr>
          <w:rFonts w:ascii="Times New Roman" w:cs="Times New Roman" w:eastAsia="Times New Roman" w:hAnsi="Times New Roman"/>
          <w:sz w:val="17"/>
          <w:szCs w:val="17"/>
          <w:color w:val="auto"/>
        </w:rPr>
      </w:pPr>
    </w:p>
    <w:p>
      <w:pPr>
        <w:spacing w:after="0" w:line="372" w:lineRule="exact"/>
        <w:rPr>
          <w:rFonts w:ascii="Times New Roman" w:cs="Times New Roman" w:eastAsia="Times New Roman" w:hAnsi="Times New Roman"/>
          <w:sz w:val="17"/>
          <w:szCs w:val="17"/>
          <w:color w:val="auto"/>
        </w:rPr>
      </w:pPr>
    </w:p>
    <w:p>
      <w:pPr>
        <w:spacing w:after="0"/>
        <w:rPr>
          <w:sz w:val="20"/>
          <w:szCs w:val="20"/>
          <w:color w:val="auto"/>
        </w:rPr>
      </w:pPr>
      <w:r>
        <w:rPr>
          <w:rFonts w:ascii="Arial" w:cs="Arial" w:eastAsia="Arial" w:hAnsi="Arial"/>
          <w:sz w:val="18"/>
          <w:szCs w:val="18"/>
          <w:color w:val="auto"/>
        </w:rPr>
        <w:t>November 14, 2016</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2" Type="http://schemas.openxmlformats.org/officeDocument/2006/relationships/image" Target="media/image1.jpeg"/><Relationship Id="rId13" Type="http://schemas.openxmlformats.org/officeDocument/2006/relationships/image" Target="media/image2.png"/><Relationship Id="rId8" Type="http://schemas.openxmlformats.org/officeDocument/2006/relationships/hyperlink" Target="http://www.sec.gov/Archives/edgar/data/19617/000114036116085709/form424b2.htm" TargetMode="External"/><Relationship Id="rId9" Type="http://schemas.openxmlformats.org/officeDocument/2006/relationships/hyperlink" Target="http://www.sec.gov/Archives/edgar/data/19617/000095010316012644/crt_dp64831-424b2.pdf" TargetMode="External"/><Relationship Id="rId10" Type="http://schemas.openxmlformats.org/officeDocument/2006/relationships/hyperlink" Target="http://www.sec.gov/Archives/edgar/data/19617/000095010316012649/crt-dp64909_424b2.pdf" TargetMode="External"/><Relationship Id="rId11" Type="http://schemas.openxmlformats.org/officeDocument/2006/relationships/hyperlink" Target="http://www.sec.gov/Archives/edgar/data/19617/000095010316012636/crt_dp64952-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2019-12-16T11:28:01Z</dcterms:created>
  <dcterms:modified xsi:type="dcterms:W3CDTF">2019-12-16T11:28:01Z</dcterms:modified>
</cp:coreProperties>
</file>