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3"/>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295910</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2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331470</wp:posOffset>
            </wp:positionV>
            <wp:extent cx="300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Pursuant to Section 13 or 15(d)</w:t>
      </w:r>
    </w:p>
    <w:p>
      <w:pPr>
        <w:jc w:val="center"/>
        <w:ind w:right="-12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311150</wp:posOffset>
            </wp:positionV>
            <wp:extent cx="30003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23"/>
        <w:spacing w:after="0"/>
        <w:rPr>
          <w:sz w:val="20"/>
          <w:szCs w:val="20"/>
          <w:color w:val="auto"/>
        </w:rPr>
      </w:pPr>
      <w:r>
        <w:rPr>
          <w:rFonts w:ascii="Arial" w:cs="Arial" w:eastAsia="Arial" w:hAnsi="Arial"/>
          <w:sz w:val="43"/>
          <w:szCs w:val="43"/>
          <w:b w:val="1"/>
          <w:bCs w:val="1"/>
          <w:color w:val="auto"/>
        </w:rPr>
        <w:t>JPMorgan Chase &amp; Co.</w:t>
      </w:r>
    </w:p>
    <w:p>
      <w:pPr>
        <w:spacing w:after="0" w:line="50"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304800</wp:posOffset>
            </wp:positionV>
            <wp:extent cx="3000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3084" w:type="dxa"/>
        <w:tblCellMar>
          <w:top w:w="0" w:type="dxa"/>
          <w:left w:w="0" w:type="dxa"/>
          <w:bottom w:w="0" w:type="dxa"/>
          <w:right w:w="0" w:type="dxa"/>
        </w:tblCellMar>
      </w:tblPr>
      <w:tr>
        <w:trPr>
          <w:trHeight w:val="161"/>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Delaware</w:t>
            </w: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1-5805</w:t>
            </w: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13-2624428</w:t>
            </w:r>
          </w:p>
        </w:tc>
        <w:tc>
          <w:tcPr>
            <w:tcW w:w="0" w:type="dxa"/>
            <w:vAlign w:val="bottom"/>
          </w:tcPr>
          <w:p>
            <w:pPr>
              <w:spacing w:after="0"/>
              <w:rPr>
                <w:sz w:val="1"/>
                <w:szCs w:val="1"/>
                <w:color w:val="auto"/>
              </w:rPr>
            </w:pPr>
          </w:p>
        </w:tc>
      </w:tr>
      <w:tr>
        <w:trPr>
          <w:trHeight w:val="148"/>
        </w:trPr>
        <w:tc>
          <w:tcPr>
            <w:tcW w:w="18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(Commission File</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48"/>
        </w:trPr>
        <w:tc>
          <w:tcPr>
            <w:tcW w:w="18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w:t>
            </w:r>
          </w:p>
        </w:tc>
        <w:tc>
          <w:tcPr>
            <w:tcW w:w="1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Number)</w:t>
            </w:r>
          </w:p>
        </w:tc>
        <w:tc>
          <w:tcPr>
            <w:tcW w:w="13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149"/>
        </w:trPr>
        <w:tc>
          <w:tcPr>
            <w:tcW w:w="1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organization)</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383 Madison Avenue, New</w:t>
            </w:r>
          </w:p>
        </w:tc>
        <w:tc>
          <w:tcPr>
            <w:tcW w:w="1480" w:type="dxa"/>
            <w:vAlign w:val="bottom"/>
          </w:tcPr>
          <w:p>
            <w:pPr>
              <w:spacing w:after="0"/>
              <w:rPr>
                <w:sz w:val="24"/>
                <w:szCs w:val="24"/>
                <w:color w:val="auto"/>
              </w:rPr>
            </w:pPr>
          </w:p>
        </w:tc>
        <w:tc>
          <w:tcPr>
            <w:tcW w:w="13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10179</w:t>
            </w:r>
          </w:p>
        </w:tc>
        <w:tc>
          <w:tcPr>
            <w:tcW w:w="0" w:type="dxa"/>
            <w:vAlign w:val="bottom"/>
          </w:tcPr>
          <w:p>
            <w:pPr>
              <w:spacing w:after="0"/>
              <w:rPr>
                <w:sz w:val="1"/>
                <w:szCs w:val="1"/>
                <w:color w:val="auto"/>
              </w:rPr>
            </w:pPr>
          </w:p>
        </w:tc>
      </w:tr>
      <w:tr>
        <w:trPr>
          <w:trHeight w:val="186"/>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York, New York</w:t>
            </w:r>
          </w:p>
        </w:tc>
        <w:tc>
          <w:tcPr>
            <w:tcW w:w="14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(Address of principal</w:t>
            </w:r>
          </w:p>
        </w:tc>
        <w:tc>
          <w:tcPr>
            <w:tcW w:w="1480" w:type="dxa"/>
            <w:vAlign w:val="bottom"/>
          </w:tcPr>
          <w:p>
            <w:pPr>
              <w:spacing w:after="0"/>
              <w:rPr>
                <w:sz w:val="19"/>
                <w:szCs w:val="19"/>
                <w:color w:val="auto"/>
              </w:rPr>
            </w:pPr>
          </w:p>
        </w:tc>
        <w:tc>
          <w:tcPr>
            <w:tcW w:w="1340" w:type="dxa"/>
            <w:vAlign w:val="bottom"/>
          </w:tcPr>
          <w:p>
            <w:pPr>
              <w:jc w:val="center"/>
              <w:ind w:left="1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86"/>
        </w:trPr>
        <w:tc>
          <w:tcPr>
            <w:tcW w:w="180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executive offices)</w:t>
            </w: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240030</wp:posOffset>
            </wp:positionV>
            <wp:extent cx="3000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4"/>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Soliciting material pursuant to Rule 14a-12 under the Exchange Act (17 CFR 240.14a-12)</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Pre-commencement communications pursuant to Rule 14d-2(b) under the Exchange Act (17 CFR 240.14d-2(b))</w:t>
      </w:r>
    </w:p>
    <w:p>
      <w:pPr>
        <w:spacing w:after="0" w:line="257"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Pre-commencement communications pursuant to Rule 13e-4(c) under the Exchange Act (17 CFR 240.13e-4(c))</w:t>
      </w:r>
    </w:p>
    <w:p>
      <w:pPr>
        <w:spacing w:after="0" w:line="23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4" w:lineRule="exact"/>
        <w:rPr>
          <w:sz w:val="24"/>
          <w:szCs w:val="24"/>
          <w:color w:val="auto"/>
        </w:rPr>
      </w:pPr>
    </w:p>
    <w:tbl>
      <w:tblPr>
        <w:tblLayout w:type="fixed"/>
        <w:tblInd w:w="64"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w w:val="87"/>
              </w:rPr>
              <w:t>Title of each class</w:t>
            </w: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Trading Symbol(s)</w:t>
            </w:r>
          </w:p>
        </w:tc>
        <w:tc>
          <w:tcPr>
            <w:tcW w:w="2660" w:type="dxa"/>
            <w:vAlign w:val="bottom"/>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5"/>
        </w:trPr>
        <w:tc>
          <w:tcPr>
            <w:tcW w:w="10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Common stock</w:t>
            </w: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JPM</w:t>
            </w:r>
          </w:p>
        </w:tc>
        <w:tc>
          <w:tcPr>
            <w:tcW w:w="72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5.75%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D</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DD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6.00%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C</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EE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4.75%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J</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GG</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4.55%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K</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JJ</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3"/>
              </w:rPr>
              <w:t>Depositary Shares, each representing a one-four hundredth interest in a share of 4.625%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L</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LL</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4"/>
              </w:rPr>
              <w:t>Depositary Shares, each representing a one-four hundredth interest in a share of 4.20% Non-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 PR M</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Cumulative Preferred Stock, Series MM</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Alerian MLP Index ETNs due May 24, 2024</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AMJ</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NYSE Arca, Inc.</w:t>
            </w:r>
          </w:p>
        </w:tc>
      </w:tr>
      <w:tr>
        <w:trPr>
          <w:trHeight w:val="178"/>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Guarantee of Callable Fixed Rate Notes due June 10, 2032 of JPMorgan</w:t>
            </w:r>
          </w:p>
        </w:tc>
        <w:tc>
          <w:tcPr>
            <w:tcW w:w="1980" w:type="dxa"/>
            <w:vAlign w:val="bottom"/>
            <w:gridSpan w:val="3"/>
          </w:tcPr>
          <w:p>
            <w:pPr>
              <w:ind w:left="120"/>
              <w:spacing w:after="0"/>
              <w:rPr>
                <w:sz w:val="20"/>
                <w:szCs w:val="20"/>
                <w:color w:val="auto"/>
              </w:rPr>
            </w:pPr>
            <w:r>
              <w:rPr>
                <w:rFonts w:ascii="Arial" w:cs="Arial" w:eastAsia="Arial" w:hAnsi="Arial"/>
                <w:sz w:val="14"/>
                <w:szCs w:val="14"/>
                <w:b w:val="1"/>
                <w:bCs w:val="1"/>
                <w:color w:val="auto"/>
              </w:rPr>
              <w:t>JPM/32</w:t>
            </w:r>
          </w:p>
        </w:tc>
        <w:tc>
          <w:tcPr>
            <w:tcW w:w="2660" w:type="dxa"/>
            <w:vAlign w:val="bottom"/>
          </w:tcPr>
          <w:p>
            <w:pPr>
              <w:spacing w:after="0"/>
              <w:rPr>
                <w:sz w:val="20"/>
                <w:szCs w:val="20"/>
                <w:color w:val="auto"/>
              </w:rPr>
            </w:pPr>
            <w:r>
              <w:rPr>
                <w:rFonts w:ascii="Arial" w:cs="Arial" w:eastAsia="Arial" w:hAnsi="Arial"/>
                <w:sz w:val="14"/>
                <w:szCs w:val="14"/>
                <w:b w:val="1"/>
                <w:bCs w:val="1"/>
                <w:color w:val="auto"/>
              </w:rPr>
              <w:t>The New York Stock Exchange</w:t>
            </w:r>
          </w:p>
        </w:tc>
      </w:tr>
      <w:tr>
        <w:trPr>
          <w:trHeight w:val="186"/>
        </w:trPr>
        <w:tc>
          <w:tcPr>
            <w:tcW w:w="5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Chase Financial Company LLC</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r>
    </w:tbl>
    <w:p>
      <w:pPr>
        <w:spacing w:after="0" w:line="74" w:lineRule="exact"/>
        <w:rPr>
          <w:sz w:val="24"/>
          <w:szCs w:val="24"/>
          <w:color w:val="auto"/>
        </w:rPr>
      </w:pPr>
    </w:p>
    <w:p>
      <w:pPr>
        <w:ind w:left="4"/>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left="4"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0884"/>
          </w:cols>
          <w:pgMar w:left="436" w:top="225" w:right="579" w:bottom="1440" w:gutter="0" w:footer="0" w:header="0"/>
        </w:sectPr>
      </w:pPr>
    </w:p>
    <w:bookmarkStart w:id="1" w:name="page2"/>
    <w:bookmarkEnd w:id="1"/>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JPMorgan Chase &amp; Co. (“JPMorgan Chase” or the “Firm”) announced today that J.P. Morgan Securities LLC (“JPMS”), its wholly-owned subsidiary, has entered into resolutions with the U.S. Securities and Exchange Commission (“SEC”) and the U.S. Commodity Futures Trading Commission (“CFTC”) to resolve their respective civil investigations of JPMS’s compliance with records preservation requirements applicable to broker-dealer firms, swap dealers and futures commission merchants. The SEC and CFTC found that JPMS did not maintain copies of certain communications required to be maintained under their respective record keeping rules, where such communications were sent or received by employees over electronic messaging channels that had not been approved for employee use by JPMS. The CFTC resolution also includes JPMorgan Chase Bank, N.A. (the “Bank”) and J.P. Morgan Securities plc (“JPMS plc”) as swap dealers. The SEC and CFTC also found related supervision failures.</w:t>
      </w:r>
    </w:p>
    <w:p>
      <w:pPr>
        <w:spacing w:after="0" w:line="166"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Under these resolutions, JPMS will pay a $125 million civil monetary penalty to the SEC, and JPMS, the Bank and JPMS plc will pay a total $75 million civil monetary penalty to the CFTC. The agreements entered into with the SEC and CFTC in connection with these resolutions can be viewed on their respective websites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www.cftc.gov</w:t>
      </w:r>
      <w:r>
        <w:rPr>
          <w:rFonts w:ascii="Arial" w:cs="Arial" w:eastAsia="Arial" w:hAnsi="Arial"/>
          <w:sz w:val="18"/>
          <w:szCs w:val="18"/>
          <w:color w:val="auto"/>
        </w:rPr>
        <w:t>.</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84" w:hanging="684"/>
        <w:spacing w:after="0"/>
        <w:tabs>
          <w:tab w:leader="none" w:pos="684"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406 of Regulation S-T, the cover page is formatted in Inline XBRL (Inline eXtensible Business Reporting Language).</w:t>
      </w:r>
    </w:p>
    <w:p>
      <w:pPr>
        <w:spacing w:after="0" w:line="128" w:lineRule="exact"/>
        <w:rPr>
          <w:rFonts w:ascii="Arial" w:cs="Arial" w:eastAsia="Arial" w:hAnsi="Arial"/>
          <w:sz w:val="17"/>
          <w:szCs w:val="17"/>
          <w:color w:val="auto"/>
        </w:rPr>
      </w:pPr>
    </w:p>
    <w:p>
      <w:pPr>
        <w:ind w:left="684" w:hanging="684"/>
        <w:spacing w:after="0"/>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ectPr>
          <w:pgSz w:w="11900" w:h="16838" w:orient="portrait"/>
          <w:cols w:equalWidth="0" w:num="1">
            <w:col w:w="11004"/>
          </w:cols>
          <w:pgMar w:left="436" w:top="297"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&amp; 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A.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Jordan A. Costa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17, 2021</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2021-12-17T07:58:05Z</dcterms:created>
  <dcterms:modified xsi:type="dcterms:W3CDTF">2021-12-17T07:58:05Z</dcterms:modified>
</cp:coreProperties>
</file>