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 Russell 2000 ®   Index and S&amp;P 500 ®   Index  Pricing Date:   October 16, 2026  Final Review Date:   September 18, 2028  Maturity Date:   September 21, 2028  Review Dates:   Monthly  Contingent Interest Rate:   [11.00%-13.00%]* per annum, paid monthly at a rate of between 0.91667% and 1.08333%*, if applicable  Interest Barrier/Trigger Value :   With respect to each Underlying, an amount that represents 70.00% of its Initial Value  CUSIP:   46661PJ32  Preliminary Pricing Supplement:   http://sp.jpmorgan.com/document/cusip/46661PJ32/doctype/Product_Termsheet/document.pdf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11.00% per annum Contingent Interest Rate)  60.00%   $1,009.1667  40.00%   $1,009.1667  20.00%   $1,009.1667  5.00%   $1,009.1667  0.00%   $1,009.1667  -5.00%   $1,009.1667  -20.00%   $1,009.1667  -30.00%   $1,009.1667  -30.01%   $699.9000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between $9.1667 and $10.8333 (equivalent to a Contingent Interest Rate of between 11.00% and 13.00% per annum, payable at a rate of between 0.91667% and 1.08333%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   The notes are subject to the risks associated with small capitalization stocks with respect to the Russell 2000 ®   Index.  ●   The notes are subject to risks associated with the technology sector with respect to the Nasdaq-100 ®  Technology Sector Index SM .  ●   The notes are subject to risks associated with non-U.S. securities with respect to the Nasdaq-100 ®  Technology Sector Index SM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1606</Words>
  <Characters>8404</Characters>
  <CharactersWithSpaces>10214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