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18395dfwp.htm"/>
      <w:bookmarkStart w:id="1" w:name="ksd18395dfwp"/>
      <w:bookmarkEnd w:id="0"/>
      <w:bookmarkEnd w:id="1"/>
      <w:r>
        <w:rPr/>
        <w:drawing>
          <wp:inline distT="0" distB="0" distL="0" distR="0">
            <wp:extent cx="22383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31432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333-285537 </w:t>
      </w:r>
    </w:p>
    <w:p>
      <w:pPr>
        <w:pStyle w:val="TextBody"/>
        <w:bidi w:val="0"/>
        <w:spacing w:before="0" w:after="0"/>
        <w:jc w:val="right"/>
        <w:rPr>
          <w:rFonts w:ascii="Times New Roman" w:hAnsi="Times New Roman"/>
          <w:sz w:val="20"/>
        </w:rPr>
      </w:pPr>
      <w:r>
        <w:rPr>
          <w:rFonts w:ascii="Times New Roman" w:hAnsi="Times New Roman"/>
          <w:sz w:val="20"/>
        </w:rPr>
        <w:t xml:space="preserve">Dated: October 13, 2026 </w:t>
      </w:r>
    </w:p>
    <w:p>
      <w:pPr>
        <w:pStyle w:val="TextBody"/>
        <w:bidi w:val="0"/>
        <w:spacing w:before="48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240" w:after="0"/>
        <w:jc w:val="left"/>
        <w:rPr>
          <w:rFonts w:ascii="Times New Roman" w:hAnsi="Times New Roman"/>
          <w:sz w:val="20"/>
        </w:rPr>
      </w:pPr>
      <w:r>
        <w:rPr>
          <w:rFonts w:ascii="Times New Roman" w:hAnsi="Times New Roman"/>
          <w:sz w:val="20"/>
        </w:rPr>
        <w:t xml:space="preserve">This term sheet supplements the information set forth under “Description of the Notes” in the Prospectus Supplement, subject to completion, dated October 13, 2026 to the Prospectus dated April 10, 2025 (the “Preliminary Prospectus Supplement”).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02"/>
        <w:gridCol w:w="120"/>
        <w:gridCol w:w="4774"/>
      </w:tblGrid>
      <w:tr>
        <w:trPr/>
        <w:tc>
          <w:tcPr>
            <w:tcW w:w="49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4" w:type="dxa"/>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JPMorgan Chase &amp; Co.</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Security Type:</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SEC Registered Senior Notes</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Security: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Fixed-to-Floating Rate Notes due 2030</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Currency: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USD</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Size:</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$2,900,000,000</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October 20, 2030</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Fixed Rate Period: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From and including October 20, 2026 to, but excluding, October 20, 2029</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Floating Rate Period: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From and including October 20, 2029 to, but excluding, Maturity</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Payment Frequency: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Semi-annual during the Fixed Rate Period and quarterly during the Floating Rate Period</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Day Count Fraction:</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30/360 during the Fixed Rate Period, Actual/360 during the Floating Rate Period</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4.875% due October 15, 2029</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Benchmark Treasury Yield: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4.915%</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+70 basis points</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Reoffer Yield: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5.615%</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27"/>
        <w:gridCol w:w="121"/>
        <w:gridCol w:w="4748"/>
      </w:tblGrid>
      <w:tr>
        <w:trPr/>
        <w:tc>
          <w:tcPr>
            <w:tcW w:w="492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48" w:type="dxa"/>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Fixed Rate Coupon: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5.615%, payable semiannually in arrears during the Fixed Rate Period.</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Floating Rate Coupon: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An annual floating rate equal to the Floating Rate Index plus a spread of 0.870% per annum, payable quarterly in arrears during the Floating Rate Period.</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Floating Rate Index:</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Benchmark rate (expected to be Compounded SOFR as described under “Description of the Notes—Interest on the notes” in the Preliminary Prospectus Supplement).</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Floating Rate Reset Frequency:</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Quarterly during the Floating Rate Period</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Price to Public:</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100% of face amount</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Proceeds (Before Expenses) to Issuer:</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$2,892,750,000</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During the Fixed Rate Period, each April 20 and October 20, beginning April 20, 2027 and including October 20, 2029, and during the Floating Rate Period, each of January 20, 2030, April 20, 2030, July 20, 2030 and October 20, 2030.</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Business Day:</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New York</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Business Day Convention: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During the Fixed Rate Period, following business day. During the Floating Rate Period, modified following business day.</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Optional Redemption: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We may redeem the notes, at our option, in whole at any time or in part from time to time, on or after April 20, 2027 and prior to October 20, 2029 upon at least 5 days’ but no more than 60 days’ notice to holders of the notes, at a redemption price equal to the greater of: (i) (a) the sum of the present values of the remaining scheduled payments of</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834"/>
        <w:gridCol w:w="122"/>
        <w:gridCol w:w="4840"/>
      </w:tblGrid>
      <w:tr>
        <w:trPr/>
        <w:tc>
          <w:tcPr>
            <w:tcW w:w="48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48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principal and interest on the notes to be redeemed discounted to the redemption date (assuming the notes matured on October 20, 2029) on a semi-annual basis (assuming a 360-day year consisting of twelve 30-day months) at the “Treasury Rate” plus 12.5 basis points less (b) interest accrued on those notes to the redemption date; and (ii) 100% of the principal amount of the notes to be redeemed; plus, in either case, accrued and unpaid interest on the notes to be redeemed to, but excluding, the redemption date.</w:t>
            </w:r>
          </w:p>
        </w:tc>
      </w:tr>
      <w:tr>
        <w:trPr>
          <w:trHeight w:val="120" w:hRule="atLeast"/>
        </w:trPr>
        <w:tc>
          <w:tcPr>
            <w:tcW w:w="4834" w:type="dxa"/>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r>
      <w:tr>
        <w:trPr/>
        <w:tc>
          <w:tcPr>
            <w:tcW w:w="48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In addition, we may redeem the notes, at our option, in whole, but not in part, on October 20, 2029 upon at least 5 days’ but no more than 60 days’ notice to holders of the notes, at a redemption price equal to 100% of the principal amount of the notes to be redeemed plus accrued and unpaid interest thereon to, but excluding, the redemption date.</w:t>
            </w:r>
          </w:p>
        </w:tc>
      </w:tr>
      <w:tr>
        <w:trPr>
          <w:trHeight w:val="120" w:hRule="atLeast"/>
        </w:trPr>
        <w:tc>
          <w:tcPr>
            <w:tcW w:w="4834" w:type="dxa"/>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r>
      <w:tr>
        <w:trPr/>
        <w:tc>
          <w:tcPr>
            <w:tcW w:w="48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In addition, we may redeem the notes, at our option, in whole at any time or in part from time to time, on or after September 20, 2030 upon at least 5 days’ but no more than 60 days’ notice to holders of the notes, at a redemption price equal to 100% of the principal amount of the notes to be redeemed plus accrued and unpaid interest thereon to, but excluding, the redemption date.</w:t>
            </w:r>
          </w:p>
        </w:tc>
      </w:tr>
      <w:tr>
        <w:trPr>
          <w:trHeight w:val="120" w:hRule="atLeast"/>
        </w:trPr>
        <w:tc>
          <w:tcPr>
            <w:tcW w:w="4834" w:type="dxa"/>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r>
      <w:tr>
        <w:trPr/>
        <w:tc>
          <w:tcPr>
            <w:tcW w:w="48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The foregoing supplements and supersedes the information set forth under “Description of the Notes” in the Preliminary Prospectus Supplement.</w:t>
            </w:r>
          </w:p>
        </w:tc>
      </w:tr>
      <w:tr>
        <w:trPr>
          <w:trHeight w:val="120" w:hRule="atLeast"/>
        </w:trPr>
        <w:tc>
          <w:tcPr>
            <w:tcW w:w="4834" w:type="dxa"/>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r>
      <w:tr>
        <w:trPr/>
        <w:tc>
          <w:tcPr>
            <w:tcW w:w="4834" w:type="dxa"/>
            <w:tcBorders/>
          </w:tcPr>
          <w:p>
            <w:pPr>
              <w:pStyle w:val="TableContents"/>
              <w:bidi w:val="0"/>
              <w:spacing w:before="0" w:after="283"/>
              <w:jc w:val="left"/>
              <w:rPr/>
            </w:pPr>
            <w:r>
              <w:rPr/>
              <w:t>CUSIP/ISIN:</w:t>
            </w:r>
          </w:p>
        </w:tc>
        <w:tc>
          <w:tcPr>
            <w:tcW w:w="122"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48128BAY7 / US48128BAY74</w:t>
            </w:r>
          </w:p>
        </w:tc>
      </w:tr>
      <w:tr>
        <w:trPr>
          <w:trHeight w:val="120" w:hRule="atLeast"/>
        </w:trPr>
        <w:tc>
          <w:tcPr>
            <w:tcW w:w="4834" w:type="dxa"/>
            <w:tcBorders/>
            <w:vAlign w:val="center"/>
          </w:tcPr>
          <w:p>
            <w:pPr>
              <w:pStyle w:val="TableContents"/>
              <w:bidi w:val="0"/>
              <w:spacing w:before="0" w:after="283"/>
              <w:jc w:val="left"/>
              <w:rPr>
                <w:sz w:val="4"/>
                <w:szCs w:val="4"/>
              </w:rPr>
            </w:pPr>
            <w:r>
              <w:rPr>
                <w:sz w:val="4"/>
                <w:szCs w:val="4"/>
              </w:rPr>
            </w:r>
          </w:p>
        </w:tc>
        <w:tc>
          <w:tcPr>
            <w:tcW w:w="4962" w:type="dxa"/>
            <w:gridSpan w:val="2"/>
            <w:tcBorders/>
            <w:vAlign w:val="center"/>
          </w:tcPr>
          <w:p>
            <w:pPr>
              <w:pStyle w:val="TableContents"/>
              <w:bidi w:val="0"/>
              <w:spacing w:before="0" w:after="283"/>
              <w:jc w:val="left"/>
              <w:rPr>
                <w:sz w:val="4"/>
                <w:szCs w:val="4"/>
              </w:rPr>
            </w:pPr>
            <w:r>
              <w:rPr>
                <w:sz w:val="4"/>
                <w:szCs w:val="4"/>
              </w:rPr>
            </w:r>
          </w:p>
        </w:tc>
      </w:tr>
      <w:tr>
        <w:trPr/>
        <w:tc>
          <w:tcPr>
            <w:tcW w:w="4834"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left"/>
              <w:rPr/>
            </w:pPr>
            <w:r>
              <w:rPr/>
              <w:t>October 13, 2026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22"/>
        <w:gridCol w:w="122"/>
        <w:gridCol w:w="4752"/>
      </w:tblGrid>
      <w:tr>
        <w:trPr/>
        <w:tc>
          <w:tcPr>
            <w:tcW w:w="492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52" w:type="dxa"/>
            <w:tcBorders/>
            <w:vAlign w:val="center"/>
          </w:tcPr>
          <w:p>
            <w:pPr>
              <w:pStyle w:val="TableContents"/>
              <w:bidi w:val="0"/>
              <w:spacing w:before="0" w:after="283"/>
              <w:jc w:val="left"/>
              <w:rPr>
                <w:sz w:val="4"/>
                <w:szCs w:val="4"/>
              </w:rPr>
            </w:pPr>
            <w:r>
              <w:rPr>
                <w:sz w:val="4"/>
                <w:szCs w:val="4"/>
              </w:rPr>
            </w:r>
          </w:p>
        </w:tc>
      </w:tr>
      <w:tr>
        <w:trPr/>
        <w:tc>
          <w:tcPr>
            <w:tcW w:w="4922"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pPr>
            <w:r>
              <w:rPr/>
              <w:t>October 20, 2026 (T+5)</w:t>
            </w:r>
          </w:p>
        </w:tc>
      </w:tr>
      <w:tr>
        <w:trPr>
          <w:trHeight w:val="120" w:hRule="atLeast"/>
        </w:trPr>
        <w:tc>
          <w:tcPr>
            <w:tcW w:w="4922" w:type="dxa"/>
            <w:tcBorders/>
            <w:vAlign w:val="center"/>
          </w:tcPr>
          <w:p>
            <w:pPr>
              <w:pStyle w:val="TableContents"/>
              <w:bidi w:val="0"/>
              <w:spacing w:before="0" w:after="283"/>
              <w:jc w:val="left"/>
              <w:rPr>
                <w:sz w:val="4"/>
                <w:szCs w:val="4"/>
              </w:rPr>
            </w:pPr>
            <w:r>
              <w:rPr>
                <w:sz w:val="4"/>
                <w:szCs w:val="4"/>
              </w:rPr>
            </w:r>
          </w:p>
        </w:tc>
        <w:tc>
          <w:tcPr>
            <w:tcW w:w="4874" w:type="dxa"/>
            <w:gridSpan w:val="2"/>
            <w:tcBorders/>
            <w:vAlign w:val="center"/>
          </w:tcPr>
          <w:p>
            <w:pPr>
              <w:pStyle w:val="TableContents"/>
              <w:bidi w:val="0"/>
              <w:spacing w:before="0" w:after="283"/>
              <w:jc w:val="left"/>
              <w:rPr>
                <w:sz w:val="4"/>
                <w:szCs w:val="4"/>
              </w:rPr>
            </w:pPr>
            <w:r>
              <w:rPr>
                <w:sz w:val="4"/>
                <w:szCs w:val="4"/>
              </w:rPr>
            </w:r>
          </w:p>
        </w:tc>
      </w:tr>
      <w:tr>
        <w:trPr/>
        <w:tc>
          <w:tcPr>
            <w:tcW w:w="4922" w:type="dxa"/>
            <w:tcBorders/>
          </w:tcPr>
          <w:p>
            <w:pPr>
              <w:pStyle w:val="TableContents"/>
              <w:bidi w:val="0"/>
              <w:spacing w:before="0" w:after="283"/>
              <w:jc w:val="left"/>
              <w:rPr/>
            </w:pPr>
            <w:r>
              <w:rPr/>
              <w:t>Denominations:</w:t>
            </w:r>
          </w:p>
        </w:tc>
        <w:tc>
          <w:tcPr>
            <w:tcW w:w="122"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pPr>
            <w:r>
              <w:rPr/>
              <w:t>$2,000 x $1,000</w:t>
            </w:r>
          </w:p>
        </w:tc>
      </w:tr>
      <w:tr>
        <w:trPr>
          <w:trHeight w:val="120" w:hRule="atLeast"/>
        </w:trPr>
        <w:tc>
          <w:tcPr>
            <w:tcW w:w="4922" w:type="dxa"/>
            <w:tcBorders/>
            <w:vAlign w:val="center"/>
          </w:tcPr>
          <w:p>
            <w:pPr>
              <w:pStyle w:val="TableContents"/>
              <w:bidi w:val="0"/>
              <w:spacing w:before="0" w:after="283"/>
              <w:jc w:val="left"/>
              <w:rPr>
                <w:sz w:val="4"/>
                <w:szCs w:val="4"/>
              </w:rPr>
            </w:pPr>
            <w:r>
              <w:rPr>
                <w:sz w:val="4"/>
                <w:szCs w:val="4"/>
              </w:rPr>
            </w:r>
          </w:p>
        </w:tc>
        <w:tc>
          <w:tcPr>
            <w:tcW w:w="4874" w:type="dxa"/>
            <w:gridSpan w:val="2"/>
            <w:tcBorders/>
            <w:vAlign w:val="center"/>
          </w:tcPr>
          <w:p>
            <w:pPr>
              <w:pStyle w:val="TableContents"/>
              <w:bidi w:val="0"/>
              <w:spacing w:before="0" w:after="283"/>
              <w:jc w:val="left"/>
              <w:rPr>
                <w:sz w:val="4"/>
                <w:szCs w:val="4"/>
              </w:rPr>
            </w:pPr>
            <w:r>
              <w:rPr>
                <w:sz w:val="4"/>
                <w:szCs w:val="4"/>
              </w:rPr>
            </w:r>
          </w:p>
        </w:tc>
      </w:tr>
      <w:tr>
        <w:trPr/>
        <w:tc>
          <w:tcPr>
            <w:tcW w:w="4922" w:type="dxa"/>
            <w:tcBorders/>
          </w:tcPr>
          <w:p>
            <w:pPr>
              <w:pStyle w:val="TableContents"/>
              <w:bidi w:val="0"/>
              <w:spacing w:before="0" w:after="283"/>
              <w:jc w:val="left"/>
              <w:rPr/>
            </w:pPr>
            <w:r>
              <w:rPr/>
              <w:t>Concurrent Issuance:</w:t>
            </w:r>
          </w:p>
        </w:tc>
        <w:tc>
          <w:tcPr>
            <w:tcW w:w="122"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pPr>
            <w:r>
              <w:rPr/>
              <w:t>In addition to the notes described in this term sheet, JPMorgan Chase &amp; Co. is concurrently offering $350,000,000 of floating rate notes due 2030 and $3,750,000,000 of fixed-to-floating rate notes due 2037. The consummation of each of these offerings is not contingent on any other offering.</w:t>
            </w:r>
          </w:p>
        </w:tc>
      </w:tr>
      <w:tr>
        <w:trPr>
          <w:trHeight w:val="120" w:hRule="atLeast"/>
        </w:trPr>
        <w:tc>
          <w:tcPr>
            <w:tcW w:w="4922" w:type="dxa"/>
            <w:tcBorders/>
            <w:vAlign w:val="center"/>
          </w:tcPr>
          <w:p>
            <w:pPr>
              <w:pStyle w:val="TableContents"/>
              <w:bidi w:val="0"/>
              <w:spacing w:before="0" w:after="283"/>
              <w:jc w:val="left"/>
              <w:rPr>
                <w:sz w:val="4"/>
                <w:szCs w:val="4"/>
              </w:rPr>
            </w:pPr>
            <w:r>
              <w:rPr>
                <w:sz w:val="4"/>
                <w:szCs w:val="4"/>
              </w:rPr>
            </w:r>
          </w:p>
        </w:tc>
        <w:tc>
          <w:tcPr>
            <w:tcW w:w="4874" w:type="dxa"/>
            <w:gridSpan w:val="2"/>
            <w:tcBorders/>
            <w:vAlign w:val="center"/>
          </w:tcPr>
          <w:p>
            <w:pPr>
              <w:pStyle w:val="TableContents"/>
              <w:bidi w:val="0"/>
              <w:spacing w:before="0" w:after="283"/>
              <w:jc w:val="left"/>
              <w:rPr>
                <w:sz w:val="4"/>
                <w:szCs w:val="4"/>
              </w:rPr>
            </w:pPr>
            <w:r>
              <w:rPr>
                <w:sz w:val="4"/>
                <w:szCs w:val="4"/>
              </w:rPr>
            </w:r>
          </w:p>
        </w:tc>
      </w:tr>
      <w:tr>
        <w:trPr/>
        <w:tc>
          <w:tcPr>
            <w:tcW w:w="4922" w:type="dxa"/>
            <w:tcBorders/>
          </w:tcPr>
          <w:p>
            <w:pPr>
              <w:pStyle w:val="TableContents"/>
              <w:bidi w:val="0"/>
              <w:spacing w:before="0" w:after="283"/>
              <w:jc w:val="left"/>
              <w:rPr/>
            </w:pPr>
            <w:r>
              <w:rPr/>
              <w:t>Sole Bookrunner:</w:t>
            </w:r>
          </w:p>
        </w:tc>
        <w:tc>
          <w:tcPr>
            <w:tcW w:w="122"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pPr>
            <w:r>
              <w:rPr/>
              <w:t>J.P. Morgan Securities LLC</w:t>
            </w:r>
          </w:p>
        </w:tc>
      </w:tr>
      <w:tr>
        <w:trPr>
          <w:trHeight w:val="120" w:hRule="atLeast"/>
        </w:trPr>
        <w:tc>
          <w:tcPr>
            <w:tcW w:w="4922" w:type="dxa"/>
            <w:tcBorders/>
            <w:vAlign w:val="center"/>
          </w:tcPr>
          <w:p>
            <w:pPr>
              <w:pStyle w:val="TableContents"/>
              <w:bidi w:val="0"/>
              <w:spacing w:before="0" w:after="283"/>
              <w:jc w:val="left"/>
              <w:rPr>
                <w:sz w:val="4"/>
                <w:szCs w:val="4"/>
              </w:rPr>
            </w:pPr>
            <w:r>
              <w:rPr>
                <w:sz w:val="4"/>
                <w:szCs w:val="4"/>
              </w:rPr>
            </w:r>
          </w:p>
        </w:tc>
        <w:tc>
          <w:tcPr>
            <w:tcW w:w="4874" w:type="dxa"/>
            <w:gridSpan w:val="2"/>
            <w:tcBorders/>
            <w:vAlign w:val="center"/>
          </w:tcPr>
          <w:p>
            <w:pPr>
              <w:pStyle w:val="TableContents"/>
              <w:bidi w:val="0"/>
              <w:spacing w:before="0" w:after="283"/>
              <w:jc w:val="left"/>
              <w:rPr>
                <w:sz w:val="4"/>
                <w:szCs w:val="4"/>
              </w:rPr>
            </w:pPr>
            <w:r>
              <w:rPr>
                <w:sz w:val="4"/>
                <w:szCs w:val="4"/>
              </w:rPr>
            </w:r>
          </w:p>
        </w:tc>
      </w:tr>
      <w:tr>
        <w:trPr/>
        <w:tc>
          <w:tcPr>
            <w:tcW w:w="4922" w:type="dxa"/>
            <w:tcBorders/>
          </w:tcPr>
          <w:p>
            <w:pPr>
              <w:pStyle w:val="TableContents"/>
              <w:bidi w:val="0"/>
              <w:spacing w:before="0" w:after="283"/>
              <w:jc w:val="left"/>
              <w:rPr/>
            </w:pPr>
            <w:r>
              <w:rPr/>
              <w:t>Co-Managers:</w:t>
            </w:r>
          </w:p>
        </w:tc>
        <w:tc>
          <w:tcPr>
            <w:tcW w:w="122"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CaixaBank, S.A.</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Commonwealth Bank of Australia</w:t>
            </w:r>
          </w:p>
          <w:p>
            <w:pPr>
              <w:pStyle w:val="TableContents"/>
              <w:bidi w:val="0"/>
              <w:spacing w:before="0" w:after="0"/>
              <w:jc w:val="left"/>
              <w:rPr>
                <w:rFonts w:ascii="Times New Roman" w:hAnsi="Times New Roman"/>
                <w:sz w:val="20"/>
              </w:rPr>
            </w:pPr>
            <w:r>
              <w:rPr>
                <w:rFonts w:ascii="Times New Roman" w:hAnsi="Times New Roman"/>
                <w:sz w:val="20"/>
              </w:rPr>
              <w:t>Desjardins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Goodbody Stockbrokers UC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0"/>
              <w:jc w:val="left"/>
              <w:rPr>
                <w:rFonts w:ascii="Times New Roman" w:hAnsi="Times New Roman"/>
                <w:sz w:val="20"/>
              </w:rPr>
            </w:pPr>
            <w:r>
              <w:rPr>
                <w:rFonts w:ascii="Times New Roman" w:hAnsi="Times New Roman"/>
                <w:sz w:val="20"/>
              </w:rPr>
              <w:t>Lloyds Securities Inc.</w:t>
            </w:r>
          </w:p>
          <w:p>
            <w:pPr>
              <w:pStyle w:val="TableContents"/>
              <w:bidi w:val="0"/>
              <w:spacing w:before="0" w:after="0"/>
              <w:jc w:val="left"/>
              <w:rPr>
                <w:rFonts w:ascii="Times New Roman" w:hAnsi="Times New Roman"/>
                <w:sz w:val="20"/>
              </w:rPr>
            </w:pPr>
            <w:r>
              <w:rPr>
                <w:rFonts w:ascii="Times New Roman" w:hAnsi="Times New Roman"/>
                <w:sz w:val="20"/>
              </w:rPr>
              <w:t>nabSecurities, LLC</w:t>
            </w:r>
          </w:p>
          <w:p>
            <w:pPr>
              <w:pStyle w:val="TableContents"/>
              <w:bidi w:val="0"/>
              <w:spacing w:before="0" w:after="0"/>
              <w:jc w:val="left"/>
              <w:rPr>
                <w:rFonts w:ascii="Times New Roman" w:hAnsi="Times New Roman"/>
                <w:sz w:val="20"/>
              </w:rPr>
            </w:pPr>
            <w:r>
              <w:rPr>
                <w:rFonts w:ascii="Times New Roman" w:hAnsi="Times New Roman"/>
                <w:sz w:val="20"/>
              </w:rPr>
              <w:t>National Bank of Canada Financial Inc.</w:t>
            </w:r>
          </w:p>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p>
            <w:pPr>
              <w:pStyle w:val="TableContents"/>
              <w:bidi w:val="0"/>
              <w:spacing w:before="0" w:after="0"/>
              <w:jc w:val="left"/>
              <w:rPr>
                <w:rFonts w:ascii="Times New Roman" w:hAnsi="Times New Roman"/>
                <w:sz w:val="20"/>
              </w:rPr>
            </w:pPr>
            <w:r>
              <w:rPr>
                <w:rFonts w:ascii="Times New Roman" w:hAnsi="Times New Roman"/>
                <w:sz w:val="20"/>
              </w:rPr>
              <w:t>Nykredit Bank A/S</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Rabo Securities USA, Inc.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UniCredit Capital Markets LLC</w:t>
            </w:r>
          </w:p>
          <w:p>
            <w:pPr>
              <w:pStyle w:val="TableContents"/>
              <w:bidi w:val="0"/>
              <w:spacing w:before="0" w:after="0"/>
              <w:jc w:val="left"/>
              <w:rPr>
                <w:rFonts w:ascii="Times New Roman" w:hAnsi="Times New Roman"/>
                <w:sz w:val="20"/>
              </w:rPr>
            </w:pPr>
            <w:r>
              <w:rPr>
                <w:rFonts w:ascii="Times New Roman" w:hAnsi="Times New Roman"/>
                <w:sz w:val="20"/>
              </w:rPr>
              <w:t>Westpac Capital Markets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American Veterans Group, PBC</w:t>
            </w:r>
          </w:p>
          <w:p>
            <w:pPr>
              <w:pStyle w:val="TableContents"/>
              <w:bidi w:val="0"/>
              <w:spacing w:before="0" w:after="0"/>
              <w:jc w:val="left"/>
              <w:rPr>
                <w:rFonts w:ascii="Times New Roman" w:hAnsi="Times New Roman"/>
                <w:sz w:val="20"/>
              </w:rPr>
            </w:pPr>
            <w:r>
              <w:rPr>
                <w:rFonts w:ascii="Times New Roman" w:hAnsi="Times New Roman"/>
                <w:sz w:val="20"/>
              </w:rPr>
              <w:t>Apto Partners, LLC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C.L. King &amp; Associates, Inc.</w:t>
            </w:r>
          </w:p>
          <w:p>
            <w:pPr>
              <w:pStyle w:val="TableContents"/>
              <w:bidi w:val="0"/>
              <w:spacing w:before="0" w:after="0"/>
              <w:jc w:val="left"/>
              <w:rPr>
                <w:rFonts w:ascii="Times New Roman" w:hAnsi="Times New Roman"/>
                <w:sz w:val="20"/>
              </w:rPr>
            </w:pPr>
            <w:r>
              <w:rPr>
                <w:rFonts w:ascii="Times New Roman" w:hAnsi="Times New Roman"/>
                <w:sz w:val="20"/>
              </w:rPr>
              <w:t>Cabrera Capital Markets LLC</w:t>
            </w:r>
          </w:p>
          <w:p>
            <w:pPr>
              <w:pStyle w:val="TableContents"/>
              <w:bidi w:val="0"/>
              <w:spacing w:before="0" w:after="0"/>
              <w:jc w:val="left"/>
              <w:rPr>
                <w:rFonts w:ascii="Times New Roman" w:hAnsi="Times New Roman"/>
                <w:sz w:val="20"/>
              </w:rPr>
            </w:pPr>
            <w:r>
              <w:rPr>
                <w:rFonts w:ascii="Times New Roman" w:hAnsi="Times New Roman"/>
                <w:sz w:val="20"/>
              </w:rPr>
              <w:t>CastleOak Securities, L.P.</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Falcon Square Capital LLC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20"/>
              <w:jc w:val="left"/>
              <w:rPr>
                <w:rFonts w:ascii="Times New Roman" w:hAnsi="Times New Roman"/>
                <w:sz w:val="20"/>
              </w:rPr>
            </w:pPr>
            <w:r>
              <w:rPr>
                <w:rFonts w:ascii="Times New Roman" w:hAnsi="Times New Roman"/>
                <w:sz w:val="20"/>
              </w:rPr>
              <w:t>Samuel A. Ramirez &amp; Company, Inc.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828"/>
        <w:gridCol w:w="123"/>
        <w:gridCol w:w="4845"/>
      </w:tblGrid>
      <w:tr>
        <w:trPr/>
        <w:tc>
          <w:tcPr>
            <w:tcW w:w="482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5" w:type="dxa"/>
            <w:tcBorders/>
            <w:vAlign w:val="center"/>
          </w:tcPr>
          <w:p>
            <w:pPr>
              <w:pStyle w:val="TableContents"/>
              <w:bidi w:val="0"/>
              <w:spacing w:before="0" w:after="283"/>
              <w:jc w:val="left"/>
              <w:rPr>
                <w:sz w:val="4"/>
                <w:szCs w:val="4"/>
              </w:rPr>
            </w:pPr>
            <w:r>
              <w:rPr>
                <w:sz w:val="4"/>
                <w:szCs w:val="4"/>
              </w:rPr>
            </w:r>
          </w:p>
        </w:tc>
      </w:tr>
      <w:tr>
        <w:trPr/>
        <w:tc>
          <w:tcPr>
            <w:tcW w:w="48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Stern Brothers &amp; Co.</w:t>
            </w:r>
          </w:p>
          <w:p>
            <w:pPr>
              <w:pStyle w:val="TableContents"/>
              <w:bidi w:val="0"/>
              <w:spacing w:before="0" w:after="0"/>
              <w:jc w:val="left"/>
              <w:rPr>
                <w:rFonts w:ascii="Times New Roman" w:hAnsi="Times New Roman"/>
                <w:sz w:val="20"/>
              </w:rPr>
            </w:pPr>
            <w:r>
              <w:rPr>
                <w:rFonts w:ascii="Times New Roman" w:hAnsi="Times New Roman"/>
                <w:sz w:val="20"/>
              </w:rPr>
              <w:t>Telsey Advisory Group LLC</w:t>
            </w:r>
          </w:p>
          <w:p>
            <w:pPr>
              <w:pStyle w:val="TableContents"/>
              <w:bidi w:val="0"/>
              <w:spacing w:before="0" w:after="20"/>
              <w:jc w:val="left"/>
              <w:rPr>
                <w:rFonts w:ascii="Times New Roman" w:hAnsi="Times New Roman"/>
                <w:sz w:val="20"/>
              </w:rPr>
            </w:pPr>
            <w:r>
              <w:rPr>
                <w:rFonts w:ascii="Times New Roman" w:hAnsi="Times New Roman"/>
                <w:sz w:val="20"/>
              </w:rPr>
              <w:t>Tigress Financial Partners,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 </w:t>
      </w:r>
    </w:p>
    <w:p>
      <w:pPr>
        <w:pStyle w:val="TextBody"/>
        <w:bidi w:val="0"/>
        <w:spacing w:before="240" w:after="0"/>
        <w:jc w:val="left"/>
        <w:rPr>
          <w:rFonts w:ascii="Times New Roman" w:hAnsi="Times New Roman"/>
          <w:sz w:val="20"/>
        </w:rPr>
      </w:pPr>
      <w:r>
        <w:rPr>
          <w:rFonts w:ascii="Times New Roman" w:hAnsi="Times New Roman"/>
          <w:sz w:val="20"/>
        </w:rPr>
        <w:t xml:space="preserve">Settlement Period: The closing will occur on October 20, 2026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 </w:t>
      </w:r>
    </w:p>
    <w:p>
      <w:pPr>
        <w:pStyle w:val="TextBody"/>
        <w:bidi w:val="0"/>
        <w:spacing w:before="240" w:after="0"/>
        <w:jc w:val="left"/>
        <w:rPr>
          <w:rFonts w:ascii="Times New Roman" w:hAnsi="Times New Roman"/>
          <w:sz w:val="20"/>
        </w:rPr>
      </w:pPr>
      <w:r>
        <w:rPr>
          <w:rFonts w:ascii="Times New Roman" w:hAnsi="Times New Roman"/>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1111</Words>
  <Characters>5835</Characters>
  <CharactersWithSpaces>6924</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