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333-293684 and 333-293684-01</w:t>
      </w:r>
    </w:p>
    <w:p>
      <w:pPr>
        <w:jc w:val="right"/>
        <w:spacing w:after="0" w:line="229" w:lineRule="auto"/>
        <w:rPr>
          <w:sz w:val="20"/>
          <w:szCs w:val="20"/>
          <w:color w:val="auto"/>
        </w:rPr>
      </w:pPr>
      <w:r>
        <w:rPr>
          <w:rFonts w:ascii="Arial" w:cs="Arial" w:eastAsia="Arial" w:hAnsi="Arial"/>
          <w:sz w:val="14"/>
          <w:szCs w:val="14"/>
          <w:color w:val="808080"/>
        </w:rPr>
        <w:t>Dated October 26, 2026</w:t>
      </w:r>
    </w:p>
    <w:p>
      <w:pPr>
        <w:spacing w:after="0" w:line="1" w:lineRule="exact"/>
        <w:rPr>
          <w:sz w:val="24"/>
          <w:szCs w:val="24"/>
          <w:color w:val="auto"/>
        </w:rPr>
      </w:pPr>
    </w:p>
    <w:p>
      <w:pPr>
        <w:ind w:right="500"/>
        <w:spacing w:after="0" w:line="248" w:lineRule="auto"/>
        <w:rPr>
          <w:sz w:val="20"/>
          <w:szCs w:val="20"/>
          <w:color w:val="auto"/>
        </w:rPr>
      </w:pPr>
      <w:r>
        <w:rPr>
          <w:rFonts w:ascii="Arial" w:cs="Arial" w:eastAsia="Arial" w:hAnsi="Arial"/>
          <w:sz w:val="29"/>
          <w:szCs w:val="29"/>
          <w:color w:val="296DC1"/>
        </w:rPr>
        <w:t>3-Year RTY/SPX/NDX Enhanced Jump Securities with Auto-Callable Feature with 1-Year Initial Non-Call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720"/>
        <w:spacing w:after="0" w:line="256"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2343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2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6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204"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42"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Underlying indices:</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00" w:right="340"/>
        <w:spacing w:after="0" w:line="294" w:lineRule="auto"/>
        <w:rPr>
          <w:sz w:val="20"/>
          <w:szCs w:val="20"/>
          <w:color w:val="auto"/>
        </w:rPr>
      </w:pPr>
      <w:r>
        <w:rPr>
          <w:rFonts w:ascii="Arial" w:cs="Arial" w:eastAsia="Arial" w:hAnsi="Arial"/>
          <w:sz w:val="14"/>
          <w:szCs w:val="14"/>
          <w:b w:val="1"/>
          <w:bCs w:val="1"/>
          <w:color w:val="296DC1"/>
        </w:rPr>
        <w:t>Automatic early redemption:</w:t>
      </w:r>
    </w:p>
    <w:p>
      <w:pPr>
        <w:spacing w:after="0" w:line="200" w:lineRule="exact"/>
        <w:rPr>
          <w:sz w:val="24"/>
          <w:szCs w:val="24"/>
          <w:color w:val="auto"/>
        </w:rPr>
      </w:pPr>
    </w:p>
    <w:p>
      <w:pPr>
        <w:spacing w:after="0" w:line="337" w:lineRule="exact"/>
        <w:rPr>
          <w:sz w:val="24"/>
          <w:szCs w:val="24"/>
          <w:color w:val="auto"/>
        </w:rPr>
      </w:pPr>
    </w:p>
    <w:p>
      <w:pPr>
        <w:ind w:left="100" w:right="240"/>
        <w:spacing w:after="0" w:line="294" w:lineRule="auto"/>
        <w:rPr>
          <w:sz w:val="20"/>
          <w:szCs w:val="20"/>
          <w:color w:val="auto"/>
        </w:rPr>
      </w:pPr>
      <w:r>
        <w:rPr>
          <w:rFonts w:ascii="Arial" w:cs="Arial" w:eastAsia="Arial" w:hAnsi="Arial"/>
          <w:sz w:val="14"/>
          <w:szCs w:val="14"/>
          <w:b w:val="1"/>
          <w:bCs w:val="1"/>
          <w:color w:val="296DC1"/>
        </w:rPr>
        <w:t>Early redemption payment: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Payment at maturity: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100" w:right="40"/>
        <w:spacing w:after="0" w:line="281" w:lineRule="auto"/>
        <w:rPr>
          <w:sz w:val="20"/>
          <w:szCs w:val="20"/>
          <w:color w:val="auto"/>
        </w:rPr>
      </w:pPr>
      <w:r>
        <w:rPr>
          <w:rFonts w:ascii="Arial" w:cs="Arial" w:eastAsia="Arial" w:hAnsi="Arial"/>
          <w:sz w:val="14"/>
          <w:szCs w:val="14"/>
          <w:b w:val="1"/>
          <w:bCs w:val="1"/>
          <w:color w:val="296DC1"/>
        </w:rPr>
        <w:t>Downside threshold level:</w:t>
      </w:r>
    </w:p>
    <w:p>
      <w:pPr>
        <w:spacing w:after="0" w:line="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Initial index value: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ind w:right="300"/>
        <w:spacing w:after="0" w:line="271" w:lineRule="auto"/>
        <w:rPr>
          <w:sz w:val="20"/>
          <w:szCs w:val="20"/>
          <w:color w:val="auto"/>
        </w:rPr>
      </w:pPr>
      <w:r>
        <w:rPr>
          <w:rFonts w:ascii="Arial" w:cs="Arial" w:eastAsia="Arial" w:hAnsi="Arial"/>
          <w:sz w:val="14"/>
          <w:szCs w:val="14"/>
          <w:color w:val="auto"/>
        </w:rPr>
        <w:t>JPMorgan Chase Financial Company LLC (“JPMorgan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-1270</wp:posOffset>
            </wp:positionV>
            <wp:extent cx="348869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JPMorgan Chase &amp; Co.</w:t>
      </w:r>
    </w:p>
    <w:p>
      <w:pPr>
        <w:spacing w:after="0" w:line="217" w:lineRule="auto"/>
        <w:rPr>
          <w:sz w:val="20"/>
          <w:szCs w:val="20"/>
          <w:color w:val="auto"/>
        </w:rPr>
      </w:pPr>
      <w:r>
        <w:rPr>
          <w:rFonts w:ascii="Arial" w:cs="Arial" w:eastAsia="Arial" w:hAnsi="Arial"/>
          <w:sz w:val="14"/>
          <w:szCs w:val="14"/>
          <w:color w:val="auto"/>
        </w:rPr>
        <w:t>Russell 2000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 ticker: RTY Index) (the</w:t>
      </w:r>
    </w:p>
    <w:p>
      <w:pPr>
        <w:spacing w:after="0" w:line="187" w:lineRule="auto"/>
        <w:rPr>
          <w:sz w:val="20"/>
          <w:szCs w:val="20"/>
          <w:color w:val="auto"/>
        </w:rPr>
      </w:pPr>
      <w:r>
        <w:rPr>
          <w:rFonts w:ascii="Arial" w:cs="Arial" w:eastAsia="Arial" w:hAnsi="Arial"/>
          <w:sz w:val="13"/>
          <w:szCs w:val="13"/>
          <w:color w:val="auto"/>
        </w:rPr>
        <w:t>“RTY Index”), S&amp;P 500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 (Bloomberg ticker: SPX</w:t>
      </w:r>
    </w:p>
    <w:p>
      <w:pPr>
        <w:spacing w:after="0" w:line="1" w:lineRule="exact"/>
        <w:rPr>
          <w:sz w:val="24"/>
          <w:szCs w:val="24"/>
          <w:color w:val="auto"/>
        </w:rPr>
      </w:pPr>
    </w:p>
    <w:p>
      <w:pPr>
        <w:ind w:right="20"/>
        <w:spacing w:after="0" w:line="217" w:lineRule="auto"/>
        <w:rPr>
          <w:sz w:val="20"/>
          <w:szCs w:val="20"/>
          <w:color w:val="auto"/>
        </w:rPr>
      </w:pPr>
      <w:r>
        <w:rPr>
          <w:rFonts w:ascii="Arial" w:cs="Arial" w:eastAsia="Arial" w:hAnsi="Arial"/>
          <w:sz w:val="14"/>
          <w:szCs w:val="14"/>
          <w:color w:val="auto"/>
        </w:rPr>
        <w:t>Index) (the “SPX Index”) and Nasdaq-100 Index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(Bloomberg ticker: NDX Index) (the “NDX Index”) (each, an “underlying 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6350</wp:posOffset>
            </wp:positionV>
            <wp:extent cx="3488690"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591820"/>
                    </a:xfrm>
                    <a:prstGeom prst="rect">
                      <a:avLst/>
                    </a:prstGeom>
                    <a:noFill/>
                  </pic:spPr>
                </pic:pic>
              </a:graphicData>
            </a:graphic>
          </wp:anchor>
        </w:drawing>
      </w:r>
    </w:p>
    <w:p>
      <w:pPr>
        <w:spacing w:after="0" w:line="247" w:lineRule="auto"/>
        <w:rPr>
          <w:sz w:val="20"/>
          <w:szCs w:val="20"/>
          <w:color w:val="auto"/>
        </w:rPr>
      </w:pPr>
      <w:r>
        <w:rPr>
          <w:rFonts w:ascii="Arial" w:cs="Arial" w:eastAsia="Arial" w:hAnsi="Arial"/>
          <w:sz w:val="13"/>
          <w:szCs w:val="13"/>
          <w:color w:val="auto"/>
        </w:rPr>
        <w:t xml:space="preserve">If, on any of the determination dates (other than the final determination date), the closing level of each underlying index is </w:t>
      </w:r>
      <w:r>
        <w:rPr>
          <w:rFonts w:ascii="Arial" w:cs="Arial" w:eastAsia="Arial" w:hAnsi="Arial"/>
          <w:sz w:val="13"/>
          <w:szCs w:val="13"/>
          <w:b w:val="1"/>
          <w:bCs w:val="1"/>
          <w:color w:val="auto"/>
        </w:rPr>
        <w:t>greater than or equal to</w:t>
      </w:r>
      <w:r>
        <w:rPr>
          <w:rFonts w:ascii="Arial" w:cs="Arial" w:eastAsia="Arial" w:hAnsi="Arial"/>
          <w:sz w:val="13"/>
          <w:szCs w:val="13"/>
          <w:color w:val="auto"/>
        </w:rPr>
        <w:t xml:space="preserve"> its initial index value, the securities will be automatically redeemed for a cash payment equal to the early redemption payment payable on the applicable redemption date.</w:t>
      </w:r>
    </w:p>
    <w:p>
      <w:pPr>
        <w:spacing w:after="0" w:line="162" w:lineRule="exact"/>
        <w:rPr>
          <w:sz w:val="24"/>
          <w:szCs w:val="24"/>
          <w:color w:val="auto"/>
        </w:rPr>
      </w:pPr>
    </w:p>
    <w:p>
      <w:pPr>
        <w:ind w:right="120"/>
        <w:spacing w:after="0" w:line="246" w:lineRule="auto"/>
        <w:rPr>
          <w:sz w:val="20"/>
          <w:szCs w:val="20"/>
          <w:color w:val="auto"/>
        </w:rPr>
      </w:pPr>
      <w:r>
        <w:rPr>
          <w:rFonts w:ascii="Arial" w:cs="Arial" w:eastAsia="Arial" w:hAnsi="Arial"/>
          <w:sz w:val="13"/>
          <w:szCs w:val="13"/>
          <w:color w:val="auto"/>
        </w:rPr>
        <w:t xml:space="preserve">The early redemption payment will be an amount equal to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an amount in cash per stated principal amount corresponding to a return of at least approximately 9.70% per annum (or at least 9.70% for the first determination date and increasing by at least 2.425% for each subsequent determination date), as follows:</w:t>
      </w:r>
    </w:p>
    <w:p>
      <w:pPr>
        <w:spacing w:after="0" w:line="2" w:lineRule="exact"/>
        <w:rPr>
          <w:sz w:val="24"/>
          <w:szCs w:val="24"/>
          <w:color w:val="auto"/>
        </w:rPr>
      </w:pPr>
    </w:p>
    <w:tbl>
      <w:tblPr>
        <w:tblLayout w:type="fixed"/>
        <w:tblInd w:w="100"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Arial" w:cs="Arial" w:eastAsia="Arial" w:hAnsi="Arial"/>
                <w:sz w:val="13"/>
                <w:szCs w:val="13"/>
                <w:color w:val="auto"/>
              </w:rPr>
              <w:t>1</w:t>
            </w:r>
            <w:r>
              <w:rPr>
                <w:rFonts w:ascii="Arial" w:cs="Arial" w:eastAsia="Arial" w:hAnsi="Arial"/>
                <w:sz w:val="22"/>
                <w:szCs w:val="22"/>
                <w:color w:val="auto"/>
                <w:vertAlign w:val="superscript"/>
              </w:rPr>
              <w:t>st</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$1,097.00</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13"/>
                <w:szCs w:val="13"/>
                <w:color w:val="auto"/>
              </w:rPr>
              <w:t>2</w:t>
            </w:r>
            <w:r>
              <w:rPr>
                <w:rFonts w:ascii="Arial" w:cs="Arial" w:eastAsia="Arial" w:hAnsi="Arial"/>
                <w:sz w:val="22"/>
                <w:szCs w:val="22"/>
                <w:color w:val="auto"/>
                <w:vertAlign w:val="superscript"/>
              </w:rPr>
              <w:t>nd</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$1,121.25</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13"/>
                <w:szCs w:val="13"/>
                <w:color w:val="auto"/>
              </w:rPr>
              <w:t>3</w:t>
            </w:r>
            <w:r>
              <w:rPr>
                <w:rFonts w:ascii="Arial" w:cs="Arial" w:eastAsia="Arial" w:hAnsi="Arial"/>
                <w:sz w:val="22"/>
                <w:szCs w:val="22"/>
                <w:color w:val="auto"/>
                <w:vertAlign w:val="superscript"/>
              </w:rPr>
              <w:t>rd</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$1,145.50</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13"/>
                <w:szCs w:val="13"/>
                <w:color w:val="auto"/>
              </w:rPr>
              <w:t>4</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$1,169.75</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13"/>
                <w:szCs w:val="13"/>
                <w:color w:val="auto"/>
              </w:rPr>
              <w:t>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$1,194.00</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13"/>
                <w:szCs w:val="13"/>
                <w:color w:val="auto"/>
              </w:rPr>
              <w:t>6</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$1,218.25</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13"/>
                <w:szCs w:val="13"/>
                <w:color w:val="auto"/>
              </w:rPr>
              <w:t>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$1,242.50</w:t>
            </w:r>
          </w:p>
        </w:tc>
      </w:tr>
      <w:tr>
        <w:trPr>
          <w:trHeight w:val="255"/>
        </w:trPr>
        <w:tc>
          <w:tcPr>
            <w:tcW w:w="1720" w:type="dxa"/>
            <w:vAlign w:val="bottom"/>
          </w:tcPr>
          <w:p>
            <w:pPr>
              <w:spacing w:after="0"/>
              <w:rPr>
                <w:sz w:val="20"/>
                <w:szCs w:val="20"/>
                <w:color w:val="auto"/>
              </w:rPr>
            </w:pPr>
            <w:r>
              <w:rPr>
                <w:rFonts w:ascii="Arial" w:cs="Arial" w:eastAsia="Arial" w:hAnsi="Arial"/>
                <w:sz w:val="13"/>
                <w:szCs w:val="13"/>
                <w:color w:val="auto"/>
              </w:rPr>
              <w:t>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determination date:</w:t>
            </w:r>
          </w:p>
        </w:tc>
        <w:tc>
          <w:tcPr>
            <w:tcW w:w="1380" w:type="dxa"/>
            <w:vAlign w:val="bottom"/>
          </w:tcPr>
          <w:p>
            <w:pPr>
              <w:ind w:left="320"/>
              <w:spacing w:after="0"/>
              <w:rPr>
                <w:sz w:val="20"/>
                <w:szCs w:val="20"/>
                <w:color w:val="auto"/>
              </w:rPr>
            </w:pPr>
            <w:r>
              <w:rPr>
                <w:rFonts w:ascii="Arial" w:cs="Arial" w:eastAsia="Arial" w:hAnsi="Arial"/>
                <w:sz w:val="13"/>
                <w:szCs w:val="13"/>
                <w:color w:val="auto"/>
              </w:rPr>
              <w:t>at least $1,266.75</w:t>
            </w:r>
          </w:p>
        </w:tc>
      </w:tr>
    </w:tbl>
    <w:p>
      <w:pPr>
        <w:ind w:right="240"/>
        <w:spacing w:after="0" w:line="238" w:lineRule="auto"/>
        <w:rPr>
          <w:sz w:val="20"/>
          <w:szCs w:val="20"/>
          <w:color w:val="auto"/>
        </w:rPr>
      </w:pPr>
      <w:r>
        <w:rPr>
          <w:rFonts w:ascii="Arial" w:cs="Arial" w:eastAsia="Arial" w:hAnsi="Arial"/>
          <w:sz w:val="13"/>
          <w:szCs w:val="13"/>
          <w:color w:val="auto"/>
        </w:rPr>
        <w:t>The actual early redemption payment with respect to each applicable determination date will be provided in the pricing supplement. No further payments will be made on the securities once they have been redeemed.</w:t>
      </w:r>
    </w:p>
    <w:p>
      <w:pPr>
        <w:ind w:left="140" w:hanging="138"/>
        <w:spacing w:after="0"/>
        <w:tabs>
          <w:tab w:leader="none" w:pos="140"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If the final index value  the maturity redemption payment,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-93345</wp:posOffset>
            </wp:positionV>
            <wp:extent cx="3488690" cy="1525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152590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37"/>
        </w:trPr>
        <w:tc>
          <w:tcPr>
            <w:tcW w:w="1340" w:type="dxa"/>
            <w:vAlign w:val="bottom"/>
          </w:tcPr>
          <w:p>
            <w:pPr>
              <w:spacing w:after="0" w:line="137" w:lineRule="exact"/>
              <w:rPr>
                <w:sz w:val="20"/>
                <w:szCs w:val="20"/>
                <w:color w:val="auto"/>
              </w:rPr>
            </w:pPr>
            <w:r>
              <w:rPr>
                <w:rFonts w:ascii="Arial" w:cs="Arial" w:eastAsia="Arial" w:hAnsi="Arial"/>
                <w:sz w:val="13"/>
                <w:szCs w:val="13"/>
                <w:color w:val="auto"/>
              </w:rPr>
              <w:t>of each underlying</w:t>
            </w:r>
          </w:p>
        </w:tc>
        <w:tc>
          <w:tcPr>
            <w:tcW w:w="2220" w:type="dxa"/>
            <w:vAlign w:val="bottom"/>
          </w:tcPr>
          <w:p>
            <w:pPr>
              <w:ind w:left="60"/>
              <w:spacing w:after="0" w:line="137" w:lineRule="exact"/>
              <w:rPr>
                <w:sz w:val="20"/>
                <w:szCs w:val="20"/>
                <w:color w:val="auto"/>
              </w:rPr>
            </w:pPr>
            <w:r>
              <w:rPr>
                <w:rFonts w:ascii="Arial" w:cs="Arial" w:eastAsia="Arial" w:hAnsi="Arial"/>
                <w:sz w:val="13"/>
                <w:szCs w:val="13"/>
                <w:color w:val="auto"/>
              </w:rPr>
              <w:t>which is an amount in cash per</w:t>
            </w:r>
          </w:p>
        </w:tc>
      </w:tr>
      <w:tr>
        <w:trPr>
          <w:trHeight w:val="148"/>
        </w:trPr>
        <w:tc>
          <w:tcPr>
            <w:tcW w:w="1340" w:type="dxa"/>
            <w:vAlign w:val="bottom"/>
          </w:tcPr>
          <w:p>
            <w:pPr>
              <w:spacing w:after="0"/>
              <w:rPr>
                <w:sz w:val="20"/>
                <w:szCs w:val="20"/>
                <w:color w:val="auto"/>
              </w:rPr>
            </w:pPr>
            <w:r>
              <w:rPr>
                <w:rFonts w:ascii="Arial" w:cs="Arial" w:eastAsia="Arial" w:hAnsi="Arial"/>
                <w:sz w:val="13"/>
                <w:szCs w:val="13"/>
                <w:color w:val="auto"/>
              </w:rPr>
              <w:t xml:space="preserve">index is </w:t>
            </w:r>
            <w:r>
              <w:rPr>
                <w:rFonts w:ascii="Arial" w:cs="Arial" w:eastAsia="Arial" w:hAnsi="Arial"/>
                <w:sz w:val="13"/>
                <w:szCs w:val="13"/>
                <w:b w:val="1"/>
                <w:bCs w:val="1"/>
                <w:color w:val="auto"/>
              </w:rPr>
              <w:t>greater than</w:t>
            </w:r>
          </w:p>
        </w:tc>
        <w:tc>
          <w:tcPr>
            <w:tcW w:w="2220" w:type="dxa"/>
            <w:vAlign w:val="bottom"/>
          </w:tcPr>
          <w:p>
            <w:pPr>
              <w:ind w:left="60"/>
              <w:spacing w:after="0"/>
              <w:rPr>
                <w:sz w:val="20"/>
                <w:szCs w:val="20"/>
                <w:color w:val="auto"/>
              </w:rPr>
            </w:pPr>
            <w:r>
              <w:rPr>
                <w:rFonts w:ascii="Arial" w:cs="Arial" w:eastAsia="Arial" w:hAnsi="Arial"/>
                <w:sz w:val="13"/>
                <w:szCs w:val="13"/>
                <w:color w:val="auto"/>
              </w:rPr>
              <w:t>stated principal amount</w:t>
            </w:r>
          </w:p>
        </w:tc>
      </w:tr>
      <w:tr>
        <w:trPr>
          <w:trHeight w:val="148"/>
        </w:trPr>
        <w:tc>
          <w:tcPr>
            <w:tcW w:w="1340" w:type="dxa"/>
            <w:vAlign w:val="bottom"/>
          </w:tcPr>
          <w:p>
            <w:pPr>
              <w:spacing w:after="0"/>
              <w:rPr>
                <w:sz w:val="20"/>
                <w:szCs w:val="20"/>
                <w:color w:val="auto"/>
              </w:rPr>
            </w:pPr>
            <w:r>
              <w:rPr>
                <w:rFonts w:ascii="Arial" w:cs="Arial" w:eastAsia="Arial" w:hAnsi="Arial"/>
                <w:sz w:val="13"/>
                <w:szCs w:val="13"/>
                <w:b w:val="1"/>
                <w:bCs w:val="1"/>
                <w:color w:val="auto"/>
              </w:rPr>
              <w:t>or equal to its</w:t>
            </w:r>
          </w:p>
        </w:tc>
        <w:tc>
          <w:tcPr>
            <w:tcW w:w="2220" w:type="dxa"/>
            <w:vAlign w:val="bottom"/>
          </w:tcPr>
          <w:p>
            <w:pPr>
              <w:ind w:left="60"/>
              <w:spacing w:after="0"/>
              <w:rPr>
                <w:sz w:val="20"/>
                <w:szCs w:val="20"/>
                <w:color w:val="auto"/>
              </w:rPr>
            </w:pPr>
            <w:r>
              <w:rPr>
                <w:rFonts w:ascii="Arial" w:cs="Arial" w:eastAsia="Arial" w:hAnsi="Arial"/>
                <w:sz w:val="13"/>
                <w:szCs w:val="13"/>
                <w:color w:val="auto"/>
              </w:rPr>
              <w:t>corresponding to a return of at least</w:t>
            </w:r>
          </w:p>
        </w:tc>
      </w:tr>
      <w:tr>
        <w:trPr>
          <w:trHeight w:val="149"/>
        </w:trPr>
        <w:tc>
          <w:tcPr>
            <w:tcW w:w="1340" w:type="dxa"/>
            <w:vAlign w:val="bottom"/>
          </w:tcPr>
          <w:p>
            <w:pPr>
              <w:spacing w:after="0"/>
              <w:rPr>
                <w:sz w:val="20"/>
                <w:szCs w:val="20"/>
                <w:color w:val="auto"/>
              </w:rPr>
            </w:pPr>
            <w:r>
              <w:rPr>
                <w:rFonts w:ascii="Arial" w:cs="Arial" w:eastAsia="Arial" w:hAnsi="Arial"/>
                <w:sz w:val="13"/>
                <w:szCs w:val="13"/>
                <w:b w:val="1"/>
                <w:bCs w:val="1"/>
                <w:color w:val="auto"/>
              </w:rPr>
              <w:t>downside threshold</w:t>
            </w:r>
          </w:p>
        </w:tc>
        <w:tc>
          <w:tcPr>
            <w:tcW w:w="2220" w:type="dxa"/>
            <w:vAlign w:val="bottom"/>
          </w:tcPr>
          <w:p>
            <w:pPr>
              <w:ind w:left="60"/>
              <w:spacing w:after="0"/>
              <w:rPr>
                <w:sz w:val="20"/>
                <w:szCs w:val="20"/>
                <w:color w:val="auto"/>
              </w:rPr>
            </w:pPr>
            <w:r>
              <w:rPr>
                <w:rFonts w:ascii="Arial" w:cs="Arial" w:eastAsia="Arial" w:hAnsi="Arial"/>
                <w:sz w:val="13"/>
                <w:szCs w:val="13"/>
                <w:color w:val="auto"/>
              </w:rPr>
              <w:t>approximately 9.70% per annum, or</w:t>
            </w:r>
          </w:p>
        </w:tc>
      </w:tr>
      <w:tr>
        <w:trPr>
          <w:trHeight w:val="148"/>
        </w:trPr>
        <w:tc>
          <w:tcPr>
            <w:tcW w:w="1340" w:type="dxa"/>
            <w:vAlign w:val="bottom"/>
          </w:tcPr>
          <w:p>
            <w:pPr>
              <w:spacing w:after="0"/>
              <w:rPr>
                <w:sz w:val="20"/>
                <w:szCs w:val="20"/>
                <w:color w:val="auto"/>
              </w:rPr>
            </w:pPr>
            <w:r>
              <w:rPr>
                <w:rFonts w:ascii="Arial" w:cs="Arial" w:eastAsia="Arial" w:hAnsi="Arial"/>
                <w:sz w:val="13"/>
                <w:szCs w:val="13"/>
                <w:b w:val="1"/>
                <w:bCs w:val="1"/>
                <w:color w:val="auto"/>
              </w:rPr>
              <w:t>level</w:t>
            </w: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at least $1,291.00. The actual</w:t>
            </w:r>
          </w:p>
        </w:tc>
      </w:tr>
      <w:tr>
        <w:trPr>
          <w:trHeight w:val="148"/>
        </w:trPr>
        <w:tc>
          <w:tcPr>
            <w:tcW w:w="1340" w:type="dxa"/>
            <w:vAlign w:val="bottom"/>
          </w:tcPr>
          <w:p>
            <w:pPr>
              <w:spacing w:after="0"/>
              <w:rPr>
                <w:sz w:val="12"/>
                <w:szCs w:val="12"/>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maturity redemption payment will be</w:t>
            </w:r>
          </w:p>
        </w:tc>
      </w:tr>
      <w:tr>
        <w:trPr>
          <w:trHeight w:val="176"/>
        </w:trPr>
        <w:tc>
          <w:tcPr>
            <w:tcW w:w="13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provided in the pricing supplement.</w:t>
            </w:r>
          </w:p>
        </w:tc>
      </w:tr>
    </w:tbl>
    <w:p>
      <w:pPr>
        <w:ind w:left="140" w:hanging="138"/>
        <w:spacing w:after="0"/>
        <w:tabs>
          <w:tab w:leader="none" w:pos="140" w:val="left"/>
        </w:tabs>
        <w:numPr>
          <w:ilvl w:val="0"/>
          <w:numId w:val="2"/>
        </w:numPr>
        <w:rPr>
          <w:rFonts w:ascii="Arial" w:cs="Arial" w:eastAsia="Arial" w:hAnsi="Arial"/>
          <w:sz w:val="13"/>
          <w:szCs w:val="13"/>
          <w:b w:val="1"/>
          <w:bCs w:val="1"/>
          <w:color w:val="auto"/>
        </w:rPr>
      </w:pPr>
      <w:r>
        <w:rPr>
          <w:rFonts w:ascii="Arial" w:cs="Arial" w:eastAsia="Arial" w:hAnsi="Arial"/>
          <w:sz w:val="13"/>
          <w:szCs w:val="13"/>
          <w:color w:val="auto"/>
        </w:rPr>
        <w:t xml:space="preserve">If the final index value  (i) the stated principal amount </w:t>
      </w:r>
      <w:r>
        <w:rPr>
          <w:rFonts w:ascii="Arial" w:cs="Arial" w:eastAsia="Arial" w:hAnsi="Arial"/>
          <w:sz w:val="13"/>
          <w:szCs w:val="13"/>
          <w:i w:val="1"/>
          <w:iCs w:val="1"/>
          <w:color w:val="auto"/>
        </w:rPr>
        <w:t>times</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3"/>
          <w:szCs w:val="13"/>
          <w:color w:val="auto"/>
        </w:rPr>
        <w:t>of any underlying index (ii) the index performance factor of</w:t>
      </w:r>
    </w:p>
    <w:tbl>
      <w:tblPr>
        <w:tblLayout w:type="fixed"/>
        <w:tblInd w:w="140" w:type="dxa"/>
        <w:tblCellMar>
          <w:top w:w="0" w:type="dxa"/>
          <w:left w:w="0" w:type="dxa"/>
          <w:bottom w:w="0" w:type="dxa"/>
          <w:right w:w="0" w:type="dxa"/>
        </w:tblCellMar>
      </w:tblPr>
      <w:tr>
        <w:trPr>
          <w:trHeight w:val="137"/>
        </w:trPr>
        <w:tc>
          <w:tcPr>
            <w:tcW w:w="1280" w:type="dxa"/>
            <w:vAlign w:val="bottom"/>
          </w:tcPr>
          <w:p>
            <w:pPr>
              <w:spacing w:after="0" w:line="137" w:lineRule="exact"/>
              <w:rPr>
                <w:sz w:val="20"/>
                <w:szCs w:val="20"/>
                <w:color w:val="auto"/>
              </w:rPr>
            </w:pPr>
            <w:r>
              <w:rPr>
                <w:rFonts w:ascii="Arial" w:cs="Arial" w:eastAsia="Arial" w:hAnsi="Arial"/>
                <w:sz w:val="13"/>
                <w:szCs w:val="13"/>
                <w:color w:val="auto"/>
              </w:rPr>
              <w:t xml:space="preserve">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w:t>
            </w:r>
          </w:p>
        </w:tc>
        <w:tc>
          <w:tcPr>
            <w:tcW w:w="2160" w:type="dxa"/>
            <w:vAlign w:val="bottom"/>
          </w:tcPr>
          <w:p>
            <w:pPr>
              <w:ind w:left="120"/>
              <w:spacing w:after="0" w:line="137" w:lineRule="exact"/>
              <w:rPr>
                <w:sz w:val="20"/>
                <w:szCs w:val="20"/>
                <w:color w:val="auto"/>
              </w:rPr>
            </w:pPr>
            <w:r>
              <w:rPr>
                <w:rFonts w:ascii="Arial" w:cs="Arial" w:eastAsia="Arial" w:hAnsi="Arial"/>
                <w:sz w:val="13"/>
                <w:szCs w:val="13"/>
                <w:color w:val="auto"/>
              </w:rPr>
              <w:t>the worst performing underlying</w:t>
            </w:r>
          </w:p>
        </w:tc>
      </w:tr>
      <w:tr>
        <w:trPr>
          <w:trHeight w:val="148"/>
        </w:trPr>
        <w:tc>
          <w:tcPr>
            <w:tcW w:w="1280" w:type="dxa"/>
            <w:vAlign w:val="bottom"/>
          </w:tcPr>
          <w:p>
            <w:pPr>
              <w:spacing w:after="0" w:line="148" w:lineRule="exact"/>
              <w:rPr>
                <w:sz w:val="20"/>
                <w:szCs w:val="20"/>
                <w:color w:val="auto"/>
              </w:rPr>
            </w:pPr>
            <w:r>
              <w:rPr>
                <w:rFonts w:ascii="Arial" w:cs="Arial" w:eastAsia="Arial" w:hAnsi="Arial"/>
                <w:sz w:val="13"/>
                <w:szCs w:val="13"/>
                <w:color w:val="auto"/>
              </w:rPr>
              <w:t>downside threshold</w:t>
            </w:r>
          </w:p>
        </w:tc>
        <w:tc>
          <w:tcPr>
            <w:tcW w:w="2160" w:type="dxa"/>
            <w:vAlign w:val="bottom"/>
          </w:tcPr>
          <w:p>
            <w:pPr>
              <w:ind w:left="120"/>
              <w:spacing w:after="0" w:line="148" w:lineRule="exact"/>
              <w:rPr>
                <w:sz w:val="20"/>
                <w:szCs w:val="20"/>
                <w:color w:val="auto"/>
              </w:rPr>
            </w:pPr>
            <w:r>
              <w:rPr>
                <w:rFonts w:ascii="Arial" w:cs="Arial" w:eastAsia="Arial" w:hAnsi="Arial"/>
                <w:sz w:val="13"/>
                <w:szCs w:val="13"/>
                <w:color w:val="auto"/>
              </w:rPr>
              <w:t>index</w:t>
            </w:r>
          </w:p>
        </w:tc>
      </w:tr>
      <w:tr>
        <w:trPr>
          <w:trHeight w:val="148"/>
        </w:trPr>
        <w:tc>
          <w:tcPr>
            <w:tcW w:w="1280" w:type="dxa"/>
            <w:vAlign w:val="bottom"/>
          </w:tcPr>
          <w:p>
            <w:pPr>
              <w:spacing w:after="0"/>
              <w:rPr>
                <w:sz w:val="20"/>
                <w:szCs w:val="20"/>
                <w:color w:val="auto"/>
              </w:rPr>
            </w:pPr>
            <w:r>
              <w:rPr>
                <w:rFonts w:ascii="Arial" w:cs="Arial" w:eastAsia="Arial" w:hAnsi="Arial"/>
                <w:sz w:val="13"/>
                <w:szCs w:val="13"/>
                <w:color w:val="auto"/>
              </w:rPr>
              <w:t>level:</w:t>
            </w:r>
          </w:p>
        </w:tc>
        <w:tc>
          <w:tcPr>
            <w:tcW w:w="2160" w:type="dxa"/>
            <w:vAlign w:val="bottom"/>
          </w:tcPr>
          <w:p>
            <w:pPr>
              <w:ind w:left="120"/>
              <w:spacing w:after="0"/>
              <w:rPr>
                <w:sz w:val="20"/>
                <w:szCs w:val="20"/>
                <w:color w:val="auto"/>
              </w:rPr>
            </w:pPr>
            <w:r>
              <w:rPr>
                <w:rFonts w:ascii="Arial" w:cs="Arial" w:eastAsia="Arial" w:hAnsi="Arial"/>
                <w:sz w:val="13"/>
                <w:szCs w:val="13"/>
                <w:b w:val="1"/>
                <w:bCs w:val="1"/>
                <w:color w:val="auto"/>
              </w:rPr>
              <w:t>Under these circumstances, the</w:t>
            </w:r>
          </w:p>
        </w:tc>
      </w:tr>
      <w:tr>
        <w:trPr>
          <w:trHeight w:val="147"/>
        </w:trPr>
        <w:tc>
          <w:tcPr>
            <w:tcW w:w="1280" w:type="dxa"/>
            <w:vAlign w:val="bottom"/>
          </w:tcPr>
          <w:p>
            <w:pPr>
              <w:spacing w:after="0"/>
              <w:rPr>
                <w:sz w:val="12"/>
                <w:szCs w:val="12"/>
                <w:color w:val="auto"/>
              </w:rPr>
            </w:pPr>
          </w:p>
        </w:tc>
        <w:tc>
          <w:tcPr>
            <w:tcW w:w="216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payment at maturity will be less</w:t>
            </w:r>
          </w:p>
        </w:tc>
      </w:tr>
      <w:tr>
        <w:trPr>
          <w:trHeight w:val="148"/>
        </w:trPr>
        <w:tc>
          <w:tcPr>
            <w:tcW w:w="128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3"/>
                <w:szCs w:val="13"/>
                <w:b w:val="1"/>
                <w:bCs w:val="1"/>
                <w:color w:val="auto"/>
              </w:rPr>
              <w:t>than 70% of the stated principal</w:t>
            </w:r>
          </w:p>
        </w:tc>
      </w:tr>
      <w:tr>
        <w:trPr>
          <w:trHeight w:val="186"/>
        </w:trPr>
        <w:tc>
          <w:tcPr>
            <w:tcW w:w="1280" w:type="dxa"/>
            <w:vAlign w:val="bottom"/>
          </w:tcPr>
          <w:p>
            <w:pPr>
              <w:spacing w:after="0"/>
              <w:rPr>
                <w:sz w:val="16"/>
                <w:szCs w:val="16"/>
                <w:color w:val="auto"/>
              </w:rPr>
            </w:pPr>
          </w:p>
        </w:tc>
        <w:tc>
          <w:tcPr>
            <w:tcW w:w="2160" w:type="dxa"/>
            <w:vAlign w:val="bottom"/>
          </w:tcPr>
          <w:p>
            <w:pPr>
              <w:ind w:left="120"/>
              <w:spacing w:after="0"/>
              <w:rPr>
                <w:sz w:val="20"/>
                <w:szCs w:val="20"/>
                <w:color w:val="auto"/>
              </w:rPr>
            </w:pPr>
            <w:r>
              <w:rPr>
                <w:rFonts w:ascii="Arial" w:cs="Arial" w:eastAsia="Arial" w:hAnsi="Arial"/>
                <w:sz w:val="13"/>
                <w:szCs w:val="13"/>
                <w:b w:val="1"/>
                <w:bCs w:val="1"/>
                <w:color w:val="auto"/>
              </w:rPr>
              <w:t>amount and could be zero.</w:t>
            </w:r>
          </w:p>
        </w:tc>
      </w:tr>
    </w:tbl>
    <w:p>
      <w:pPr>
        <w:ind w:right="300"/>
        <w:spacing w:after="0" w:line="277" w:lineRule="auto"/>
        <w:rPr>
          <w:sz w:val="20"/>
          <w:szCs w:val="20"/>
          <w:color w:val="auto"/>
        </w:rPr>
      </w:pPr>
      <w:r>
        <w:rPr>
          <w:rFonts w:ascii="Arial" w:cs="Arial" w:eastAsia="Arial" w:hAnsi="Arial"/>
          <w:sz w:val="14"/>
          <w:szCs w:val="14"/>
          <w:color w:val="auto"/>
        </w:rPr>
        <w:t>With respect to each underlying index, 70% of its initial index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-10160</wp:posOffset>
            </wp:positionV>
            <wp:extent cx="348869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240030"/>
                    </a:xfrm>
                    <a:prstGeom prst="rect">
                      <a:avLst/>
                    </a:prstGeom>
                    <a:noFill/>
                  </pic:spPr>
                </pic:pic>
              </a:graphicData>
            </a:graphic>
          </wp:anchor>
        </w:drawing>
      </w:r>
    </w:p>
    <w:p>
      <w:pPr>
        <w:ind w:right="140"/>
        <w:spacing w:after="0" w:line="281" w:lineRule="auto"/>
        <w:rPr>
          <w:sz w:val="20"/>
          <w:szCs w:val="20"/>
          <w:color w:val="auto"/>
        </w:rPr>
      </w:pPr>
      <w:r>
        <w:rPr>
          <w:rFonts w:ascii="Arial" w:cs="Arial" w:eastAsia="Arial" w:hAnsi="Arial"/>
          <w:sz w:val="14"/>
          <w:szCs w:val="14"/>
          <w:color w:val="auto"/>
        </w:rPr>
        <w:t>With respect to each underlying index, its closing level on the pricing date</w:t>
      </w:r>
    </w:p>
    <w:p>
      <w:pPr>
        <w:spacing w:after="0" w:line="20" w:lineRule="exact"/>
        <w:rPr>
          <w:sz w:val="24"/>
          <w:szCs w:val="24"/>
          <w:color w:val="auto"/>
        </w:rPr>
      </w:pPr>
      <w:r>
        <w:rPr>
          <w:sz w:val="24"/>
          <w:szCs w:val="24"/>
          <w:color w:val="auto"/>
        </w:rPr>
        <w:br w:type="column"/>
      </w:r>
    </w:p>
    <w:p>
      <w:pPr>
        <w:jc w:val="right"/>
        <w:ind w:left="100" w:right="200"/>
        <w:spacing w:after="0" w:line="184" w:lineRule="auto"/>
        <w:rPr>
          <w:sz w:val="20"/>
          <w:szCs w:val="20"/>
          <w:color w:val="auto"/>
        </w:rPr>
      </w:pPr>
      <w:r>
        <w:rPr>
          <w:rFonts w:ascii="Arial" w:cs="Arial" w:eastAsia="Arial" w:hAnsi="Arial"/>
          <w:sz w:val="25"/>
          <w:szCs w:val="25"/>
          <w:b w:val="1"/>
          <w:bCs w:val="1"/>
          <w:color w:val="296DC1"/>
          <w:vertAlign w:val="subscript"/>
        </w:rPr>
        <w:t>Determination dates</w:t>
      </w:r>
      <w:r>
        <w:rPr>
          <w:rFonts w:ascii="Arial" w:cs="Arial" w:eastAsia="Arial" w:hAnsi="Arial"/>
          <w:sz w:val="21"/>
          <w:szCs w:val="21"/>
          <w:b w:val="1"/>
          <w:bCs w:val="1"/>
          <w:color w:val="296DC1"/>
          <w:vertAlign w:val="superscript"/>
        </w:rPr>
        <w:t>†</w:t>
      </w:r>
      <w:r>
        <w:rPr>
          <w:rFonts w:ascii="Arial" w:cs="Arial" w:eastAsia="Arial" w:hAnsi="Arial"/>
          <w:sz w:val="25"/>
          <w:szCs w:val="25"/>
          <w:b w:val="1"/>
          <w:bCs w:val="1"/>
          <w:color w:val="296DC1"/>
          <w:vertAlign w:val="subscript"/>
        </w:rPr>
        <w:t>:</w:t>
      </w:r>
      <w:r>
        <w:rPr>
          <w:rFonts w:ascii="Arial" w:cs="Arial" w:eastAsia="Arial" w:hAnsi="Arial"/>
          <w:sz w:val="13"/>
          <w:szCs w:val="13"/>
          <w:color w:val="auto"/>
        </w:rPr>
        <w:t xml:space="preserve">  November 8, 2027, January 31, 2028, May 1, 2028, July 31, 2028, October 30, 2028, January 30, 2029, April 30,</w:t>
      </w:r>
    </w:p>
    <w:p>
      <w:pPr>
        <w:spacing w:after="0" w:line="1" w:lineRule="exact"/>
        <w:rPr>
          <w:sz w:val="24"/>
          <w:szCs w:val="24"/>
          <w:color w:val="auto"/>
        </w:rPr>
      </w:pPr>
    </w:p>
    <w:p>
      <w:pPr>
        <w:ind w:left="1720" w:right="500"/>
        <w:spacing w:after="0" w:line="258" w:lineRule="auto"/>
        <w:rPr>
          <w:sz w:val="20"/>
          <w:szCs w:val="20"/>
          <w:color w:val="auto"/>
        </w:rPr>
      </w:pPr>
      <w:r>
        <w:rPr>
          <w:rFonts w:ascii="Arial" w:cs="Arial" w:eastAsia="Arial" w:hAnsi="Arial"/>
          <w:sz w:val="14"/>
          <w:szCs w:val="14"/>
          <w:color w:val="auto"/>
        </w:rPr>
        <w:t>2029, July 30, 2029 and October 30, 2029 (the final determination date)</w:t>
      </w:r>
    </w:p>
    <w:tbl>
      <w:tblPr>
        <w:tblLayout w:type="fixed"/>
        <w:tblInd w:w="0" w:type="dxa"/>
        <w:tblCellMar>
          <w:top w:w="0" w:type="dxa"/>
          <w:left w:w="0" w:type="dxa"/>
          <w:bottom w:w="0" w:type="dxa"/>
          <w:right w:w="0" w:type="dxa"/>
        </w:tblCellMar>
      </w:tblPr>
      <w:tr>
        <w:trPr>
          <w:trHeight w:val="176"/>
        </w:trPr>
        <w:tc>
          <w:tcPr>
            <w:tcW w:w="1580" w:type="dxa"/>
            <w:vAlign w:val="bottom"/>
          </w:tcPr>
          <w:p>
            <w:pPr>
              <w:ind w:left="100"/>
              <w:spacing w:after="0" w:line="176" w:lineRule="exact"/>
              <w:rPr>
                <w:sz w:val="20"/>
                <w:szCs w:val="20"/>
                <w:color w:val="auto"/>
              </w:rPr>
            </w:pPr>
            <w:r>
              <w:rPr>
                <w:rFonts w:ascii="Arial" w:cs="Arial" w:eastAsia="Arial" w:hAnsi="Arial"/>
                <w:sz w:val="13"/>
                <w:szCs w:val="13"/>
                <w:b w:val="1"/>
                <w:bCs w:val="1"/>
                <w:color w:val="296DC1"/>
              </w:rPr>
              <w:t>Redemption dates</w:t>
            </w:r>
            <w:r>
              <w:rPr>
                <w:rFonts w:ascii="Arial" w:cs="Arial" w:eastAsia="Arial" w:hAnsi="Arial"/>
                <w:sz w:val="20"/>
                <w:szCs w:val="20"/>
                <w:b w:val="1"/>
                <w:bCs w:val="1"/>
                <w:color w:val="296DC1"/>
                <w:vertAlign w:val="superscript"/>
              </w:rPr>
              <w:t>†</w:t>
            </w:r>
            <w:r>
              <w:rPr>
                <w:rFonts w:ascii="Arial" w:cs="Arial" w:eastAsia="Arial" w:hAnsi="Arial"/>
                <w:sz w:val="13"/>
                <w:szCs w:val="13"/>
                <w:b w:val="1"/>
                <w:bCs w:val="1"/>
                <w:color w:val="296DC1"/>
              </w:rPr>
              <w:t>:</w:t>
            </w:r>
          </w:p>
        </w:tc>
        <w:tc>
          <w:tcPr>
            <w:tcW w:w="3900" w:type="dxa"/>
            <w:vAlign w:val="bottom"/>
          </w:tcPr>
          <w:p>
            <w:pPr>
              <w:ind w:left="140"/>
              <w:spacing w:after="0"/>
              <w:rPr>
                <w:sz w:val="20"/>
                <w:szCs w:val="20"/>
                <w:color w:val="auto"/>
              </w:rPr>
            </w:pPr>
            <w:r>
              <w:rPr>
                <w:rFonts w:ascii="Arial" w:cs="Arial" w:eastAsia="Arial" w:hAnsi="Arial"/>
                <w:sz w:val="14"/>
                <w:szCs w:val="14"/>
                <w:color w:val="auto"/>
              </w:rPr>
              <w:t>November 12, 2027, February 3, 2028, May 4, 2028,</w:t>
            </w:r>
          </w:p>
        </w:tc>
      </w:tr>
      <w:tr>
        <w:trPr>
          <w:trHeight w:val="153"/>
        </w:trPr>
        <w:tc>
          <w:tcPr>
            <w:tcW w:w="1580" w:type="dxa"/>
            <w:vAlign w:val="bottom"/>
          </w:tcPr>
          <w:p>
            <w:pPr>
              <w:spacing w:after="0"/>
              <w:rPr>
                <w:sz w:val="13"/>
                <w:szCs w:val="13"/>
                <w:color w:val="auto"/>
              </w:rPr>
            </w:pPr>
          </w:p>
        </w:tc>
        <w:tc>
          <w:tcPr>
            <w:tcW w:w="3900" w:type="dxa"/>
            <w:vAlign w:val="bottom"/>
          </w:tcPr>
          <w:p>
            <w:pPr>
              <w:ind w:left="140"/>
              <w:spacing w:after="0" w:line="153" w:lineRule="exact"/>
              <w:rPr>
                <w:sz w:val="20"/>
                <w:szCs w:val="20"/>
                <w:color w:val="auto"/>
              </w:rPr>
            </w:pPr>
            <w:r>
              <w:rPr>
                <w:rFonts w:ascii="Arial" w:cs="Arial" w:eastAsia="Arial" w:hAnsi="Arial"/>
                <w:sz w:val="14"/>
                <w:szCs w:val="14"/>
                <w:color w:val="auto"/>
              </w:rPr>
              <w:t>August 3, 2028, November 2, 2028, February 2, 2029, May</w:t>
            </w:r>
          </w:p>
        </w:tc>
      </w:tr>
      <w:tr>
        <w:trPr>
          <w:trHeight w:val="194"/>
        </w:trPr>
        <w:tc>
          <w:tcPr>
            <w:tcW w:w="1580" w:type="dxa"/>
            <w:vAlign w:val="bottom"/>
          </w:tcPr>
          <w:p>
            <w:pPr>
              <w:spacing w:after="0"/>
              <w:rPr>
                <w:sz w:val="16"/>
                <w:szCs w:val="16"/>
                <w:color w:val="auto"/>
              </w:rPr>
            </w:pPr>
          </w:p>
        </w:tc>
        <w:tc>
          <w:tcPr>
            <w:tcW w:w="3900" w:type="dxa"/>
            <w:vAlign w:val="bottom"/>
          </w:tcPr>
          <w:p>
            <w:pPr>
              <w:ind w:left="140"/>
              <w:spacing w:after="0"/>
              <w:rPr>
                <w:sz w:val="20"/>
                <w:szCs w:val="20"/>
                <w:color w:val="auto"/>
              </w:rPr>
            </w:pPr>
            <w:r>
              <w:rPr>
                <w:rFonts w:ascii="Arial" w:cs="Arial" w:eastAsia="Arial" w:hAnsi="Arial"/>
                <w:sz w:val="14"/>
                <w:szCs w:val="14"/>
                <w:color w:val="auto"/>
              </w:rPr>
              <w:t>3, 2029, August 2, 2029 and the maturity date</w:t>
            </w:r>
          </w:p>
        </w:tc>
      </w:tr>
      <w:tr>
        <w:trPr>
          <w:trHeight w:val="233"/>
        </w:trPr>
        <w:tc>
          <w:tcPr>
            <w:tcW w:w="1580" w:type="dxa"/>
            <w:vAlign w:val="bottom"/>
            <w:shd w:val="clear" w:color="auto" w:fill="DCEBF4"/>
          </w:tcPr>
          <w:p>
            <w:pPr>
              <w:ind w:left="100"/>
              <w:spacing w:after="0" w:line="233" w:lineRule="exact"/>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3900" w:type="dxa"/>
            <w:vAlign w:val="bottom"/>
            <w:shd w:val="clear" w:color="auto" w:fill="DCEBF4"/>
          </w:tcPr>
          <w:p>
            <w:pPr>
              <w:ind w:left="140"/>
              <w:spacing w:after="0"/>
              <w:rPr>
                <w:sz w:val="20"/>
                <w:szCs w:val="20"/>
                <w:color w:val="auto"/>
              </w:rPr>
            </w:pPr>
            <w:r>
              <w:rPr>
                <w:rFonts w:ascii="Arial" w:cs="Arial" w:eastAsia="Arial" w:hAnsi="Arial"/>
                <w:sz w:val="14"/>
                <w:szCs w:val="14"/>
                <w:color w:val="auto"/>
              </w:rPr>
              <w:t>November 2, 2029</w:t>
            </w:r>
          </w:p>
        </w:tc>
      </w:tr>
      <w:tr>
        <w:trPr>
          <w:trHeight w:val="200"/>
        </w:trPr>
        <w:tc>
          <w:tcPr>
            <w:tcW w:w="1580" w:type="dxa"/>
            <w:vAlign w:val="bottom"/>
          </w:tcPr>
          <w:p>
            <w:pPr>
              <w:ind w:left="100"/>
              <w:spacing w:after="0"/>
              <w:rPr>
                <w:sz w:val="20"/>
                <w:szCs w:val="20"/>
                <w:color w:val="auto"/>
              </w:rPr>
            </w:pPr>
            <w:r>
              <w:rPr>
                <w:rFonts w:ascii="Arial" w:cs="Arial" w:eastAsia="Arial" w:hAnsi="Arial"/>
                <w:sz w:val="14"/>
                <w:szCs w:val="14"/>
                <w:b w:val="1"/>
                <w:bCs w:val="1"/>
                <w:color w:val="296DC1"/>
              </w:rPr>
              <w:t>CUSIP / ISIN:</w:t>
            </w:r>
          </w:p>
        </w:tc>
        <w:tc>
          <w:tcPr>
            <w:tcW w:w="3900" w:type="dxa"/>
            <w:vAlign w:val="bottom"/>
          </w:tcPr>
          <w:p>
            <w:pPr>
              <w:ind w:left="140"/>
              <w:spacing w:after="0"/>
              <w:rPr>
                <w:sz w:val="20"/>
                <w:szCs w:val="20"/>
                <w:color w:val="auto"/>
              </w:rPr>
            </w:pPr>
            <w:r>
              <w:rPr>
                <w:rFonts w:ascii="Arial" w:cs="Arial" w:eastAsia="Arial" w:hAnsi="Arial"/>
                <w:sz w:val="14"/>
                <w:szCs w:val="14"/>
                <w:color w:val="auto"/>
              </w:rPr>
              <w:t>46661QRQ0 / US46661QRQ00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488690"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231775"/>
                    </a:xfrm>
                    <a:prstGeom prst="rect">
                      <a:avLst/>
                    </a:prstGeom>
                    <a:noFill/>
                  </pic:spPr>
                </pic:pic>
              </a:graphicData>
            </a:graphic>
          </wp:anchor>
        </w:drawing>
      </w:r>
    </w:p>
    <w:p>
      <w:pPr>
        <w:ind w:left="100"/>
        <w:spacing w:after="0"/>
        <w:tabs>
          <w:tab w:leader="none" w:pos="1700" w:val="left"/>
        </w:tabs>
        <w:rPr>
          <w:rFonts w:ascii="Arial" w:cs="Arial" w:eastAsia="Arial" w:hAnsi="Arial"/>
          <w:sz w:val="14"/>
          <w:szCs w:val="14"/>
          <w:u w:val="single" w:color="auto"/>
          <w:color w:val="0000EE"/>
        </w:rPr>
      </w:pPr>
      <w:r>
        <w:rPr>
          <w:rFonts w:ascii="Arial" w:cs="Arial" w:eastAsia="Arial" w:hAnsi="Arial"/>
          <w:sz w:val="14"/>
          <w:szCs w:val="14"/>
          <w:b w:val="1"/>
          <w:bCs w:val="1"/>
          <w:color w:val="296DC1"/>
        </w:rPr>
        <w:t>Preliminary pricing</w:t>
      </w:r>
      <w:r>
        <w:rPr>
          <w:sz w:val="20"/>
          <w:szCs w:val="20"/>
          <w:color w:val="auto"/>
        </w:rPr>
        <w:tab/>
      </w:r>
      <w:hyperlink r:id="rId15">
        <w:r>
          <w:rPr>
            <w:rFonts w:ascii="Arial" w:cs="Arial" w:eastAsia="Arial" w:hAnsi="Arial"/>
            <w:sz w:val="14"/>
            <w:szCs w:val="14"/>
            <w:u w:val="single" w:color="auto"/>
            <w:color w:val="0000EE"/>
          </w:rPr>
          <w:t>http://www.sec.gov/Archives/edgar/data/</w:t>
        </w:r>
      </w:hyperlink>
    </w:p>
    <w:p>
      <w:pPr>
        <w:spacing w:after="0" w:line="15" w:lineRule="exact"/>
        <w:rPr>
          <w:sz w:val="24"/>
          <w:szCs w:val="24"/>
          <w:color w:val="auto"/>
        </w:rPr>
      </w:pPr>
    </w:p>
    <w:p>
      <w:pPr>
        <w:ind w:left="100"/>
        <w:spacing w:after="0"/>
        <w:tabs>
          <w:tab w:leader="none" w:pos="1700" w:val="left"/>
        </w:tabs>
        <w:rPr>
          <w:rFonts w:ascii="Arial" w:cs="Arial" w:eastAsia="Arial" w:hAnsi="Arial"/>
          <w:sz w:val="14"/>
          <w:szCs w:val="14"/>
          <w:u w:val="single" w:color="auto"/>
          <w:color w:val="0000EE"/>
        </w:rPr>
      </w:pPr>
      <w:r>
        <w:rPr>
          <w:rFonts w:ascii="Arial" w:cs="Arial" w:eastAsia="Arial" w:hAnsi="Arial"/>
          <w:sz w:val="14"/>
          <w:szCs w:val="14"/>
          <w:b w:val="1"/>
          <w:bCs w:val="1"/>
          <w:color w:val="296DC1"/>
        </w:rPr>
        <w:t>supplement:</w:t>
      </w:r>
      <w:r>
        <w:rPr>
          <w:sz w:val="20"/>
          <w:szCs w:val="20"/>
          <w:color w:val="auto"/>
        </w:rPr>
        <w:tab/>
      </w:r>
      <w:hyperlink r:id="rId15">
        <w:r>
          <w:rPr>
            <w:rFonts w:ascii="Arial" w:cs="Arial" w:eastAsia="Arial" w:hAnsi="Arial"/>
            <w:sz w:val="14"/>
            <w:szCs w:val="14"/>
            <w:u w:val="single" w:color="auto"/>
            <w:color w:val="0000EE"/>
          </w:rPr>
          <w:t>19617/000121390026112209/ea0309577-01_424b2.htm</w:t>
        </w:r>
      </w:hyperlink>
    </w:p>
    <w:p>
      <w:pPr>
        <w:ind w:left="260"/>
        <w:spacing w:after="0" w:line="196"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w:t>
      </w:r>
    </w:p>
    <w:p>
      <w:pPr>
        <w:spacing w:after="0" w:line="1" w:lineRule="exact"/>
        <w:rPr>
          <w:sz w:val="24"/>
          <w:szCs w:val="24"/>
          <w:color w:val="auto"/>
        </w:rPr>
      </w:pPr>
    </w:p>
    <w:p>
      <w:pPr>
        <w:ind w:left="260"/>
        <w:spacing w:after="0" w:line="241"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spacing w:after="0" w:line="2" w:lineRule="exact"/>
        <w:rPr>
          <w:sz w:val="24"/>
          <w:szCs w:val="24"/>
          <w:color w:val="auto"/>
        </w:rPr>
      </w:pPr>
    </w:p>
    <w:p>
      <w:pPr>
        <w:ind w:left="260" w:right="120"/>
        <w:spacing w:after="0" w:line="252" w:lineRule="auto"/>
        <w:rPr>
          <w:sz w:val="20"/>
          <w:szCs w:val="20"/>
          <w:color w:val="auto"/>
        </w:rPr>
      </w:pPr>
      <w:r>
        <w:rPr>
          <w:rFonts w:ascii="Arial" w:cs="Arial" w:eastAsia="Arial" w:hAnsi="Arial"/>
          <w:sz w:val="14"/>
          <w:szCs w:val="14"/>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348869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88690" cy="342900"/>
                    </a:xfrm>
                    <a:prstGeom prst="rect">
                      <a:avLst/>
                    </a:prstGeom>
                    <a:noFill/>
                  </pic:spPr>
                </pic:pic>
              </a:graphicData>
            </a:graphic>
          </wp:anchor>
        </w:drawing>
      </w:r>
    </w:p>
    <w:p>
      <w:pPr>
        <w:spacing w:after="0" w:line="161"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FFFFFF"/>
        </w:rPr>
        <w:t>Hypothetical Payout at Maturity</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jc w:val="center"/>
              <w:spacing w:after="0"/>
              <w:rPr>
                <w:sz w:val="20"/>
                <w:szCs w:val="20"/>
                <w:color w:val="auto"/>
              </w:rPr>
            </w:pPr>
            <w:r>
              <w:rPr>
                <w:rFonts w:ascii="Arial" w:cs="Arial" w:eastAsia="Arial" w:hAnsi="Arial"/>
                <w:sz w:val="14"/>
                <w:szCs w:val="14"/>
                <w:b w:val="1"/>
                <w:bCs w:val="1"/>
                <w:color w:val="FFFFFF"/>
              </w:rPr>
              <w:t>Change in Worst Performing</w:t>
            </w:r>
          </w:p>
        </w:tc>
        <w:tc>
          <w:tcPr>
            <w:tcW w:w="2500" w:type="dxa"/>
            <w:vAlign w:val="bottom"/>
            <w:vMerge w:val="restart"/>
          </w:tcPr>
          <w:p>
            <w:pPr>
              <w:ind w:left="540"/>
              <w:spacing w:after="0"/>
              <w:rPr>
                <w:sz w:val="20"/>
                <w:szCs w:val="20"/>
                <w:color w:val="auto"/>
              </w:rPr>
            </w:pPr>
            <w:r>
              <w:rPr>
                <w:rFonts w:ascii="Arial" w:cs="Arial" w:eastAsia="Arial" w:hAnsi="Arial"/>
                <w:sz w:val="14"/>
                <w:szCs w:val="14"/>
                <w:b w:val="1"/>
                <w:bCs w:val="1"/>
                <w:color w:val="FFFFFF"/>
              </w:rPr>
              <w:t>Payment at Maturity*</w:t>
            </w:r>
          </w:p>
        </w:tc>
        <w:tc>
          <w:tcPr>
            <w:tcW w:w="0" w:type="dxa"/>
            <w:vAlign w:val="bottom"/>
          </w:tcPr>
          <w:p>
            <w:pPr>
              <w:spacing w:after="0"/>
              <w:rPr>
                <w:sz w:val="1"/>
                <w:szCs w:val="1"/>
                <w:color w:val="auto"/>
              </w:rPr>
            </w:pPr>
          </w:p>
        </w:tc>
      </w:tr>
      <w:tr>
        <w:trPr>
          <w:trHeight w:val="115"/>
        </w:trPr>
        <w:tc>
          <w:tcPr>
            <w:tcW w:w="2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Underlying Index</w:t>
            </w: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98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50.00%</w:t>
            </w:r>
          </w:p>
        </w:tc>
        <w:tc>
          <w:tcPr>
            <w:tcW w:w="25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tcPr>
          <w:p>
            <w:pPr>
              <w:jc w:val="center"/>
              <w:spacing w:after="0"/>
              <w:rPr>
                <w:sz w:val="20"/>
                <w:szCs w:val="20"/>
                <w:color w:val="auto"/>
              </w:rPr>
            </w:pPr>
            <w:r>
              <w:rPr>
                <w:rFonts w:ascii="Arial" w:cs="Arial" w:eastAsia="Arial" w:hAnsi="Arial"/>
                <w:sz w:val="14"/>
                <w:szCs w:val="14"/>
                <w:color w:val="auto"/>
              </w:rPr>
              <w:t>40.00%</w:t>
            </w:r>
          </w:p>
        </w:tc>
        <w:tc>
          <w:tcPr>
            <w:tcW w:w="2500" w:type="dxa"/>
            <w:vAlign w:val="bottom"/>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30.00%</w:t>
            </w:r>
          </w:p>
        </w:tc>
        <w:tc>
          <w:tcPr>
            <w:tcW w:w="25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tcPr>
          <w:p>
            <w:pPr>
              <w:jc w:val="center"/>
              <w:spacing w:after="0"/>
              <w:rPr>
                <w:sz w:val="20"/>
                <w:szCs w:val="20"/>
                <w:color w:val="auto"/>
              </w:rPr>
            </w:pPr>
            <w:r>
              <w:rPr>
                <w:rFonts w:ascii="Arial" w:cs="Arial" w:eastAsia="Arial" w:hAnsi="Arial"/>
                <w:sz w:val="14"/>
                <w:szCs w:val="14"/>
                <w:color w:val="auto"/>
              </w:rPr>
              <w:t>20.00%</w:t>
            </w:r>
          </w:p>
        </w:tc>
        <w:tc>
          <w:tcPr>
            <w:tcW w:w="2500" w:type="dxa"/>
            <w:vAlign w:val="bottom"/>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w:t>
            </w:r>
          </w:p>
        </w:tc>
        <w:tc>
          <w:tcPr>
            <w:tcW w:w="25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tcPr>
          <w:p>
            <w:pPr>
              <w:jc w:val="center"/>
              <w:spacing w:after="0"/>
              <w:rPr>
                <w:sz w:val="20"/>
                <w:szCs w:val="20"/>
                <w:color w:val="auto"/>
              </w:rPr>
            </w:pPr>
            <w:r>
              <w:rPr>
                <w:rFonts w:ascii="Arial" w:cs="Arial" w:eastAsia="Arial" w:hAnsi="Arial"/>
                <w:sz w:val="14"/>
                <w:szCs w:val="14"/>
                <w:color w:val="auto"/>
              </w:rPr>
              <w:t>5.00%</w:t>
            </w:r>
          </w:p>
        </w:tc>
        <w:tc>
          <w:tcPr>
            <w:tcW w:w="2500" w:type="dxa"/>
            <w:vAlign w:val="bottom"/>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shd w:val="clear" w:color="auto" w:fill="D1D1D1"/>
          </w:tcPr>
          <w:p>
            <w:pPr>
              <w:jc w:val="center"/>
              <w:spacing w:after="0"/>
              <w:rPr>
                <w:sz w:val="20"/>
                <w:szCs w:val="20"/>
                <w:color w:val="auto"/>
              </w:rPr>
            </w:pPr>
            <w:r>
              <w:rPr>
                <w:rFonts w:ascii="Arial" w:cs="Arial" w:eastAsia="Arial" w:hAnsi="Arial"/>
                <w:sz w:val="14"/>
                <w:szCs w:val="14"/>
                <w:color w:val="auto"/>
              </w:rPr>
              <w:t>0.00%</w:t>
            </w:r>
          </w:p>
        </w:tc>
        <w:tc>
          <w:tcPr>
            <w:tcW w:w="2500" w:type="dxa"/>
            <w:vAlign w:val="bottom"/>
            <w:shd w:val="clear" w:color="auto" w:fill="D1D1D1"/>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tcPr>
          <w:p>
            <w:pPr>
              <w:jc w:val="center"/>
              <w:spacing w:after="0"/>
              <w:rPr>
                <w:sz w:val="20"/>
                <w:szCs w:val="20"/>
                <w:color w:val="auto"/>
              </w:rPr>
            </w:pPr>
            <w:r>
              <w:rPr>
                <w:rFonts w:ascii="Arial" w:cs="Arial" w:eastAsia="Arial" w:hAnsi="Arial"/>
                <w:sz w:val="14"/>
                <w:szCs w:val="14"/>
                <w:color w:val="auto"/>
                <w:w w:val="99"/>
              </w:rPr>
              <w:t>-10.00%</w:t>
            </w:r>
          </w:p>
        </w:tc>
        <w:tc>
          <w:tcPr>
            <w:tcW w:w="2500" w:type="dxa"/>
            <w:vAlign w:val="bottom"/>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shd w:val="clear" w:color="auto" w:fill="D1D1D1"/>
          </w:tcPr>
          <w:p>
            <w:pPr>
              <w:jc w:val="center"/>
              <w:spacing w:after="0"/>
              <w:rPr>
                <w:sz w:val="20"/>
                <w:szCs w:val="20"/>
                <w:color w:val="auto"/>
              </w:rPr>
            </w:pPr>
            <w:r>
              <w:rPr>
                <w:rFonts w:ascii="Arial" w:cs="Arial" w:eastAsia="Arial" w:hAnsi="Arial"/>
                <w:sz w:val="14"/>
                <w:szCs w:val="14"/>
                <w:color w:val="auto"/>
                <w:w w:val="99"/>
              </w:rPr>
              <w:t>-20.00%</w:t>
            </w:r>
          </w:p>
        </w:tc>
        <w:tc>
          <w:tcPr>
            <w:tcW w:w="2500" w:type="dxa"/>
            <w:vAlign w:val="bottom"/>
            <w:shd w:val="clear" w:color="auto" w:fill="D1D1D1"/>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tcPr>
          <w:p>
            <w:pPr>
              <w:jc w:val="center"/>
              <w:spacing w:after="0"/>
              <w:rPr>
                <w:sz w:val="20"/>
                <w:szCs w:val="20"/>
                <w:color w:val="auto"/>
              </w:rPr>
            </w:pPr>
            <w:r>
              <w:rPr>
                <w:rFonts w:ascii="Arial" w:cs="Arial" w:eastAsia="Arial" w:hAnsi="Arial"/>
                <w:sz w:val="14"/>
                <w:szCs w:val="14"/>
                <w:color w:val="auto"/>
                <w:w w:val="99"/>
              </w:rPr>
              <w:t>-30.00%</w:t>
            </w:r>
          </w:p>
        </w:tc>
        <w:tc>
          <w:tcPr>
            <w:tcW w:w="2500" w:type="dxa"/>
            <w:vAlign w:val="bottom"/>
          </w:tcPr>
          <w:p>
            <w:pPr>
              <w:jc w:val="center"/>
              <w:spacing w:after="0"/>
              <w:rPr>
                <w:sz w:val="20"/>
                <w:szCs w:val="20"/>
                <w:color w:val="auto"/>
              </w:rPr>
            </w:pPr>
            <w:r>
              <w:rPr>
                <w:rFonts w:ascii="Arial" w:cs="Arial" w:eastAsia="Arial" w:hAnsi="Arial"/>
                <w:sz w:val="14"/>
                <w:szCs w:val="14"/>
                <w:color w:val="auto"/>
              </w:rPr>
              <w:t>$1,291.00</w:t>
            </w:r>
          </w:p>
        </w:tc>
        <w:tc>
          <w:tcPr>
            <w:tcW w:w="0" w:type="dxa"/>
            <w:vAlign w:val="bottom"/>
          </w:tcPr>
          <w:p>
            <w:pPr>
              <w:spacing w:after="0"/>
              <w:rPr>
                <w:sz w:val="1"/>
                <w:szCs w:val="1"/>
                <w:color w:val="auto"/>
              </w:rPr>
            </w:pPr>
          </w:p>
        </w:tc>
      </w:tr>
      <w:tr>
        <w:trPr>
          <w:trHeight w:val="162"/>
        </w:trPr>
        <w:tc>
          <w:tcPr>
            <w:tcW w:w="2980" w:type="dxa"/>
            <w:vAlign w:val="bottom"/>
            <w:shd w:val="clear" w:color="auto" w:fill="D1D1D1"/>
          </w:tcPr>
          <w:p>
            <w:pPr>
              <w:jc w:val="center"/>
              <w:spacing w:after="0"/>
              <w:rPr>
                <w:sz w:val="20"/>
                <w:szCs w:val="20"/>
                <w:color w:val="auto"/>
              </w:rPr>
            </w:pPr>
            <w:r>
              <w:rPr>
                <w:rFonts w:ascii="Arial" w:cs="Arial" w:eastAsia="Arial" w:hAnsi="Arial"/>
                <w:sz w:val="14"/>
                <w:szCs w:val="14"/>
                <w:color w:val="auto"/>
                <w:w w:val="99"/>
              </w:rPr>
              <w:t>-30.01%</w:t>
            </w:r>
          </w:p>
        </w:tc>
        <w:tc>
          <w:tcPr>
            <w:tcW w:w="2500" w:type="dxa"/>
            <w:vAlign w:val="bottom"/>
            <w:shd w:val="clear" w:color="auto" w:fill="D1D1D1"/>
          </w:tcPr>
          <w:p>
            <w:pPr>
              <w:jc w:val="center"/>
              <w:spacing w:after="0"/>
              <w:rPr>
                <w:sz w:val="20"/>
                <w:szCs w:val="20"/>
                <w:color w:val="auto"/>
              </w:rPr>
            </w:pPr>
            <w:r>
              <w:rPr>
                <w:rFonts w:ascii="Arial" w:cs="Arial" w:eastAsia="Arial" w:hAnsi="Arial"/>
                <w:sz w:val="14"/>
                <w:szCs w:val="14"/>
                <w:color w:val="auto"/>
              </w:rPr>
              <w:t>$699.90</w:t>
            </w:r>
          </w:p>
        </w:tc>
        <w:tc>
          <w:tcPr>
            <w:tcW w:w="0" w:type="dxa"/>
            <w:vAlign w:val="bottom"/>
          </w:tcPr>
          <w:p>
            <w:pPr>
              <w:spacing w:after="0"/>
              <w:rPr>
                <w:sz w:val="1"/>
                <w:szCs w:val="1"/>
                <w:color w:val="auto"/>
              </w:rPr>
            </w:pPr>
          </w:p>
        </w:tc>
      </w:tr>
      <w:tr>
        <w:trPr>
          <w:trHeight w:val="162"/>
        </w:trPr>
        <w:tc>
          <w:tcPr>
            <w:tcW w:w="2980" w:type="dxa"/>
            <w:vAlign w:val="bottom"/>
          </w:tcPr>
          <w:p>
            <w:pPr>
              <w:jc w:val="center"/>
              <w:spacing w:after="0"/>
              <w:rPr>
                <w:sz w:val="20"/>
                <w:szCs w:val="20"/>
                <w:color w:val="auto"/>
              </w:rPr>
            </w:pPr>
            <w:r>
              <w:rPr>
                <w:rFonts w:ascii="Arial" w:cs="Arial" w:eastAsia="Arial" w:hAnsi="Arial"/>
                <w:sz w:val="14"/>
                <w:szCs w:val="14"/>
                <w:color w:val="auto"/>
                <w:w w:val="99"/>
              </w:rPr>
              <w:t>-40.00%</w:t>
            </w:r>
          </w:p>
        </w:tc>
        <w:tc>
          <w:tcPr>
            <w:tcW w:w="2500" w:type="dxa"/>
            <w:vAlign w:val="bottom"/>
          </w:tcPr>
          <w:p>
            <w:pPr>
              <w:jc w:val="center"/>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62"/>
        </w:trPr>
        <w:tc>
          <w:tcPr>
            <w:tcW w:w="2980" w:type="dxa"/>
            <w:vAlign w:val="bottom"/>
            <w:shd w:val="clear" w:color="auto" w:fill="D1D1D1"/>
          </w:tcPr>
          <w:p>
            <w:pPr>
              <w:jc w:val="center"/>
              <w:spacing w:after="0"/>
              <w:rPr>
                <w:sz w:val="20"/>
                <w:szCs w:val="20"/>
                <w:color w:val="auto"/>
              </w:rPr>
            </w:pPr>
            <w:r>
              <w:rPr>
                <w:rFonts w:ascii="Arial" w:cs="Arial" w:eastAsia="Arial" w:hAnsi="Arial"/>
                <w:sz w:val="14"/>
                <w:szCs w:val="14"/>
                <w:color w:val="auto"/>
                <w:w w:val="99"/>
              </w:rPr>
              <w:t>-50.00%</w:t>
            </w:r>
          </w:p>
        </w:tc>
        <w:tc>
          <w:tcPr>
            <w:tcW w:w="2500" w:type="dxa"/>
            <w:vAlign w:val="bottom"/>
            <w:shd w:val="clear" w:color="auto" w:fill="D1D1D1"/>
          </w:tcPr>
          <w:p>
            <w:pPr>
              <w:jc w:val="center"/>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2"/>
        </w:trPr>
        <w:tc>
          <w:tcPr>
            <w:tcW w:w="2980" w:type="dxa"/>
            <w:vAlign w:val="bottom"/>
          </w:tcPr>
          <w:p>
            <w:pPr>
              <w:jc w:val="center"/>
              <w:spacing w:after="0"/>
              <w:rPr>
                <w:sz w:val="20"/>
                <w:szCs w:val="20"/>
                <w:color w:val="auto"/>
              </w:rPr>
            </w:pPr>
            <w:r>
              <w:rPr>
                <w:rFonts w:ascii="Arial" w:cs="Arial" w:eastAsia="Arial" w:hAnsi="Arial"/>
                <w:sz w:val="14"/>
                <w:szCs w:val="14"/>
                <w:color w:val="auto"/>
                <w:w w:val="99"/>
              </w:rPr>
              <w:t>-60.00%</w:t>
            </w:r>
          </w:p>
        </w:tc>
        <w:tc>
          <w:tcPr>
            <w:tcW w:w="2500" w:type="dxa"/>
            <w:vAlign w:val="bottom"/>
          </w:tcPr>
          <w:p>
            <w:pPr>
              <w:jc w:val="center"/>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62"/>
        </w:trPr>
        <w:tc>
          <w:tcPr>
            <w:tcW w:w="2980" w:type="dxa"/>
            <w:vAlign w:val="bottom"/>
            <w:shd w:val="clear" w:color="auto" w:fill="D1D1D1"/>
          </w:tcPr>
          <w:p>
            <w:pPr>
              <w:jc w:val="center"/>
              <w:spacing w:after="0"/>
              <w:rPr>
                <w:sz w:val="20"/>
                <w:szCs w:val="20"/>
                <w:color w:val="auto"/>
              </w:rPr>
            </w:pPr>
            <w:r>
              <w:rPr>
                <w:rFonts w:ascii="Arial" w:cs="Arial" w:eastAsia="Arial" w:hAnsi="Arial"/>
                <w:sz w:val="14"/>
                <w:szCs w:val="14"/>
                <w:color w:val="auto"/>
                <w:w w:val="99"/>
              </w:rPr>
              <w:t>-80.00%</w:t>
            </w:r>
          </w:p>
        </w:tc>
        <w:tc>
          <w:tcPr>
            <w:tcW w:w="2500" w:type="dxa"/>
            <w:vAlign w:val="bottom"/>
            <w:shd w:val="clear" w:color="auto" w:fill="D1D1D1"/>
          </w:tcPr>
          <w:p>
            <w:pPr>
              <w:jc w:val="center"/>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56"/>
        </w:trPr>
        <w:tc>
          <w:tcPr>
            <w:tcW w:w="2980" w:type="dxa"/>
            <w:vAlign w:val="bottom"/>
          </w:tcPr>
          <w:p>
            <w:pPr>
              <w:jc w:val="center"/>
              <w:spacing w:after="0" w:line="156" w:lineRule="exact"/>
              <w:rPr>
                <w:sz w:val="20"/>
                <w:szCs w:val="20"/>
                <w:color w:val="auto"/>
              </w:rPr>
            </w:pPr>
            <w:r>
              <w:rPr>
                <w:rFonts w:ascii="Arial" w:cs="Arial" w:eastAsia="Arial" w:hAnsi="Arial"/>
                <w:sz w:val="14"/>
                <w:szCs w:val="14"/>
                <w:color w:val="auto"/>
              </w:rPr>
              <w:t>-100.00%</w:t>
            </w:r>
          </w:p>
        </w:tc>
        <w:tc>
          <w:tcPr>
            <w:tcW w:w="2500" w:type="dxa"/>
            <w:vAlign w:val="bottom"/>
          </w:tcPr>
          <w:p>
            <w:pPr>
              <w:jc w:val="center"/>
              <w:spacing w:after="0" w:line="156"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color w:val="auto"/>
        </w:rPr>
        <w:t>*if no automatic early redemption occurs and assumes a maturity redemption amount of $1,291.00</w:t>
      </w:r>
    </w:p>
    <w:p>
      <w:pPr>
        <w:spacing w:after="0" w:line="2423" w:lineRule="exact"/>
        <w:rPr>
          <w:sz w:val="24"/>
          <w:szCs w:val="24"/>
          <w:color w:val="auto"/>
        </w:rPr>
      </w:pPr>
    </w:p>
    <w:p>
      <w:pPr>
        <w:sectPr>
          <w:pgSz w:w="11900" w:h="16838" w:orient="portrait"/>
          <w:cols w:equalWidth="0" w:num="3">
            <w:col w:w="1520" w:space="200"/>
            <w:col w:w="3780" w:space="240"/>
            <w:col w:w="5500"/>
          </w:cols>
          <w:pgMar w:left="320" w:top="219"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560" w:type="dxa"/>
            <w:vAlign w:val="bottom"/>
          </w:tcPr>
          <w:p>
            <w:pPr>
              <w:ind w:left="100"/>
              <w:spacing w:after="0"/>
              <w:rPr>
                <w:sz w:val="20"/>
                <w:szCs w:val="20"/>
                <w:color w:val="auto"/>
              </w:rPr>
            </w:pPr>
            <w:r>
              <w:rPr>
                <w:rFonts w:ascii="Arial" w:cs="Arial" w:eastAsia="Arial" w:hAnsi="Arial"/>
                <w:sz w:val="14"/>
                <w:szCs w:val="14"/>
                <w:b w:val="1"/>
                <w:bCs w:val="1"/>
                <w:color w:val="296DC1"/>
              </w:rPr>
              <w:t>Final index value:</w:t>
            </w:r>
          </w:p>
        </w:tc>
        <w:tc>
          <w:tcPr>
            <w:tcW w:w="3940" w:type="dxa"/>
            <w:vAlign w:val="bottom"/>
          </w:tcPr>
          <w:p>
            <w:pPr>
              <w:ind w:left="160"/>
              <w:spacing w:after="0"/>
              <w:rPr>
                <w:sz w:val="20"/>
                <w:szCs w:val="20"/>
                <w:color w:val="auto"/>
              </w:rPr>
            </w:pPr>
            <w:r>
              <w:rPr>
                <w:rFonts w:ascii="Arial" w:cs="Arial" w:eastAsia="Arial" w:hAnsi="Arial"/>
                <w:sz w:val="14"/>
                <w:szCs w:val="14"/>
                <w:color w:val="auto"/>
              </w:rPr>
              <w:t>With respect to each underlying index, its closing level on</w:t>
            </w:r>
          </w:p>
        </w:tc>
      </w:tr>
      <w:tr>
        <w:trPr>
          <w:trHeight w:val="194"/>
        </w:trPr>
        <w:tc>
          <w:tcPr>
            <w:tcW w:w="1560" w:type="dxa"/>
            <w:vAlign w:val="bottom"/>
          </w:tcPr>
          <w:p>
            <w:pPr>
              <w:spacing w:after="0"/>
              <w:rPr>
                <w:sz w:val="16"/>
                <w:szCs w:val="16"/>
                <w:color w:val="auto"/>
              </w:rPr>
            </w:pPr>
          </w:p>
        </w:tc>
        <w:tc>
          <w:tcPr>
            <w:tcW w:w="3940" w:type="dxa"/>
            <w:vAlign w:val="bottom"/>
          </w:tcPr>
          <w:p>
            <w:pPr>
              <w:ind w:left="160"/>
              <w:spacing w:after="0"/>
              <w:rPr>
                <w:sz w:val="20"/>
                <w:szCs w:val="20"/>
                <w:color w:val="auto"/>
              </w:rPr>
            </w:pPr>
            <w:r>
              <w:rPr>
                <w:rFonts w:ascii="Arial" w:cs="Arial" w:eastAsia="Arial" w:hAnsi="Arial"/>
                <w:sz w:val="14"/>
                <w:szCs w:val="14"/>
                <w:color w:val="auto"/>
              </w:rPr>
              <w:t>the final determination date</w:t>
            </w:r>
          </w:p>
        </w:tc>
      </w:tr>
      <w:tr>
        <w:trPr>
          <w:trHeight w:val="184"/>
        </w:trPr>
        <w:tc>
          <w:tcPr>
            <w:tcW w:w="15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Worst performing</w:t>
            </w:r>
          </w:p>
        </w:tc>
        <w:tc>
          <w:tcPr>
            <w:tcW w:w="3940" w:type="dxa"/>
            <w:vAlign w:val="bottom"/>
            <w:shd w:val="clear" w:color="auto" w:fill="DCEBF4"/>
          </w:tcPr>
          <w:p>
            <w:pPr>
              <w:ind w:left="160"/>
              <w:spacing w:after="0"/>
              <w:rPr>
                <w:sz w:val="20"/>
                <w:szCs w:val="20"/>
                <w:color w:val="auto"/>
              </w:rPr>
            </w:pPr>
            <w:r>
              <w:rPr>
                <w:rFonts w:ascii="Arial" w:cs="Arial" w:eastAsia="Arial" w:hAnsi="Arial"/>
                <w:sz w:val="14"/>
                <w:szCs w:val="14"/>
                <w:color w:val="auto"/>
              </w:rPr>
              <w:t>The underlying index with the worst index performance</w:t>
            </w:r>
          </w:p>
        </w:tc>
      </w:tr>
      <w:tr>
        <w:trPr>
          <w:trHeight w:val="198"/>
        </w:trPr>
        <w:tc>
          <w:tcPr>
            <w:tcW w:w="15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underlying index:</w:t>
            </w:r>
          </w:p>
        </w:tc>
        <w:tc>
          <w:tcPr>
            <w:tcW w:w="3940" w:type="dxa"/>
            <w:vAlign w:val="bottom"/>
            <w:shd w:val="clear" w:color="auto" w:fill="DCEBF4"/>
          </w:tcPr>
          <w:p>
            <w:pPr>
              <w:ind w:left="160"/>
              <w:spacing w:after="0"/>
              <w:rPr>
                <w:sz w:val="20"/>
                <w:szCs w:val="20"/>
                <w:color w:val="auto"/>
              </w:rPr>
            </w:pPr>
            <w:r>
              <w:rPr>
                <w:rFonts w:ascii="Arial" w:cs="Arial" w:eastAsia="Arial" w:hAnsi="Arial"/>
                <w:sz w:val="14"/>
                <w:szCs w:val="14"/>
                <w:color w:val="auto"/>
              </w:rPr>
              <w:t>factor</w:t>
            </w:r>
          </w:p>
        </w:tc>
      </w:tr>
      <w:tr>
        <w:trPr>
          <w:trHeight w:val="180"/>
        </w:trPr>
        <w:tc>
          <w:tcPr>
            <w:tcW w:w="1560" w:type="dxa"/>
            <w:vAlign w:val="bottom"/>
          </w:tcPr>
          <w:p>
            <w:pPr>
              <w:ind w:left="100"/>
              <w:spacing w:after="0"/>
              <w:rPr>
                <w:sz w:val="20"/>
                <w:szCs w:val="20"/>
                <w:color w:val="auto"/>
              </w:rPr>
            </w:pPr>
            <w:r>
              <w:rPr>
                <w:rFonts w:ascii="Arial" w:cs="Arial" w:eastAsia="Arial" w:hAnsi="Arial"/>
                <w:sz w:val="14"/>
                <w:szCs w:val="14"/>
                <w:b w:val="1"/>
                <w:bCs w:val="1"/>
                <w:color w:val="296DC1"/>
              </w:rPr>
              <w:t>Index performance</w:t>
            </w:r>
          </w:p>
        </w:tc>
        <w:tc>
          <w:tcPr>
            <w:tcW w:w="3940" w:type="dxa"/>
            <w:vAlign w:val="bottom"/>
          </w:tcPr>
          <w:p>
            <w:pPr>
              <w:ind w:left="160"/>
              <w:spacing w:after="0"/>
              <w:rPr>
                <w:sz w:val="20"/>
                <w:szCs w:val="20"/>
                <w:color w:val="auto"/>
              </w:rPr>
            </w:pPr>
            <w:r>
              <w:rPr>
                <w:rFonts w:ascii="Arial" w:cs="Arial" w:eastAsia="Arial" w:hAnsi="Arial"/>
                <w:sz w:val="14"/>
                <w:szCs w:val="14"/>
                <w:color w:val="auto"/>
              </w:rPr>
              <w:t>With respect to each underlying index, its final index</w:t>
            </w:r>
          </w:p>
        </w:tc>
      </w:tr>
      <w:tr>
        <w:trPr>
          <w:trHeight w:val="197"/>
        </w:trPr>
        <w:tc>
          <w:tcPr>
            <w:tcW w:w="156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3940" w:type="dxa"/>
            <w:vAlign w:val="bottom"/>
          </w:tcPr>
          <w:p>
            <w:pPr>
              <w:ind w:left="160"/>
              <w:spacing w:after="0"/>
              <w:rPr>
                <w:sz w:val="20"/>
                <w:szCs w:val="20"/>
                <w:color w:val="auto"/>
              </w:rPr>
            </w:pPr>
            <w:r>
              <w:rPr>
                <w:rFonts w:ascii="Arial" w:cs="Arial" w:eastAsia="Arial" w:hAnsi="Arial"/>
                <w:sz w:val="14"/>
                <w:szCs w:val="14"/>
                <w:color w:val="auto"/>
              </w:rPr>
              <w:t xml:space="preserve">value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its initial index value</w:t>
            </w:r>
          </w:p>
        </w:tc>
      </w:tr>
      <w:tr>
        <w:trPr>
          <w:trHeight w:val="181"/>
        </w:trPr>
        <w:tc>
          <w:tcPr>
            <w:tcW w:w="15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Stated principal</w:t>
            </w:r>
          </w:p>
        </w:tc>
        <w:tc>
          <w:tcPr>
            <w:tcW w:w="3940" w:type="dxa"/>
            <w:vAlign w:val="bottom"/>
            <w:shd w:val="clear" w:color="auto" w:fill="DCEBF4"/>
          </w:tcPr>
          <w:p>
            <w:pPr>
              <w:ind w:left="160"/>
              <w:spacing w:after="0"/>
              <w:rPr>
                <w:sz w:val="20"/>
                <w:szCs w:val="20"/>
                <w:color w:val="auto"/>
              </w:rPr>
            </w:pPr>
            <w:r>
              <w:rPr>
                <w:rFonts w:ascii="Arial" w:cs="Arial" w:eastAsia="Arial" w:hAnsi="Arial"/>
                <w:sz w:val="14"/>
                <w:szCs w:val="14"/>
                <w:color w:val="auto"/>
              </w:rPr>
              <w:t>$1,000 per security</w:t>
            </w:r>
          </w:p>
        </w:tc>
      </w:tr>
      <w:tr>
        <w:trPr>
          <w:trHeight w:val="198"/>
        </w:trPr>
        <w:tc>
          <w:tcPr>
            <w:tcW w:w="15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amount:</w:t>
            </w:r>
          </w:p>
        </w:tc>
        <w:tc>
          <w:tcPr>
            <w:tcW w:w="3940" w:type="dxa"/>
            <w:vAlign w:val="bottom"/>
            <w:shd w:val="clear" w:color="auto" w:fill="DCEBF4"/>
          </w:tcPr>
          <w:p>
            <w:pPr>
              <w:spacing w:after="0"/>
              <w:rPr>
                <w:sz w:val="17"/>
                <w:szCs w:val="17"/>
                <w:color w:val="auto"/>
              </w:rPr>
            </w:pPr>
          </w:p>
        </w:tc>
      </w:tr>
      <w:tr>
        <w:trPr>
          <w:trHeight w:val="215"/>
        </w:trPr>
        <w:tc>
          <w:tcPr>
            <w:tcW w:w="1560" w:type="dxa"/>
            <w:vAlign w:val="bottom"/>
          </w:tcPr>
          <w:p>
            <w:pPr>
              <w:ind w:left="100"/>
              <w:spacing w:after="0"/>
              <w:rPr>
                <w:sz w:val="20"/>
                <w:szCs w:val="20"/>
                <w:color w:val="auto"/>
              </w:rPr>
            </w:pPr>
            <w:r>
              <w:rPr>
                <w:rFonts w:ascii="Arial" w:cs="Arial" w:eastAsia="Arial" w:hAnsi="Arial"/>
                <w:sz w:val="14"/>
                <w:szCs w:val="14"/>
                <w:b w:val="1"/>
                <w:bCs w:val="1"/>
                <w:color w:val="296DC1"/>
              </w:rPr>
              <w:t>Issue price:</w:t>
            </w:r>
          </w:p>
        </w:tc>
        <w:tc>
          <w:tcPr>
            <w:tcW w:w="3940" w:type="dxa"/>
            <w:vAlign w:val="bottom"/>
          </w:tcPr>
          <w:p>
            <w:pPr>
              <w:ind w:left="160"/>
              <w:spacing w:after="0"/>
              <w:rPr>
                <w:sz w:val="20"/>
                <w:szCs w:val="20"/>
                <w:color w:val="auto"/>
              </w:rPr>
            </w:pPr>
            <w:r>
              <w:rPr>
                <w:rFonts w:ascii="Arial" w:cs="Arial" w:eastAsia="Arial" w:hAnsi="Arial"/>
                <w:sz w:val="14"/>
                <w:szCs w:val="14"/>
                <w:color w:val="auto"/>
              </w:rPr>
              <w:t>$1,000 per security</w:t>
            </w:r>
          </w:p>
        </w:tc>
      </w:tr>
      <w:tr>
        <w:trPr>
          <w:trHeight w:val="217"/>
        </w:trPr>
        <w:tc>
          <w:tcPr>
            <w:tcW w:w="15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Pricing date:</w:t>
            </w:r>
          </w:p>
        </w:tc>
        <w:tc>
          <w:tcPr>
            <w:tcW w:w="3940" w:type="dxa"/>
            <w:vAlign w:val="bottom"/>
            <w:shd w:val="clear" w:color="auto" w:fill="DCEBF4"/>
          </w:tcPr>
          <w:p>
            <w:pPr>
              <w:ind w:left="160"/>
              <w:spacing w:after="0"/>
              <w:rPr>
                <w:sz w:val="20"/>
                <w:szCs w:val="20"/>
                <w:color w:val="auto"/>
              </w:rPr>
            </w:pPr>
            <w:r>
              <w:rPr>
                <w:rFonts w:ascii="Arial" w:cs="Arial" w:eastAsia="Arial" w:hAnsi="Arial"/>
                <w:sz w:val="14"/>
                <w:szCs w:val="14"/>
                <w:color w:val="auto"/>
              </w:rPr>
              <w:t>Expected to be October 30, 2026</w:t>
            </w:r>
          </w:p>
        </w:tc>
      </w:tr>
      <w:tr>
        <w:trPr>
          <w:trHeight w:val="180"/>
        </w:trPr>
        <w:tc>
          <w:tcPr>
            <w:tcW w:w="1560" w:type="dxa"/>
            <w:vAlign w:val="bottom"/>
          </w:tcPr>
          <w:p>
            <w:pPr>
              <w:ind w:left="100"/>
              <w:spacing w:after="0"/>
              <w:rPr>
                <w:sz w:val="20"/>
                <w:szCs w:val="20"/>
                <w:color w:val="auto"/>
              </w:rPr>
            </w:pPr>
            <w:r>
              <w:rPr>
                <w:rFonts w:ascii="Arial" w:cs="Arial" w:eastAsia="Arial" w:hAnsi="Arial"/>
                <w:sz w:val="14"/>
                <w:szCs w:val="14"/>
                <w:b w:val="1"/>
                <w:bCs w:val="1"/>
                <w:color w:val="296DC1"/>
              </w:rPr>
              <w:t>Original issue date</w:t>
            </w:r>
          </w:p>
        </w:tc>
        <w:tc>
          <w:tcPr>
            <w:tcW w:w="3940" w:type="dxa"/>
            <w:vAlign w:val="bottom"/>
          </w:tcPr>
          <w:p>
            <w:pPr>
              <w:ind w:left="160"/>
              <w:spacing w:after="0"/>
              <w:rPr>
                <w:sz w:val="20"/>
                <w:szCs w:val="20"/>
                <w:color w:val="auto"/>
              </w:rPr>
            </w:pPr>
            <w:r>
              <w:rPr>
                <w:rFonts w:ascii="Arial" w:cs="Arial" w:eastAsia="Arial" w:hAnsi="Arial"/>
                <w:sz w:val="14"/>
                <w:szCs w:val="14"/>
                <w:color w:val="auto"/>
              </w:rPr>
              <w:t>3 business days after the pricing date</w:t>
            </w:r>
          </w:p>
        </w:tc>
      </w:tr>
      <w:tr>
        <w:trPr>
          <w:trHeight w:val="196"/>
        </w:trPr>
        <w:tc>
          <w:tcPr>
            <w:tcW w:w="1560" w:type="dxa"/>
            <w:vAlign w:val="bottom"/>
          </w:tcPr>
          <w:p>
            <w:pPr>
              <w:ind w:left="100"/>
              <w:spacing w:after="0"/>
              <w:rPr>
                <w:sz w:val="20"/>
                <w:szCs w:val="20"/>
                <w:color w:val="auto"/>
              </w:rPr>
            </w:pPr>
            <w:r>
              <w:rPr>
                <w:rFonts w:ascii="Arial" w:cs="Arial" w:eastAsia="Arial" w:hAnsi="Arial"/>
                <w:sz w:val="14"/>
                <w:szCs w:val="14"/>
                <w:b w:val="1"/>
                <w:bCs w:val="1"/>
                <w:color w:val="296DC1"/>
              </w:rPr>
              <w:t>(settlement date):</w:t>
            </w:r>
          </w:p>
        </w:tc>
        <w:tc>
          <w:tcPr>
            <w:tcW w:w="3940" w:type="dxa"/>
            <w:vAlign w:val="bottom"/>
          </w:tcPr>
          <w:p>
            <w:pPr>
              <w:spacing w:after="0"/>
              <w:rPr>
                <w:sz w:val="17"/>
                <w:szCs w:val="17"/>
                <w:color w:val="auto"/>
              </w:rPr>
            </w:pPr>
          </w:p>
        </w:tc>
      </w:tr>
    </w:tbl>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ind w:right="480"/>
        <w:spacing w:after="0" w:line="248" w:lineRule="auto"/>
        <w:rPr>
          <w:sz w:val="20"/>
          <w:szCs w:val="20"/>
          <w:color w:val="auto"/>
        </w:rPr>
      </w:pPr>
      <w:r>
        <w:rPr>
          <w:rFonts w:ascii="Arial" w:cs="Arial" w:eastAsia="Arial" w:hAnsi="Arial"/>
          <w:sz w:val="29"/>
          <w:szCs w:val="29"/>
          <w:color w:val="296DC1"/>
        </w:rPr>
        <w:t>3-Year RTY/SPX/NDX Enhanced Jump Securities with Auto-Callable Feature with 1-Year Initial Non-Call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296DC1"/>
        </w:rPr>
        <w:t>Underlying Indices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about the underlying indices, including historical performance information, see the accompanying preliminary pricing supplement.</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296DC1"/>
        </w:rPr>
        <w:t>Risk Considerations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risks identified below are not exhaustive. Please see “Risk Factors” in the accompanying prospectus supplement, product supplement and preliminary pricing supplement.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Securities Generally</w:t>
      </w:r>
    </w:p>
    <w:p>
      <w:pPr>
        <w:ind w:left="340" w:hanging="332"/>
        <w:spacing w:after="0" w:line="182" w:lineRule="auto"/>
        <w:tabs>
          <w:tab w:leader="none" w:pos="340" w:val="left"/>
        </w:tabs>
        <w:numPr>
          <w:ilvl w:val="0"/>
          <w:numId w:val="3"/>
        </w:numPr>
        <w:rPr>
          <w:rFonts w:ascii="Wingdings" w:cs="Wingdings" w:eastAsia="Wingdings" w:hAnsi="Wingdings"/>
          <w:sz w:val="22"/>
          <w:szCs w:val="22"/>
          <w:b w:val="1"/>
          <w:bCs w:val="1"/>
          <w:color w:val="A3C4EB"/>
        </w:rPr>
      </w:pPr>
      <w:r>
        <w:rPr>
          <w:rFonts w:ascii="Arial" w:cs="Arial" w:eastAsia="Arial" w:hAnsi="Arial"/>
          <w:sz w:val="14"/>
          <w:szCs w:val="14"/>
          <w:color w:val="auto"/>
        </w:rPr>
        <w:t>The securities do not pay interest or guarantee the return of any principal and your investment in the securities may result in a loss.</w:t>
      </w:r>
    </w:p>
    <w:p>
      <w:pPr>
        <w:spacing w:after="0" w:line="53" w:lineRule="exact"/>
        <w:rPr>
          <w:rFonts w:ascii="Wingdings" w:cs="Wingdings" w:eastAsia="Wingdings" w:hAnsi="Wingdings"/>
          <w:sz w:val="22"/>
          <w:szCs w:val="22"/>
          <w:b w:val="1"/>
          <w:bCs w:val="1"/>
          <w:color w:val="A3C4EB"/>
        </w:rPr>
      </w:pPr>
    </w:p>
    <w:p>
      <w:pPr>
        <w:ind w:left="340" w:hanging="332"/>
        <w:spacing w:after="0" w:line="191"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The appreciation potential of the securities is limited.</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You are exposed to the price risk of each underlying index.</w:t>
      </w:r>
    </w:p>
    <w:p>
      <w:pPr>
        <w:spacing w:after="0" w:line="52" w:lineRule="exact"/>
        <w:rPr>
          <w:rFonts w:ascii="Wingdings" w:cs="Wingdings" w:eastAsia="Wingdings" w:hAnsi="Wingdings"/>
          <w:sz w:val="20"/>
          <w:szCs w:val="20"/>
          <w:b w:val="1"/>
          <w:bCs w:val="1"/>
          <w:color w:val="A3C4EB"/>
        </w:rPr>
      </w:pPr>
    </w:p>
    <w:p>
      <w:pPr>
        <w:ind w:left="340" w:right="20" w:hanging="332"/>
        <w:spacing w:after="0" w:line="192" w:lineRule="auto"/>
        <w:tabs>
          <w:tab w:leader="none" w:pos="340" w:val="left"/>
        </w:tabs>
        <w:numPr>
          <w:ilvl w:val="0"/>
          <w:numId w:val="3"/>
        </w:numPr>
        <w:rPr>
          <w:rFonts w:ascii="Wingdings" w:cs="Wingdings" w:eastAsia="Wingdings" w:hAnsi="Wingdings"/>
          <w:sz w:val="22"/>
          <w:szCs w:val="22"/>
          <w:b w:val="1"/>
          <w:bCs w:val="1"/>
          <w:color w:val="A3C4EB"/>
        </w:rPr>
      </w:pPr>
      <w:r>
        <w:rPr>
          <w:rFonts w:ascii="Arial" w:cs="Arial" w:eastAsia="Arial" w:hAnsi="Arial"/>
          <w:sz w:val="14"/>
          <w:szCs w:val="14"/>
          <w:color w:val="auto"/>
        </w:rPr>
        <w:t>Because the securities are linked to the performance of the worst performing underlying index, you are exposed to greater risks of no early redemption payment or maturity redemption payment and sustaining a significant loss on your investment than if the securities were linked to just one underlying index.</w:t>
      </w:r>
    </w:p>
    <w:p>
      <w:pPr>
        <w:spacing w:after="0" w:line="1" w:lineRule="exact"/>
        <w:rPr>
          <w:rFonts w:ascii="Wingdings" w:cs="Wingdings" w:eastAsia="Wingdings" w:hAnsi="Wingdings"/>
          <w:sz w:val="22"/>
          <w:szCs w:val="22"/>
          <w:b w:val="1"/>
          <w:bCs w:val="1"/>
          <w:color w:val="A3C4EB"/>
        </w:rPr>
      </w:pPr>
    </w:p>
    <w:p>
      <w:pPr>
        <w:ind w:left="340" w:right="80" w:hanging="332"/>
        <w:spacing w:after="0" w:line="191" w:lineRule="auto"/>
        <w:tabs>
          <w:tab w:leader="none" w:pos="340" w:val="left"/>
        </w:tabs>
        <w:numPr>
          <w:ilvl w:val="0"/>
          <w:numId w:val="3"/>
        </w:numPr>
        <w:rPr>
          <w:rFonts w:ascii="Wingdings" w:cs="Wingdings" w:eastAsia="Wingdings" w:hAnsi="Wingdings"/>
          <w:sz w:val="22"/>
          <w:szCs w:val="22"/>
          <w:b w:val="1"/>
          <w:bCs w:val="1"/>
          <w:color w:val="A3C4EB"/>
        </w:rPr>
      </w:pPr>
      <w:r>
        <w:rPr>
          <w:rFonts w:ascii="Arial" w:cs="Arial" w:eastAsia="Arial" w:hAnsi="Arial"/>
          <w:sz w:val="14"/>
          <w:szCs w:val="14"/>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As a finance subsidiary, JPMorgan Financial has no independent activities and has limited assets.</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Investors will not participate in any appreciation of any underlying index.</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Early redemption risk.</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Secondary trading may be limited.</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The final terms and estimated valuation of the securities will be provided in the pricing supplement.</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3"/>
        </w:numPr>
        <w:rPr>
          <w:rFonts w:ascii="Wingdings" w:cs="Wingdings" w:eastAsia="Wingdings" w:hAnsi="Wingdings"/>
          <w:sz w:val="20"/>
          <w:szCs w:val="20"/>
          <w:b w:val="1"/>
          <w:bCs w:val="1"/>
          <w:color w:val="A3C4EB"/>
        </w:rPr>
      </w:pPr>
      <w:r>
        <w:rPr>
          <w:rFonts w:ascii="Arial" w:cs="Arial" w:eastAsia="Arial" w:hAnsi="Arial"/>
          <w:sz w:val="14"/>
          <w:szCs w:val="14"/>
          <w:color w:val="auto"/>
        </w:rPr>
        <w:t>The U.S. federal income tax consequences of an investment in the securities are uncertain.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60" w:hanging="332"/>
        <w:spacing w:after="0" w:line="197" w:lineRule="auto"/>
        <w:tabs>
          <w:tab w:leader="none" w:pos="340" w:val="left"/>
        </w:tabs>
        <w:numPr>
          <w:ilvl w:val="0"/>
          <w:numId w:val="4"/>
        </w:numPr>
        <w:rPr>
          <w:rFonts w:ascii="Wingdings" w:cs="Wingdings" w:eastAsia="Wingdings" w:hAnsi="Wingdings"/>
          <w:sz w:val="22"/>
          <w:szCs w:val="22"/>
          <w:b w:val="1"/>
          <w:bCs w:val="1"/>
          <w:color w:val="A3C4EB"/>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4"/>
        </w:numPr>
        <w:rPr>
          <w:rFonts w:ascii="Wingdings" w:cs="Wingdings" w:eastAsia="Wingdings" w:hAnsi="Wingdings"/>
          <w:sz w:val="20"/>
          <w:szCs w:val="20"/>
          <w:b w:val="1"/>
          <w:bCs w:val="1"/>
          <w:color w:val="A3C4EB"/>
        </w:rPr>
      </w:pPr>
      <w:r>
        <w:rPr>
          <w:rFonts w:ascii="Arial" w:cs="Arial" w:eastAsia="Arial" w:hAnsi="Arial"/>
          <w:sz w:val="14"/>
          <w:szCs w:val="14"/>
          <w:color w:val="auto"/>
        </w:rPr>
        <w:t>Hedging and trading activities by the issuer and its affiliates could potentially affect the value of the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sectPr>
          <w:pgSz w:w="11900" w:h="16838" w:orient="portrait"/>
          <w:cols w:equalWidth="0" w:num="1">
            <w:col w:w="11220"/>
          </w:cols>
          <w:pgMar w:left="320" w:top="111" w:right="359" w:bottom="1440" w:gutter="0" w:footer="0" w:header="0"/>
        </w:sect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2"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estimated value of the securities will be lower than the original issue price (price to public) of the securities.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estimated value of the securities does not represent future values of the securities and may differ from others’ estimates.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estimated value of the securities is derived by reference to an internal funding rate.</w:t>
      </w:r>
    </w:p>
    <w:p>
      <w:pPr>
        <w:spacing w:after="0" w:line="6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The value of the securities as published by J.P. Morgan Securities LLC (and which may be reflected on customer account statements) may be higher than the then-current estimated value of the securities for a limited time period.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Secondary market prices of the securities will likely be lower than the original issue price of the securities.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Secondary market prices of the securities will be impacted by many economic and market factors.</w:t>
      </w:r>
    </w:p>
    <w:p>
      <w:pPr>
        <w:spacing w:after="0" w:line="77" w:lineRule="exact"/>
        <w:rPr>
          <w:sz w:val="20"/>
          <w:szCs w:val="20"/>
          <w:color w:val="auto"/>
        </w:rPr>
      </w:pPr>
    </w:p>
    <w:p>
      <w:pPr>
        <w:sectPr>
          <w:pgSz w:w="11900" w:h="16838" w:orient="portrait"/>
          <w:cols w:equalWidth="0" w:num="2">
            <w:col w:w="100" w:space="240"/>
            <w:col w:w="10880"/>
          </w:cols>
          <w:pgMar w:left="320" w:top="111" w:right="359" w:bottom="1440" w:gutter="0" w:footer="0" w:header="0"/>
          <w:type w:val="continuous"/>
        </w:sectPr>
      </w:pPr>
    </w:p>
    <w:p>
      <w:pPr>
        <w:spacing w:after="0"/>
        <w:rPr>
          <w:sz w:val="20"/>
          <w:szCs w:val="20"/>
          <w:color w:val="auto"/>
        </w:rPr>
      </w:pPr>
      <w:r>
        <w:rPr>
          <w:rFonts w:ascii="Arial" w:cs="Arial" w:eastAsia="Arial" w:hAnsi="Arial"/>
          <w:sz w:val="17"/>
          <w:szCs w:val="17"/>
          <w:color w:val="296DC1"/>
        </w:rPr>
        <w:t>Risks Relating to the Underlying Indices</w:t>
      </w:r>
    </w:p>
    <w:p>
      <w:pPr>
        <w:sectPr>
          <w:pgSz w:w="11900" w:h="16838" w:orient="portrait"/>
          <w:cols w:equalWidth="0" w:num="1">
            <w:col w:w="11220"/>
          </w:cols>
          <w:pgMar w:left="320" w:top="111" w:right="3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JPMorgan Chase &amp; Co. is currently one of the companies that make up the SPX Index.</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Investing in the securities is not equivalent to investing in any underlying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any underlying index could adversely affect the value of the securities.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An investment in the securities is subject to risks associated with small capitalization stocks with respect to the RTY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securities are subject to risks associated with securities issued by non-U.S. companies with respect to the NDX Index.</w:t>
      </w:r>
    </w:p>
    <w:p>
      <w:pPr>
        <w:spacing w:after="0" w:line="163" w:lineRule="exact"/>
        <w:rPr>
          <w:sz w:val="20"/>
          <w:szCs w:val="20"/>
          <w:color w:val="auto"/>
        </w:rPr>
      </w:pPr>
    </w:p>
    <w:p>
      <w:pPr>
        <w:sectPr>
          <w:pgSz w:w="11900" w:h="16838" w:orient="portrait"/>
          <w:cols w:equalWidth="0" w:num="2">
            <w:col w:w="100" w:space="240"/>
            <w:col w:w="10880"/>
          </w:cols>
          <w:pgMar w:left="320" w:top="111" w:right="359" w:bottom="1440" w:gutter="0" w:footer="0" w:header="0"/>
          <w:type w:val="continuous"/>
        </w:sectPr>
      </w:pPr>
    </w:p>
    <w:p>
      <w:pPr>
        <w:spacing w:after="0"/>
        <w:rPr>
          <w:sz w:val="20"/>
          <w:szCs w:val="20"/>
          <w:color w:val="auto"/>
        </w:rPr>
      </w:pPr>
      <w:r>
        <w:rPr>
          <w:rFonts w:ascii="Arial" w:cs="Arial" w:eastAsia="Arial" w:hAnsi="Arial"/>
          <w:sz w:val="22"/>
          <w:szCs w:val="22"/>
          <w:color w:val="296DC1"/>
        </w:rPr>
        <w:t>Tax Considerations</w:t>
      </w:r>
    </w:p>
    <w:p>
      <w:pPr>
        <w:spacing w:after="0" w:line="85"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You should review carefully the discussion in the accompanying preliminary pricing supplement under “Additional Information about the Securities — Additional Provisions — Tax considerations” concerning the U.S. federal income tax consequences of an investment in the securities, and you should consult your tax adviser.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1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www.sec.gov/Archives/edgar/data/19617/000121390026112209/ea0309577-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2026-10-26T11:27:24Z</dcterms:created>
  <dcterms:modified xsi:type="dcterms:W3CDTF">2026-10-26T11:27:24Z</dcterms:modified>
</cp:coreProperties>
</file>