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line="54" w:lineRule="exact"/>
        <w:rPr>
          <w:sz w:val="24"/>
          <w:szCs w:val="24"/>
          <w:color w:val="auto"/>
        </w:rPr>
      </w:pPr>
    </w:p>
    <w:p>
      <w:pPr>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56" w:lineRule="exact"/>
        <w:rPr>
          <w:sz w:val="24"/>
          <w:szCs w:val="24"/>
          <w:color w:val="auto"/>
        </w:rPr>
      </w:pPr>
    </w:p>
    <w:p>
      <w:pPr>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197485</wp:posOffset>
            </wp:positionH>
            <wp:positionV relativeFrom="paragraph">
              <wp:posOffset>-5715</wp:posOffset>
            </wp:positionV>
            <wp:extent cx="146558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5580" cy="317500"/>
                    </a:xfrm>
                    <a:prstGeom prst="rect">
                      <a:avLst/>
                    </a:prstGeom>
                    <a:noFill/>
                  </pic:spPr>
                </pic:pic>
              </a:graphicData>
            </a:graphic>
          </wp:anchor>
        </w:drawing>
      </w:r>
    </w:p>
    <w:p>
      <w:pPr>
        <w:spacing w:after="0" w:line="592" w:lineRule="exact"/>
        <w:rPr>
          <w:sz w:val="24"/>
          <w:szCs w:val="24"/>
          <w:color w:val="auto"/>
        </w:rPr>
      </w:pPr>
    </w:p>
    <w:p>
      <w:pPr>
        <w:sectPr>
          <w:pgSz w:w="11900" w:h="16838" w:orient="portrait"/>
          <w:cols w:equalWidth="0" w:num="2">
            <w:col w:w="7900" w:space="720"/>
            <w:col w:w="2620"/>
          </w:cols>
          <w:pgMar w:left="320" w:top="240" w:right="339" w:bottom="1440" w:gutter="0" w:footer="0" w:header="0"/>
        </w:sectPr>
      </w:pPr>
    </w:p>
    <w:p>
      <w:pPr>
        <w:ind w:left="100" w:right="2240"/>
        <w:spacing w:after="0" w:line="296" w:lineRule="auto"/>
        <w:rPr>
          <w:sz w:val="20"/>
          <w:szCs w:val="20"/>
          <w:color w:val="auto"/>
        </w:rPr>
      </w:pPr>
      <w:r>
        <w:rPr>
          <w:rFonts w:ascii="Verdana" w:cs="Verdana" w:eastAsia="Verdana" w:hAnsi="Verdana"/>
          <w:sz w:val="18"/>
          <w:szCs w:val="18"/>
          <w:color w:val="FFFFFF"/>
        </w:rPr>
        <w:t>Market Linked Securities — Upside Participation to a Cap and Fixed Percentage Buffered Downside Principal at Risk Securities Linked to a Basket due June 22, 2029</w:t>
      </w:r>
    </w:p>
    <w:p>
      <w:pPr>
        <w:ind w:left="100"/>
        <w:spacing w:after="0"/>
        <w:rPr>
          <w:sz w:val="20"/>
          <w:szCs w:val="20"/>
          <w:color w:val="auto"/>
        </w:rPr>
      </w:pPr>
      <w:r>
        <w:rPr>
          <w:rFonts w:ascii="Verdana" w:cs="Verdana" w:eastAsia="Verdana" w:hAnsi="Verdana"/>
          <w:sz w:val="18"/>
          <w:szCs w:val="18"/>
          <w:color w:val="FFFFFF"/>
        </w:rPr>
        <w:t>Fact Sheet dated June 15, 2026 to Preliminary Pricing Supplement dated June 15, 2026</w:t>
      </w:r>
    </w:p>
    <w:p>
      <w:pPr>
        <w:spacing w:after="0" w:line="88" w:lineRule="exact"/>
        <w:rPr>
          <w:sz w:val="24"/>
          <w:szCs w:val="24"/>
          <w:color w:val="auto"/>
        </w:rPr>
      </w:pPr>
    </w:p>
    <w:p>
      <w:pPr>
        <w:ind w:left="80"/>
        <w:spacing w:after="0"/>
        <w:tabs>
          <w:tab w:leader="none" w:pos="592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1"/>
          <w:szCs w:val="21"/>
          <w:color w:val="8F8F8F"/>
        </w:rPr>
        <w:t>Summary of Terms (continued)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3716655</wp:posOffset>
            </wp:positionH>
            <wp:positionV relativeFrom="paragraph">
              <wp:posOffset>0</wp:posOffset>
            </wp:positionV>
            <wp:extent cx="3420745" cy="1517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745" cy="151701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type w:val="continuous"/>
        </w:sectPr>
      </w:pP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8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Issuer:</w:t>
            </w:r>
          </w:p>
        </w:tc>
        <w:tc>
          <w:tcPr>
            <w:tcW w:w="100" w:type="dxa"/>
            <w:vAlign w:val="bottom"/>
            <w:tcBorders>
              <w:top w:val="single" w:sz="8" w:color="auto"/>
              <w:bottom w:val="single" w:sz="8" w:color="auto"/>
            </w:tcBorders>
          </w:tcPr>
          <w:p>
            <w:pPr>
              <w:spacing w:after="0"/>
              <w:rPr>
                <w:sz w:val="15"/>
                <w:szCs w:val="15"/>
                <w:color w:val="auto"/>
              </w:rPr>
            </w:pPr>
          </w:p>
        </w:tc>
        <w:tc>
          <w:tcPr>
            <w:tcW w:w="3440" w:type="dxa"/>
            <w:vAlign w:val="bottom"/>
            <w:tcBorders>
              <w:top w:val="single" w:sz="8" w:color="auto"/>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JPMorgan Chase Financial Company LLC</w:t>
            </w:r>
          </w:p>
        </w:tc>
      </w:tr>
      <w:tr>
        <w:trPr>
          <w:trHeight w:val="155"/>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JPMorgan Chase &amp; C0.</w:t>
            </w:r>
          </w:p>
        </w:tc>
      </w:tr>
      <w:tr>
        <w:trPr>
          <w:trHeight w:val="142"/>
        </w:trPr>
        <w:tc>
          <w:tcPr>
            <w:tcW w:w="186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Basket / Basket</w:t>
            </w:r>
          </w:p>
        </w:tc>
        <w:tc>
          <w:tcPr>
            <w:tcW w:w="100" w:type="dxa"/>
            <w:vAlign w:val="bottom"/>
          </w:tcPr>
          <w:p>
            <w:pPr>
              <w:spacing w:after="0"/>
              <w:rPr>
                <w:sz w:val="12"/>
                <w:szCs w:val="12"/>
                <w:color w:val="auto"/>
              </w:rPr>
            </w:pPr>
          </w:p>
        </w:tc>
        <w:tc>
          <w:tcPr>
            <w:tcW w:w="3440" w:type="dxa"/>
            <w:vAlign w:val="bottom"/>
            <w:tcBorders>
              <w:right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An unequally weighted basket (the “basket”)</w:t>
            </w:r>
          </w:p>
        </w:tc>
      </w:tr>
      <w:tr>
        <w:trPr>
          <w:trHeight w:val="20"/>
        </w:trPr>
        <w:tc>
          <w:tcPr>
            <w:tcW w:w="18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left w:val="single" w:sz="8" w:color="auto"/>
              <w:right w:val="single" w:sz="8" w:color="auto"/>
            </w:tcBorders>
          </w:tcPr>
          <w:p>
            <w:pPr>
              <w:spacing w:after="0" w:line="20" w:lineRule="exact"/>
              <w:rPr>
                <w:sz w:val="1"/>
                <w:szCs w:val="1"/>
                <w:color w:val="auto"/>
              </w:rPr>
            </w:pPr>
          </w:p>
        </w:tc>
      </w:tr>
      <w:tr>
        <w:trPr>
          <w:trHeight w:val="15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Components:</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composed of the following basket components, with</w:t>
            </w:r>
          </w:p>
        </w:tc>
      </w:tr>
      <w:tr>
        <w:trPr>
          <w:trHeight w:val="157"/>
        </w:trPr>
        <w:tc>
          <w:tcPr>
            <w:tcW w:w="186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line="157" w:lineRule="exact"/>
              <w:rPr>
                <w:sz w:val="20"/>
                <w:szCs w:val="20"/>
                <w:color w:val="auto"/>
              </w:rPr>
            </w:pPr>
            <w:r>
              <w:rPr>
                <w:rFonts w:ascii="Georgia" w:cs="Georgia" w:eastAsia="Georgia" w:hAnsi="Georgia"/>
                <w:sz w:val="14"/>
                <w:szCs w:val="14"/>
                <w:color w:val="auto"/>
              </w:rPr>
              <w:t>the weighting percentages noted parenthetically: the</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spacing w:after="0" w:line="189" w:lineRule="exact"/>
              <w:rPr>
                <w:sz w:val="20"/>
                <w:szCs w:val="20"/>
                <w:color w:val="auto"/>
              </w:rPr>
            </w:pPr>
            <w:r>
              <w:rPr>
                <w:rFonts w:ascii="Georgia" w:cs="Georgia" w:eastAsia="Georgia" w:hAnsi="Georgia"/>
                <w:sz w:val="14"/>
                <w:szCs w:val="14"/>
                <w:color w:val="auto"/>
              </w:rPr>
              <w:t>VanEck</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Semiconductor ETF (Bloomberg ticker:</w:t>
            </w:r>
          </w:p>
        </w:tc>
      </w:tr>
      <w:tr>
        <w:trPr>
          <w:trHeight w:val="194"/>
        </w:trPr>
        <w:tc>
          <w:tcPr>
            <w:tcW w:w="186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spacing w:after="0" w:line="194" w:lineRule="exact"/>
              <w:rPr>
                <w:sz w:val="20"/>
                <w:szCs w:val="20"/>
                <w:color w:val="auto"/>
              </w:rPr>
            </w:pPr>
            <w:r>
              <w:rPr>
                <w:rFonts w:ascii="Georgia" w:cs="Georgia" w:eastAsia="Georgia" w:hAnsi="Georgia"/>
                <w:sz w:val="14"/>
                <w:szCs w:val="14"/>
                <w:color w:val="auto"/>
              </w:rPr>
              <w:t>SMH) (50%), the State Street</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SPDR</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S&amp;P 500</w:t>
            </w:r>
            <w:r>
              <w:rPr>
                <w:rFonts w:ascii="Georgia" w:cs="Georgia" w:eastAsia="Georgia" w:hAnsi="Georgia"/>
                <w:sz w:val="22"/>
                <w:szCs w:val="22"/>
                <w:color w:val="auto"/>
                <w:vertAlign w:val="superscript"/>
              </w:rPr>
              <w:t>®</w:t>
            </w:r>
          </w:p>
        </w:tc>
      </w:tr>
      <w:tr>
        <w:trPr>
          <w:trHeight w:val="157"/>
        </w:trPr>
        <w:tc>
          <w:tcPr>
            <w:tcW w:w="186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line="157" w:lineRule="exact"/>
              <w:rPr>
                <w:sz w:val="20"/>
                <w:szCs w:val="20"/>
                <w:color w:val="auto"/>
              </w:rPr>
            </w:pPr>
            <w:r>
              <w:rPr>
                <w:rFonts w:ascii="Georgia" w:cs="Georgia" w:eastAsia="Georgia" w:hAnsi="Georgia"/>
                <w:sz w:val="14"/>
                <w:szCs w:val="14"/>
                <w:color w:val="auto"/>
              </w:rPr>
              <w:t>ETF Trust (Bloomberg ticker: SPY) (25%) and the</w:t>
            </w:r>
          </w:p>
        </w:tc>
      </w:tr>
      <w:tr>
        <w:trPr>
          <w:trHeight w:val="194"/>
        </w:trPr>
        <w:tc>
          <w:tcPr>
            <w:tcW w:w="186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spacing w:after="0" w:line="194" w:lineRule="exact"/>
              <w:rPr>
                <w:sz w:val="20"/>
                <w:szCs w:val="20"/>
                <w:color w:val="auto"/>
              </w:rPr>
            </w:pPr>
            <w:r>
              <w:rPr>
                <w:rFonts w:ascii="Georgia" w:cs="Georgia" w:eastAsia="Georgia" w:hAnsi="Georgia"/>
                <w:sz w:val="14"/>
                <w:szCs w:val="14"/>
                <w:color w:val="auto"/>
              </w:rPr>
              <w:t>Invesco QQQ Trust</w:t>
            </w:r>
            <w:r>
              <w:rPr>
                <w:rFonts w:ascii="Georgia" w:cs="Georgia" w:eastAsia="Georgia" w:hAnsi="Georgia"/>
                <w:sz w:val="22"/>
                <w:szCs w:val="22"/>
                <w:color w:val="auto"/>
                <w:vertAlign w:val="superscript"/>
              </w:rPr>
              <w:t>SM</w:t>
            </w:r>
            <w:r>
              <w:rPr>
                <w:rFonts w:ascii="Georgia" w:cs="Georgia" w:eastAsia="Georgia" w:hAnsi="Georgia"/>
                <w:sz w:val="14"/>
                <w:szCs w:val="14"/>
                <w:color w:val="auto"/>
              </w:rPr>
              <w:t>, Series 1 (Bloomberg ticker:</w:t>
            </w:r>
          </w:p>
        </w:tc>
      </w:tr>
      <w:tr>
        <w:trPr>
          <w:trHeight w:val="145"/>
        </w:trPr>
        <w:tc>
          <w:tcPr>
            <w:tcW w:w="186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Borders>
              <w:right w:val="single" w:sz="8" w:color="auto"/>
            </w:tcBorders>
            <w:gridSpan w:val="5"/>
          </w:tcPr>
          <w:p>
            <w:pPr>
              <w:spacing w:after="0" w:line="146" w:lineRule="exact"/>
              <w:rPr>
                <w:sz w:val="20"/>
                <w:szCs w:val="20"/>
                <w:color w:val="auto"/>
              </w:rPr>
            </w:pPr>
            <w:r>
              <w:rPr>
                <w:rFonts w:ascii="Georgia" w:cs="Georgia" w:eastAsia="Georgia" w:hAnsi="Georgia"/>
                <w:sz w:val="14"/>
                <w:szCs w:val="14"/>
                <w:color w:val="auto"/>
              </w:rPr>
              <w:t>QQQ) (25%) (each referred to as a “basket</w:t>
            </w:r>
          </w:p>
        </w:tc>
      </w:tr>
      <w:tr>
        <w:trPr>
          <w:trHeight w:val="20"/>
        </w:trPr>
        <w:tc>
          <w:tcPr>
            <w:tcW w:w="18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42"/>
        </w:trPr>
        <w:tc>
          <w:tcPr>
            <w:tcW w:w="186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Borders>
              <w:right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component” and collectively as the “basket</w:t>
            </w:r>
          </w:p>
        </w:tc>
      </w:tr>
      <w:tr>
        <w:trPr>
          <w:trHeight w:val="20"/>
        </w:trPr>
        <w:tc>
          <w:tcPr>
            <w:tcW w:w="18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left w:val="single" w:sz="8" w:color="auto"/>
              <w:right w:val="single" w:sz="8" w:color="auto"/>
            </w:tcBorders>
          </w:tcPr>
          <w:p>
            <w:pPr>
              <w:spacing w:after="0" w:line="20" w:lineRule="exact"/>
              <w:rPr>
                <w:sz w:val="1"/>
                <w:szCs w:val="1"/>
                <w:color w:val="auto"/>
              </w:rPr>
            </w:pPr>
          </w:p>
        </w:tc>
      </w:tr>
      <w:tr>
        <w:trPr>
          <w:trHeight w:val="149"/>
        </w:trPr>
        <w:tc>
          <w:tcPr>
            <w:tcW w:w="186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components”)</w:t>
            </w:r>
          </w:p>
        </w:tc>
      </w:tr>
      <w:tr>
        <w:trPr>
          <w:trHeight w:val="189"/>
        </w:trPr>
        <w:tc>
          <w:tcPr>
            <w:tcW w:w="1860" w:type="dxa"/>
            <w:vAlign w:val="bottom"/>
            <w:tcBorders>
              <w:left w:val="single" w:sz="8" w:color="auto"/>
              <w:bottom w:val="single" w:sz="8" w:color="auto"/>
              <w:right w:val="single" w:sz="8" w:color="auto"/>
            </w:tcBorders>
          </w:tcPr>
          <w:p>
            <w:pPr>
              <w:ind w:left="120"/>
              <w:spacing w:after="0" w:line="189" w:lineRule="exact"/>
              <w:rPr>
                <w:sz w:val="20"/>
                <w:szCs w:val="20"/>
                <w:color w:val="auto"/>
              </w:rPr>
            </w:pPr>
            <w:r>
              <w:rPr>
                <w:rFonts w:ascii="Georgia" w:cs="Georgia" w:eastAsia="Georgia" w:hAnsi="Georgia"/>
                <w:sz w:val="14"/>
                <w:szCs w:val="14"/>
                <w:color w:val="auto"/>
              </w:rPr>
              <w:t>Pricing Date</w:t>
            </w:r>
            <w:r>
              <w:rPr>
                <w:rFonts w:ascii="Georgia" w:cs="Georgia" w:eastAsia="Georgia" w:hAnsi="Georgia"/>
                <w:sz w:val="22"/>
                <w:szCs w:val="22"/>
                <w:color w:val="auto"/>
                <w:vertAlign w:val="superscript"/>
              </w:rPr>
              <w:t>1</w:t>
            </w:r>
            <w:r>
              <w:rPr>
                <w:rFonts w:ascii="Georgia" w:cs="Georgia" w:eastAsia="Georgia" w:hAnsi="Georgia"/>
                <w:sz w:val="14"/>
                <w:szCs w:val="14"/>
                <w:color w:val="auto"/>
              </w:rPr>
              <w:t>:</w:t>
            </w:r>
          </w:p>
        </w:tc>
        <w:tc>
          <w:tcPr>
            <w:tcW w:w="10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June 18, 2026</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June 24, 2026</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June 18, 2029</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June 22, 2029</w:t>
            </w:r>
          </w:p>
        </w:tc>
      </w:tr>
      <w:tr>
        <w:trPr>
          <w:trHeight w:val="156"/>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ind w:left="60"/>
              <w:spacing w:after="0" w:line="159" w:lineRule="exact"/>
              <w:rPr>
                <w:sz w:val="20"/>
                <w:szCs w:val="20"/>
                <w:color w:val="auto"/>
              </w:rPr>
            </w:pPr>
            <w:r>
              <w:rPr>
                <w:rFonts w:ascii="Georgia" w:cs="Georgia" w:eastAsia="Georgia" w:hAnsi="Georgia"/>
                <w:sz w:val="16"/>
                <w:szCs w:val="16"/>
                <w:color w:val="auto"/>
              </w:rPr>
              <w:t xml:space="preserve">● </w:t>
            </w:r>
            <w:r>
              <w:rPr>
                <w:rFonts w:ascii="Georgia" w:cs="Georgia" w:eastAsia="Georgia" w:hAnsi="Georgia"/>
                <w:sz w:val="14"/>
                <w:szCs w:val="14"/>
                <w:color w:val="auto"/>
              </w:rPr>
              <w:t>If the ending level is greater than the starting</w:t>
            </w:r>
          </w:p>
        </w:tc>
      </w:tr>
      <w:tr>
        <w:trPr>
          <w:trHeight w:val="18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Amount:</w:t>
            </w: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 xml:space="preserve">level: $1,000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lesser of:</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(i)  $1,000 × basket return × upside</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ind w:left="540"/>
              <w:spacing w:after="0"/>
              <w:rPr>
                <w:sz w:val="20"/>
                <w:szCs w:val="20"/>
                <w:color w:val="auto"/>
              </w:rPr>
            </w:pPr>
            <w:r>
              <w:rPr>
                <w:rFonts w:ascii="Georgia" w:cs="Georgia" w:eastAsia="Georgia" w:hAnsi="Georgia"/>
                <w:sz w:val="14"/>
                <w:szCs w:val="14"/>
                <w:color w:val="auto"/>
              </w:rPr>
              <w:t>participation rate; and</w:t>
            </w:r>
          </w:p>
        </w:tc>
      </w:tr>
      <w:tr>
        <w:trPr>
          <w:trHeight w:val="159"/>
        </w:trPr>
        <w:tc>
          <w:tcPr>
            <w:tcW w:w="186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(ii)  the maximum return;</w:t>
            </w:r>
          </w:p>
        </w:tc>
      </w:tr>
      <w:tr>
        <w:trPr>
          <w:trHeight w:val="183"/>
        </w:trPr>
        <w:tc>
          <w:tcPr>
            <w:tcW w:w="186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Borders>
              <w:right w:val="single" w:sz="8" w:color="auto"/>
            </w:tcBorders>
            <w:gridSpan w:val="5"/>
          </w:tcPr>
          <w:p>
            <w:pPr>
              <w:ind w:left="60"/>
              <w:spacing w:after="0"/>
              <w:rPr>
                <w:sz w:val="20"/>
                <w:szCs w:val="20"/>
                <w:color w:val="auto"/>
              </w:rPr>
            </w:pPr>
            <w:r>
              <w:rPr>
                <w:rFonts w:ascii="Georgia" w:cs="Georgia" w:eastAsia="Georgia" w:hAnsi="Georgia"/>
                <w:sz w:val="16"/>
                <w:szCs w:val="16"/>
                <w:color w:val="auto"/>
              </w:rPr>
              <w:t xml:space="preserve">● </w:t>
            </w:r>
            <w:r>
              <w:rPr>
                <w:rFonts w:ascii="Georgia" w:cs="Georgia" w:eastAsia="Georgia" w:hAnsi="Georgia"/>
                <w:sz w:val="14"/>
                <w:szCs w:val="14"/>
                <w:color w:val="auto"/>
              </w:rPr>
              <w:t>If the ending level is less than or equal to the</w:t>
            </w:r>
          </w:p>
        </w:tc>
      </w:tr>
      <w:tr>
        <w:trPr>
          <w:trHeight w:val="171"/>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starting level, but greater than or equal to the</w:t>
            </w:r>
          </w:p>
        </w:tc>
      </w:tr>
      <w:tr>
        <w:trPr>
          <w:trHeight w:val="159"/>
        </w:trPr>
        <w:tc>
          <w:tcPr>
            <w:tcW w:w="186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threshold level: $1,000; or</w:t>
            </w:r>
          </w:p>
        </w:tc>
      </w:tr>
      <w:tr>
        <w:trPr>
          <w:trHeight w:val="183"/>
        </w:trPr>
        <w:tc>
          <w:tcPr>
            <w:tcW w:w="186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Borders>
              <w:right w:val="single" w:sz="8" w:color="auto"/>
            </w:tcBorders>
            <w:gridSpan w:val="5"/>
          </w:tcPr>
          <w:p>
            <w:pPr>
              <w:ind w:left="60"/>
              <w:spacing w:after="0"/>
              <w:rPr>
                <w:sz w:val="20"/>
                <w:szCs w:val="20"/>
                <w:color w:val="auto"/>
              </w:rPr>
            </w:pPr>
            <w:r>
              <w:rPr>
                <w:rFonts w:ascii="Georgia" w:cs="Georgia" w:eastAsia="Georgia" w:hAnsi="Georgia"/>
                <w:sz w:val="16"/>
                <w:szCs w:val="16"/>
                <w:color w:val="auto"/>
              </w:rPr>
              <w:t xml:space="preserve">● </w:t>
            </w:r>
            <w:r>
              <w:rPr>
                <w:rFonts w:ascii="Georgia" w:cs="Georgia" w:eastAsia="Georgia" w:hAnsi="Georgia"/>
                <w:sz w:val="14"/>
                <w:szCs w:val="14"/>
                <w:color w:val="auto"/>
              </w:rPr>
              <w:t>If the ending level is less than the threshold</w:t>
            </w:r>
          </w:p>
        </w:tc>
      </w:tr>
      <w:tr>
        <w:trPr>
          <w:trHeight w:val="17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level:</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$1,000 + [$1,000 × (basket return + buffer</w:t>
            </w:r>
          </w:p>
        </w:tc>
      </w:tr>
      <w:tr>
        <w:trPr>
          <w:trHeight w:val="159"/>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ind w:left="220"/>
              <w:spacing w:after="0"/>
              <w:rPr>
                <w:sz w:val="20"/>
                <w:szCs w:val="20"/>
                <w:color w:val="auto"/>
              </w:rPr>
            </w:pPr>
            <w:r>
              <w:rPr>
                <w:rFonts w:ascii="Georgia" w:cs="Georgia" w:eastAsia="Georgia" w:hAnsi="Georgia"/>
                <w:sz w:val="14"/>
                <w:szCs w:val="14"/>
                <w:color w:val="auto"/>
              </w:rPr>
              <w:t>amount)]</w:t>
            </w:r>
          </w:p>
        </w:tc>
      </w:tr>
      <w:tr>
        <w:trPr>
          <w:trHeight w:val="155"/>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Starting Level:</w:t>
            </w:r>
          </w:p>
        </w:tc>
        <w:tc>
          <w:tcPr>
            <w:tcW w:w="820" w:type="dxa"/>
            <w:vAlign w:val="bottom"/>
            <w:tcBorders>
              <w:bottom w:val="single" w:sz="8" w:color="auto"/>
            </w:tcBorders>
            <w:gridSpan w:val="2"/>
          </w:tcPr>
          <w:p>
            <w:pPr>
              <w:ind w:left="100"/>
              <w:spacing w:after="0" w:line="156" w:lineRule="exact"/>
              <w:rPr>
                <w:sz w:val="20"/>
                <w:szCs w:val="20"/>
                <w:color w:val="auto"/>
              </w:rPr>
            </w:pPr>
            <w:r>
              <w:rPr>
                <w:rFonts w:ascii="Georgia" w:cs="Georgia" w:eastAsia="Georgia" w:hAnsi="Georgia"/>
                <w:sz w:val="14"/>
                <w:szCs w:val="14"/>
                <w:color w:val="auto"/>
              </w:rPr>
              <w:t>100.00</w:t>
            </w:r>
          </w:p>
        </w:tc>
        <w:tc>
          <w:tcPr>
            <w:tcW w:w="1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15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Ending Level:</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Calculated based on the weighted returns of the</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basket components, equal to the product of (i) 100</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 xml:space="preserve">and (ii) an amount equal to 1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sum of (A)</w:t>
            </w:r>
          </w:p>
        </w:tc>
      </w:tr>
      <w:tr>
        <w:trPr>
          <w:trHeight w:val="157"/>
        </w:trPr>
        <w:tc>
          <w:tcPr>
            <w:tcW w:w="186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line="157" w:lineRule="exact"/>
              <w:rPr>
                <w:sz w:val="20"/>
                <w:szCs w:val="20"/>
                <w:color w:val="auto"/>
              </w:rPr>
            </w:pPr>
            <w:r>
              <w:rPr>
                <w:rFonts w:ascii="Georgia" w:cs="Georgia" w:eastAsia="Georgia" w:hAnsi="Georgia"/>
                <w:sz w:val="14"/>
                <w:szCs w:val="14"/>
                <w:color w:val="auto"/>
              </w:rPr>
              <w:t>50% of the basket component return of the</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spacing w:after="0" w:line="189" w:lineRule="exact"/>
              <w:rPr>
                <w:sz w:val="20"/>
                <w:szCs w:val="20"/>
                <w:color w:val="auto"/>
              </w:rPr>
            </w:pPr>
            <w:r>
              <w:rPr>
                <w:rFonts w:ascii="Georgia" w:cs="Georgia" w:eastAsia="Georgia" w:hAnsi="Georgia"/>
                <w:sz w:val="14"/>
                <w:szCs w:val="14"/>
                <w:color w:val="auto"/>
              </w:rPr>
              <w:t>VanEck</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Semiconductor ETF; (B) 25% of the</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spacing w:after="0" w:line="189" w:lineRule="exact"/>
              <w:rPr>
                <w:sz w:val="20"/>
                <w:szCs w:val="20"/>
                <w:color w:val="auto"/>
              </w:rPr>
            </w:pPr>
            <w:r>
              <w:rPr>
                <w:rFonts w:ascii="Georgia" w:cs="Georgia" w:eastAsia="Georgia" w:hAnsi="Georgia"/>
                <w:sz w:val="14"/>
                <w:szCs w:val="14"/>
                <w:color w:val="auto"/>
              </w:rPr>
              <w:t>basket component return of the State Street</w:t>
            </w:r>
            <w:r>
              <w:rPr>
                <w:rFonts w:ascii="Georgia" w:cs="Georgia" w:eastAsia="Georgia" w:hAnsi="Georgia"/>
                <w:sz w:val="22"/>
                <w:szCs w:val="22"/>
                <w:color w:val="auto"/>
                <w:vertAlign w:val="superscript"/>
              </w:rPr>
              <w:t>®</w:t>
            </w:r>
          </w:p>
        </w:tc>
      </w:tr>
      <w:tr>
        <w:trPr>
          <w:trHeight w:val="194"/>
        </w:trPr>
        <w:tc>
          <w:tcPr>
            <w:tcW w:w="186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right w:val="single" w:sz="8" w:color="auto"/>
            </w:tcBorders>
            <w:gridSpan w:val="5"/>
          </w:tcPr>
          <w:p>
            <w:pPr>
              <w:spacing w:after="0" w:line="194" w:lineRule="exact"/>
              <w:rPr>
                <w:sz w:val="20"/>
                <w:szCs w:val="20"/>
                <w:color w:val="auto"/>
              </w:rPr>
            </w:pPr>
            <w:r>
              <w:rPr>
                <w:rFonts w:ascii="Georgia" w:cs="Georgia" w:eastAsia="Georgia" w:hAnsi="Georgia"/>
                <w:sz w:val="14"/>
                <w:szCs w:val="14"/>
                <w:color w:val="auto"/>
              </w:rPr>
              <w:t>SPDR</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S&amp;P 500</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ETF Trust; and (C) 25% of the</w:t>
            </w:r>
          </w:p>
        </w:tc>
      </w:tr>
      <w:tr>
        <w:trPr>
          <w:trHeight w:val="157"/>
        </w:trPr>
        <w:tc>
          <w:tcPr>
            <w:tcW w:w="186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line="157" w:lineRule="exact"/>
              <w:rPr>
                <w:sz w:val="20"/>
                <w:szCs w:val="20"/>
                <w:color w:val="auto"/>
              </w:rPr>
            </w:pPr>
            <w:r>
              <w:rPr>
                <w:rFonts w:ascii="Georgia" w:cs="Georgia" w:eastAsia="Georgia" w:hAnsi="Georgia"/>
                <w:sz w:val="14"/>
                <w:szCs w:val="14"/>
                <w:color w:val="auto"/>
              </w:rPr>
              <w:t>basket component return of the Invesco QQQ</w:t>
            </w:r>
          </w:p>
        </w:tc>
      </w:tr>
      <w:tr>
        <w:trPr>
          <w:trHeight w:val="191"/>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gridSpan w:val="5"/>
          </w:tcPr>
          <w:p>
            <w:pPr>
              <w:spacing w:after="0" w:line="191" w:lineRule="exact"/>
              <w:rPr>
                <w:sz w:val="20"/>
                <w:szCs w:val="20"/>
                <w:color w:val="auto"/>
              </w:rPr>
            </w:pPr>
            <w:r>
              <w:rPr>
                <w:rFonts w:ascii="Georgia" w:cs="Georgia" w:eastAsia="Georgia" w:hAnsi="Georgia"/>
                <w:sz w:val="14"/>
                <w:szCs w:val="14"/>
                <w:color w:val="auto"/>
              </w:rPr>
              <w:t>Trust</w:t>
            </w:r>
            <w:r>
              <w:rPr>
                <w:rFonts w:ascii="Georgia" w:cs="Georgia" w:eastAsia="Georgia" w:hAnsi="Georgia"/>
                <w:sz w:val="22"/>
                <w:szCs w:val="22"/>
                <w:color w:val="auto"/>
                <w:vertAlign w:val="superscript"/>
              </w:rPr>
              <w:t>SM</w:t>
            </w:r>
            <w:r>
              <w:rPr>
                <w:rFonts w:ascii="Georgia" w:cs="Georgia" w:eastAsia="Georgia" w:hAnsi="Georgia"/>
                <w:sz w:val="14"/>
                <w:szCs w:val="14"/>
                <w:color w:val="auto"/>
              </w:rPr>
              <w:t>, Series 1</w:t>
            </w:r>
          </w:p>
        </w:tc>
      </w:tr>
      <w:tr>
        <w:trPr>
          <w:trHeight w:val="15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Maximum Return:</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At least 48.50% of the principal amount (at least</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$485.00 per security) (to be provided in the pricing</w:t>
            </w:r>
          </w:p>
        </w:tc>
      </w:tr>
      <w:tr>
        <w:trPr>
          <w:trHeight w:val="159"/>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supplement)</w:t>
            </w:r>
          </w:p>
        </w:tc>
      </w:tr>
      <w:tr>
        <w:trPr>
          <w:trHeight w:val="15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Upside Participation</w:t>
            </w:r>
          </w:p>
        </w:tc>
        <w:tc>
          <w:tcPr>
            <w:tcW w:w="820" w:type="dxa"/>
            <w:vAlign w:val="bottom"/>
            <w:gridSpan w:val="2"/>
          </w:tcPr>
          <w:p>
            <w:pPr>
              <w:ind w:left="100"/>
              <w:spacing w:after="0"/>
              <w:rPr>
                <w:sz w:val="20"/>
                <w:szCs w:val="20"/>
                <w:color w:val="auto"/>
              </w:rPr>
            </w:pPr>
            <w:r>
              <w:rPr>
                <w:rFonts w:ascii="Georgia" w:cs="Georgia" w:eastAsia="Georgia" w:hAnsi="Georgia"/>
                <w:sz w:val="14"/>
                <w:szCs w:val="14"/>
                <w:color w:val="auto"/>
              </w:rPr>
              <w:t>100.00%</w:t>
            </w: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r>
      <w:tr>
        <w:trPr>
          <w:trHeight w:val="15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Rate:</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155"/>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Basket Return:</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(ending level – starting level) / starting level</w:t>
            </w:r>
          </w:p>
        </w:tc>
      </w:tr>
      <w:tr>
        <w:trPr>
          <w:trHeight w:val="156"/>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Buffer Amount:</w:t>
            </w:r>
          </w:p>
        </w:tc>
        <w:tc>
          <w:tcPr>
            <w:tcW w:w="820" w:type="dxa"/>
            <w:vAlign w:val="bottom"/>
            <w:tcBorders>
              <w:bottom w:val="single" w:sz="8" w:color="auto"/>
            </w:tcBorders>
            <w:gridSpan w:val="2"/>
          </w:tcPr>
          <w:p>
            <w:pPr>
              <w:ind w:left="100"/>
              <w:spacing w:after="0" w:line="156" w:lineRule="exact"/>
              <w:rPr>
                <w:sz w:val="20"/>
                <w:szCs w:val="20"/>
                <w:color w:val="auto"/>
              </w:rPr>
            </w:pPr>
            <w:r>
              <w:rPr>
                <w:rFonts w:ascii="Georgia" w:cs="Georgia" w:eastAsia="Georgia" w:hAnsi="Georgia"/>
                <w:sz w:val="14"/>
                <w:szCs w:val="14"/>
                <w:color w:val="auto"/>
              </w:rPr>
              <w:t>30%</w:t>
            </w:r>
          </w:p>
        </w:tc>
        <w:tc>
          <w:tcPr>
            <w:tcW w:w="1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155"/>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Threshold Level:</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70.00, which is equal to 70% of the starting level</w:t>
            </w:r>
          </w:p>
        </w:tc>
      </w:tr>
      <w:tr>
        <w:trPr>
          <w:trHeight w:val="15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Basket Component</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(final basket component price – initial basket</w:t>
            </w:r>
          </w:p>
        </w:tc>
      </w:tr>
      <w:tr>
        <w:trPr>
          <w:trHeight w:val="15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Return:</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component price) / initial basket component price</w:t>
            </w:r>
          </w:p>
        </w:tc>
      </w:tr>
      <w:tr>
        <w:trPr>
          <w:trHeight w:val="15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Initial Basket Component</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For each basket component, its fund closing price</w:t>
            </w:r>
          </w:p>
        </w:tc>
      </w:tr>
      <w:tr>
        <w:trPr>
          <w:trHeight w:val="15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Price:</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on the pricing date</w:t>
            </w:r>
          </w:p>
        </w:tc>
      </w:tr>
      <w:tr>
        <w:trPr>
          <w:trHeight w:val="15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Final Basket Component</w:t>
            </w:r>
          </w:p>
        </w:tc>
        <w:tc>
          <w:tcPr>
            <w:tcW w:w="100" w:type="dxa"/>
            <w:vAlign w:val="bottom"/>
          </w:tcPr>
          <w:p>
            <w:pPr>
              <w:spacing w:after="0"/>
              <w:rPr>
                <w:sz w:val="13"/>
                <w:szCs w:val="13"/>
                <w:color w:val="auto"/>
              </w:rPr>
            </w:pPr>
          </w:p>
        </w:tc>
        <w:tc>
          <w:tcPr>
            <w:tcW w:w="344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For each basket component, its fund closing price</w:t>
            </w:r>
          </w:p>
        </w:tc>
      </w:tr>
      <w:tr>
        <w:trPr>
          <w:trHeight w:val="15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Price:</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on the calculation day</w:t>
            </w:r>
          </w:p>
        </w:tc>
      </w:tr>
      <w:tr>
        <w:trPr>
          <w:trHeight w:val="149"/>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10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8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10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46661CW51</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59"/>
        </w:trPr>
        <w:tc>
          <w:tcPr>
            <w:tcW w:w="2120" w:type="dxa"/>
            <w:vAlign w:val="bottom"/>
            <w:tcBorders>
              <w:top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Fees and Commissions:</w:t>
            </w:r>
          </w:p>
        </w:tc>
        <w:tc>
          <w:tcPr>
            <w:tcW w:w="3260" w:type="dxa"/>
            <w:vAlign w:val="bottom"/>
            <w:tcBorders>
              <w:top w:val="single" w:sz="8" w:color="auto"/>
            </w:tcBorders>
            <w:gridSpan w:val="5"/>
          </w:tcPr>
          <w:p>
            <w:pPr>
              <w:ind w:left="80"/>
              <w:spacing w:after="0"/>
              <w:rPr>
                <w:sz w:val="20"/>
                <w:szCs w:val="20"/>
                <w:color w:val="auto"/>
              </w:rPr>
            </w:pPr>
            <w:r>
              <w:rPr>
                <w:rFonts w:ascii="Georgia" w:cs="Georgia" w:eastAsia="Georgia" w:hAnsi="Georgia"/>
                <w:sz w:val="14"/>
                <w:szCs w:val="14"/>
                <w:color w:val="auto"/>
              </w:rPr>
              <w:t>Up to 2.825% for Wells Fargo Securities, LLC</w:t>
            </w:r>
          </w:p>
        </w:tc>
      </w:tr>
      <w:tr>
        <w:trPr>
          <w:trHeight w:val="145"/>
        </w:trPr>
        <w:tc>
          <w:tcPr>
            <w:tcW w:w="2120" w:type="dxa"/>
            <w:vAlign w:val="bottom"/>
            <w:tcBorders>
              <w:right w:val="single" w:sz="8" w:color="auto"/>
            </w:tcBorders>
          </w:tcPr>
          <w:p>
            <w:pPr>
              <w:spacing w:after="0"/>
              <w:rPr>
                <w:sz w:val="12"/>
                <w:szCs w:val="12"/>
                <w:color w:val="auto"/>
              </w:rPr>
            </w:pPr>
          </w:p>
        </w:tc>
        <w:tc>
          <w:tcPr>
            <w:tcW w:w="3260" w:type="dxa"/>
            <w:vAlign w:val="bottom"/>
            <w:gridSpan w:val="5"/>
          </w:tcPr>
          <w:p>
            <w:pPr>
              <w:ind w:left="80"/>
              <w:spacing w:after="0" w:line="146" w:lineRule="exact"/>
              <w:rPr>
                <w:sz w:val="20"/>
                <w:szCs w:val="20"/>
                <w:color w:val="auto"/>
              </w:rPr>
            </w:pPr>
            <w:r>
              <w:rPr>
                <w:rFonts w:ascii="Georgia" w:cs="Georgia" w:eastAsia="Georgia" w:hAnsi="Georgia"/>
                <w:sz w:val="14"/>
                <w:szCs w:val="14"/>
                <w:color w:val="auto"/>
              </w:rPr>
              <w:t>(“WFS”); WFS has advised us that dealers,</w:t>
            </w:r>
          </w:p>
        </w:tc>
      </w:tr>
      <w:tr>
        <w:trPr>
          <w:trHeight w:val="20"/>
        </w:trPr>
        <w:tc>
          <w:tcPr>
            <w:tcW w:w="2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2"/>
        </w:trPr>
        <w:tc>
          <w:tcPr>
            <w:tcW w:w="2120" w:type="dxa"/>
            <w:vAlign w:val="bottom"/>
            <w:tcBorders>
              <w:right w:val="single" w:sz="8" w:color="auto"/>
            </w:tcBorders>
          </w:tcPr>
          <w:p>
            <w:pPr>
              <w:spacing w:after="0"/>
              <w:rPr>
                <w:sz w:val="12"/>
                <w:szCs w:val="12"/>
                <w:color w:val="auto"/>
              </w:rPr>
            </w:pPr>
          </w:p>
        </w:tc>
        <w:tc>
          <w:tcPr>
            <w:tcW w:w="3260" w:type="dxa"/>
            <w:vAlign w:val="bottom"/>
            <w:gridSpan w:val="5"/>
          </w:tcPr>
          <w:p>
            <w:pPr>
              <w:ind w:left="80"/>
              <w:spacing w:after="0" w:line="142" w:lineRule="exact"/>
              <w:rPr>
                <w:sz w:val="20"/>
                <w:szCs w:val="20"/>
                <w:color w:val="auto"/>
              </w:rPr>
            </w:pPr>
            <w:r>
              <w:rPr>
                <w:rFonts w:ascii="Georgia" w:cs="Georgia" w:eastAsia="Georgia" w:hAnsi="Georgia"/>
                <w:sz w:val="14"/>
                <w:szCs w:val="14"/>
                <w:color w:val="auto"/>
              </w:rPr>
              <w:t>including Wells Fargo Advisors (“WFA”), may</w:t>
            </w:r>
          </w:p>
        </w:tc>
      </w:tr>
      <w:tr>
        <w:trPr>
          <w:trHeight w:val="20"/>
        </w:trPr>
        <w:tc>
          <w:tcPr>
            <w:tcW w:w="2120" w:type="dxa"/>
            <w:vAlign w:val="bottom"/>
            <w:tcBorders>
              <w:right w:val="single" w:sz="8" w:color="auto"/>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8"/>
        </w:trPr>
        <w:tc>
          <w:tcPr>
            <w:tcW w:w="2120" w:type="dxa"/>
            <w:vAlign w:val="bottom"/>
            <w:tcBorders>
              <w:right w:val="single" w:sz="8" w:color="auto"/>
            </w:tcBorders>
          </w:tcPr>
          <w:p>
            <w:pPr>
              <w:spacing w:after="0"/>
              <w:rPr>
                <w:sz w:val="13"/>
                <w:szCs w:val="13"/>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receive 2.25% of WFS’s fee, and WFA may also</w:t>
            </w:r>
          </w:p>
        </w:tc>
      </w:tr>
      <w:tr>
        <w:trPr>
          <w:trHeight w:val="162"/>
        </w:trPr>
        <w:tc>
          <w:tcPr>
            <w:tcW w:w="2120" w:type="dxa"/>
            <w:vAlign w:val="bottom"/>
            <w:tcBorders>
              <w:right w:val="single" w:sz="8" w:color="auto"/>
            </w:tcBorders>
          </w:tcPr>
          <w:p>
            <w:pPr>
              <w:spacing w:after="0"/>
              <w:rPr>
                <w:sz w:val="14"/>
                <w:szCs w:val="14"/>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receive a distribution expense fee of 0.075%. In</w:t>
            </w:r>
          </w:p>
        </w:tc>
      </w:tr>
      <w:tr>
        <w:trPr>
          <w:trHeight w:val="162"/>
        </w:trPr>
        <w:tc>
          <w:tcPr>
            <w:tcW w:w="2120" w:type="dxa"/>
            <w:vAlign w:val="bottom"/>
            <w:tcBorders>
              <w:right w:val="single" w:sz="8" w:color="auto"/>
            </w:tcBorders>
          </w:tcPr>
          <w:p>
            <w:pPr>
              <w:spacing w:after="0"/>
              <w:rPr>
                <w:sz w:val="14"/>
                <w:szCs w:val="14"/>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addition, in respect of certain securities sold in</w:t>
            </w:r>
          </w:p>
        </w:tc>
      </w:tr>
      <w:tr>
        <w:trPr>
          <w:trHeight w:val="162"/>
        </w:trPr>
        <w:tc>
          <w:tcPr>
            <w:tcW w:w="2120" w:type="dxa"/>
            <w:vAlign w:val="bottom"/>
            <w:tcBorders>
              <w:right w:val="single" w:sz="8" w:color="auto"/>
            </w:tcBorders>
          </w:tcPr>
          <w:p>
            <w:pPr>
              <w:spacing w:after="0"/>
              <w:rPr>
                <w:sz w:val="14"/>
                <w:szCs w:val="14"/>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this offering, JPMS may pay a fee of up to</w:t>
            </w:r>
          </w:p>
        </w:tc>
      </w:tr>
      <w:tr>
        <w:trPr>
          <w:trHeight w:val="162"/>
        </w:trPr>
        <w:tc>
          <w:tcPr>
            <w:tcW w:w="2120" w:type="dxa"/>
            <w:vAlign w:val="bottom"/>
            <w:tcBorders>
              <w:right w:val="single" w:sz="8" w:color="auto"/>
            </w:tcBorders>
          </w:tcPr>
          <w:p>
            <w:pPr>
              <w:spacing w:after="0"/>
              <w:rPr>
                <w:sz w:val="14"/>
                <w:szCs w:val="14"/>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0.30% to selected dealers in consideration for</w:t>
            </w:r>
          </w:p>
        </w:tc>
      </w:tr>
      <w:tr>
        <w:trPr>
          <w:trHeight w:val="162"/>
        </w:trPr>
        <w:tc>
          <w:tcPr>
            <w:tcW w:w="2120" w:type="dxa"/>
            <w:vAlign w:val="bottom"/>
            <w:tcBorders>
              <w:right w:val="single" w:sz="8" w:color="auto"/>
            </w:tcBorders>
          </w:tcPr>
          <w:p>
            <w:pPr>
              <w:spacing w:after="0"/>
              <w:rPr>
                <w:sz w:val="14"/>
                <w:szCs w:val="14"/>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marketing and other services in connection with</w:t>
            </w:r>
          </w:p>
        </w:tc>
      </w:tr>
      <w:tr>
        <w:trPr>
          <w:trHeight w:val="162"/>
        </w:trPr>
        <w:tc>
          <w:tcPr>
            <w:tcW w:w="2120" w:type="dxa"/>
            <w:vAlign w:val="bottom"/>
            <w:tcBorders>
              <w:right w:val="single" w:sz="8" w:color="auto"/>
            </w:tcBorders>
          </w:tcPr>
          <w:p>
            <w:pPr>
              <w:spacing w:after="0"/>
              <w:rPr>
                <w:sz w:val="14"/>
                <w:szCs w:val="14"/>
                <w:color w:val="auto"/>
              </w:rPr>
            </w:pPr>
          </w:p>
        </w:tc>
        <w:tc>
          <w:tcPr>
            <w:tcW w:w="3260" w:type="dxa"/>
            <w:vAlign w:val="bottom"/>
            <w:gridSpan w:val="5"/>
          </w:tcPr>
          <w:p>
            <w:pPr>
              <w:ind w:left="80"/>
              <w:spacing w:after="0"/>
              <w:rPr>
                <w:sz w:val="20"/>
                <w:szCs w:val="20"/>
                <w:color w:val="auto"/>
              </w:rPr>
            </w:pPr>
            <w:r>
              <w:rPr>
                <w:rFonts w:ascii="Georgia" w:cs="Georgia" w:eastAsia="Georgia" w:hAnsi="Georgia"/>
                <w:sz w:val="14"/>
                <w:szCs w:val="14"/>
                <w:color w:val="auto"/>
              </w:rPr>
              <w:t>the distribution of the securities to other</w:t>
            </w:r>
          </w:p>
        </w:tc>
      </w:tr>
      <w:tr>
        <w:trPr>
          <w:trHeight w:val="159"/>
        </w:trPr>
        <w:tc>
          <w:tcPr>
            <w:tcW w:w="212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tcBorders>
            <w:gridSpan w:val="5"/>
          </w:tcPr>
          <w:p>
            <w:pPr>
              <w:ind w:left="80"/>
              <w:spacing w:after="0"/>
              <w:rPr>
                <w:sz w:val="20"/>
                <w:szCs w:val="20"/>
                <w:color w:val="auto"/>
              </w:rPr>
            </w:pPr>
            <w:r>
              <w:rPr>
                <w:rFonts w:ascii="Georgia" w:cs="Georgia" w:eastAsia="Georgia" w:hAnsi="Georgia"/>
                <w:sz w:val="14"/>
                <w:szCs w:val="14"/>
                <w:color w:val="auto"/>
              </w:rPr>
              <w:t>dealers.</w:t>
            </w:r>
          </w:p>
        </w:tc>
      </w:tr>
      <w:tr>
        <w:trPr>
          <w:trHeight w:val="155"/>
        </w:trPr>
        <w:tc>
          <w:tcPr>
            <w:tcW w:w="2120" w:type="dxa"/>
            <w:vAlign w:val="bottom"/>
            <w:tcBorders>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3260" w:type="dxa"/>
            <w:vAlign w:val="bottom"/>
            <w:tcBorders>
              <w:bottom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See the preliminary pricing supplement.</w:t>
            </w:r>
          </w:p>
        </w:tc>
      </w:tr>
    </w:tbl>
    <w:p>
      <w:pPr>
        <w:ind w:left="200" w:hanging="81"/>
        <w:spacing w:after="0" w:line="182" w:lineRule="auto"/>
        <w:tabs>
          <w:tab w:leader="none" w:pos="200" w:val="left"/>
        </w:tabs>
        <w:numPr>
          <w:ilvl w:val="0"/>
          <w:numId w:val="1"/>
        </w:numPr>
        <w:rPr>
          <w:rFonts w:ascii="Georgia" w:cs="Georgia" w:eastAsia="Georgia" w:hAnsi="Georgia"/>
          <w:sz w:val="22"/>
          <w:szCs w:val="22"/>
          <w:color w:val="auto"/>
          <w:vertAlign w:val="superscript"/>
        </w:rPr>
      </w:pPr>
      <w:r>
        <w:rPr>
          <w:rFonts w:ascii="Georgia" w:cs="Georgia" w:eastAsia="Georgia" w:hAnsi="Georgia"/>
          <w:sz w:val="13"/>
          <w:szCs w:val="13"/>
          <w:color w:val="auto"/>
        </w:rPr>
        <w:t>Subject to change</w:t>
      </w:r>
    </w:p>
    <w:p>
      <w:pPr>
        <w:ind w:left="200" w:hanging="81"/>
        <w:spacing w:after="0" w:line="204" w:lineRule="auto"/>
        <w:tabs>
          <w:tab w:leader="none" w:pos="200" w:val="left"/>
        </w:tabs>
        <w:numPr>
          <w:ilvl w:val="0"/>
          <w:numId w:val="2"/>
        </w:numPr>
        <w:rPr>
          <w:rFonts w:ascii="Georgia" w:cs="Georgia" w:eastAsia="Georgia" w:hAnsi="Georgia"/>
          <w:sz w:val="21"/>
          <w:szCs w:val="21"/>
          <w:color w:val="auto"/>
          <w:vertAlign w:val="superscript"/>
        </w:rPr>
      </w:pPr>
      <w:r>
        <w:rPr>
          <w:rFonts w:ascii="Georgia" w:cs="Georgia" w:eastAsia="Georgia" w:hAnsi="Georgia"/>
          <w:sz w:val="13"/>
          <w:szCs w:val="13"/>
          <w:color w:val="auto"/>
        </w:rPr>
        <w:t>Subject to postponement</w:t>
      </w:r>
    </w:p>
    <w:p>
      <w:pPr>
        <w:spacing w:after="0" w:line="7" w:lineRule="exact"/>
        <w:rPr>
          <w:sz w:val="24"/>
          <w:szCs w:val="24"/>
          <w:color w:val="auto"/>
        </w:rPr>
      </w:pPr>
    </w:p>
    <w:p>
      <w:pPr>
        <w:spacing w:after="0"/>
        <w:rPr>
          <w:sz w:val="20"/>
          <w:szCs w:val="20"/>
          <w:color w:val="auto"/>
        </w:rPr>
      </w:pPr>
      <w:r>
        <w:rPr>
          <w:rFonts w:ascii="Verdana" w:cs="Verdana" w:eastAsia="Verdana" w:hAnsi="Verdana"/>
          <w:sz w:val="23"/>
          <w:szCs w:val="23"/>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3051810" cy="194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Georgia" w:cs="Georgia" w:eastAsia="Georgia" w:hAnsi="Georgia"/>
          <w:sz w:val="14"/>
          <w:szCs w:val="14"/>
          <w:color w:val="auto"/>
        </w:rPr>
        <w:t>*Assumes a maximum return equal to the lowest maximum return</w:t>
      </w:r>
    </w:p>
    <w:p>
      <w:pPr>
        <w:spacing w:after="0" w:line="57" w:lineRule="exact"/>
        <w:rPr>
          <w:sz w:val="24"/>
          <w:szCs w:val="24"/>
          <w:color w:val="auto"/>
        </w:rPr>
      </w:pPr>
    </w:p>
    <w:p>
      <w:pPr>
        <w:jc w:val="both"/>
        <w:ind w:right="160"/>
        <w:spacing w:after="0" w:line="245" w:lineRule="auto"/>
        <w:rPr>
          <w:sz w:val="20"/>
          <w:szCs w:val="20"/>
          <w:color w:val="auto"/>
        </w:rPr>
      </w:pPr>
      <w:r>
        <w:rPr>
          <w:rFonts w:ascii="Georgia" w:cs="Georgia" w:eastAsia="Georgia" w:hAnsi="Georgia"/>
          <w:sz w:val="14"/>
          <w:szCs w:val="14"/>
          <w:b w:val="1"/>
          <w:bCs w:val="1"/>
          <w:color w:val="auto"/>
        </w:rPr>
        <w:t>If the ending level of the basket is less than the threshold level, you will have 1-to-1 downside exposure to the decrease in the level of the basket in excess of the buffer amount, and you will lose some, and possibly up to 70%, of the principal amount of your securities at maturity.</w:t>
      </w:r>
    </w:p>
    <w:p>
      <w:pPr>
        <w:spacing w:after="0" w:line="52" w:lineRule="exact"/>
        <w:rPr>
          <w:sz w:val="24"/>
          <w:szCs w:val="24"/>
          <w:color w:val="auto"/>
        </w:rPr>
      </w:pPr>
    </w:p>
    <w:p>
      <w:pPr>
        <w:ind w:right="1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52" w:lineRule="exact"/>
        <w:rPr>
          <w:sz w:val="24"/>
          <w:szCs w:val="24"/>
          <w:color w:val="auto"/>
        </w:rPr>
      </w:pPr>
    </w:p>
    <w:p>
      <w:pPr>
        <w:ind w:right="6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$955.50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spacing w:after="0" w:line="52" w:lineRule="exact"/>
        <w:rPr>
          <w:sz w:val="24"/>
          <w:szCs w:val="24"/>
          <w:color w:val="auto"/>
        </w:rPr>
      </w:pPr>
    </w:p>
    <w:p>
      <w:pPr>
        <w:ind w:right="1720"/>
        <w:spacing w:after="0" w:line="246" w:lineRule="auto"/>
        <w:rPr>
          <w:rFonts w:ascii="Georgia" w:cs="Georgia" w:eastAsia="Georgia" w:hAnsi="Georgia"/>
          <w:sz w:val="14"/>
          <w:szCs w:val="14"/>
          <w:u w:val="single" w:color="auto"/>
          <w:color w:val="0000EE"/>
        </w:rPr>
      </w:pPr>
      <w:r>
        <w:rPr>
          <w:rFonts w:ascii="Georgia" w:cs="Georgia" w:eastAsia="Georgia" w:hAnsi="Georgia"/>
          <w:sz w:val="14"/>
          <w:szCs w:val="14"/>
          <w:color w:val="auto"/>
        </w:rPr>
        <w:t xml:space="preserve">Preliminary Pricing Supplement: </w:t>
      </w:r>
      <w:hyperlink r:id="rId12">
        <w:r>
          <w:rPr>
            <w:rFonts w:ascii="Georgia" w:cs="Georgia" w:eastAsia="Georgia" w:hAnsi="Georgia"/>
            <w:sz w:val="14"/>
            <w:szCs w:val="14"/>
            <w:u w:val="single" w:color="auto"/>
            <w:color w:val="0000EE"/>
          </w:rPr>
          <w:t>http://www.sec.gov/Archives/edgar/data/</w:t>
        </w:r>
      </w:hyperlink>
      <w:r>
        <w:rPr>
          <w:rFonts w:ascii="Georgia" w:cs="Georgia" w:eastAsia="Georgia" w:hAnsi="Georgia"/>
          <w:sz w:val="14"/>
          <w:szCs w:val="14"/>
          <w:u w:val="single" w:color="auto"/>
          <w:color w:val="0000EE"/>
        </w:rPr>
        <w:t xml:space="preserve"> </w:t>
      </w:r>
      <w:hyperlink r:id="rId12">
        <w:r>
          <w:rPr>
            <w:rFonts w:ascii="Georgia" w:cs="Georgia" w:eastAsia="Georgia" w:hAnsi="Georgia"/>
            <w:sz w:val="14"/>
            <w:szCs w:val="14"/>
            <w:u w:val="single" w:color="auto"/>
            <w:color w:val="0000EE"/>
          </w:rPr>
          <w:t>19617/000121390026068598/ea0294629-01_424b2.htm</w:t>
        </w:r>
      </w:hyperlink>
    </w:p>
    <w:p>
      <w:pPr>
        <w:spacing w:after="0" w:line="469" w:lineRule="exact"/>
        <w:rPr>
          <w:sz w:val="20"/>
          <w:szCs w:val="20"/>
          <w:color w:val="auto"/>
        </w:rPr>
      </w:pPr>
    </w:p>
    <w:p>
      <w:pPr>
        <w:sectPr>
          <w:pgSz w:w="11900" w:h="16838" w:orient="portrait"/>
          <w:cols w:equalWidth="0" w:num="2">
            <w:col w:w="5400" w:space="440"/>
            <w:col w:w="5400"/>
          </w:cols>
          <w:pgMar w:left="320" w:top="240" w:right="339" w:bottom="1440"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24" w:lineRule="exact"/>
        <w:rPr>
          <w:sz w:val="20"/>
          <w:szCs w:val="20"/>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product supplement and underlying supplement.</w:t>
      </w:r>
    </w:p>
    <w:p>
      <w:pPr>
        <w:sectPr>
          <w:pgSz w:w="11900" w:h="16838" w:orient="portrait"/>
          <w:cols w:equalWidth="0" w:num="1">
            <w:col w:w="11240"/>
          </w:cols>
          <w:pgMar w:left="320" w:top="240"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230"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460" w:right="100" w:hanging="355"/>
        <w:spacing w:after="0" w:line="247"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Ending Level of the Basket Is Less Than the Threshold Level, You Will Lose Up to 70% of the Principal Amount of Your Securities at Maturity.</w:t>
      </w:r>
    </w:p>
    <w:p>
      <w:pPr>
        <w:spacing w:after="0" w:line="56" w:lineRule="exact"/>
        <w:rPr>
          <w:rFonts w:ascii="Arial" w:cs="Arial" w:eastAsia="Arial" w:hAnsi="Arial"/>
          <w:sz w:val="16"/>
          <w:szCs w:val="16"/>
          <w:b w:val="1"/>
          <w:bCs w:val="1"/>
          <w:color w:val="auto"/>
        </w:rPr>
      </w:pPr>
    </w:p>
    <w:p>
      <w:pPr>
        <w:ind w:left="460" w:hanging="355"/>
        <w:spacing w:after="0" w:line="247"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Your Return Will Be Limited to the Maximum Return and May Be Lower Than the Return on a Direct Investment in the Basket Components.</w:t>
      </w:r>
    </w:p>
    <w:p>
      <w:pPr>
        <w:spacing w:after="0" w:line="56" w:lineRule="exact"/>
        <w:rPr>
          <w:rFonts w:ascii="Arial" w:cs="Arial" w:eastAsia="Arial" w:hAnsi="Arial"/>
          <w:sz w:val="16"/>
          <w:szCs w:val="16"/>
          <w:b w:val="1"/>
          <w:bCs w:val="1"/>
          <w:color w:val="auto"/>
        </w:rPr>
      </w:pPr>
    </w:p>
    <w:p>
      <w:pPr>
        <w:ind w:left="460" w:right="20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42" w:lineRule="exact"/>
        <w:rPr>
          <w:rFonts w:ascii="Arial" w:cs="Arial" w:eastAsia="Arial" w:hAnsi="Arial"/>
          <w:sz w:val="16"/>
          <w:szCs w:val="16"/>
          <w:b w:val="1"/>
          <w:bCs w:val="1"/>
          <w:color w:val="auto"/>
        </w:rPr>
      </w:pPr>
    </w:p>
    <w:p>
      <w:pPr>
        <w:ind w:left="460" w:right="66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60" w:right="14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Changes in the Prices of the Basket Components May Offset Each Other.</w:t>
      </w:r>
    </w:p>
    <w:p>
      <w:pPr>
        <w:spacing w:after="0" w:line="55" w:lineRule="exact"/>
        <w:rPr>
          <w:rFonts w:ascii="Arial" w:cs="Arial" w:eastAsia="Arial" w:hAnsi="Arial"/>
          <w:sz w:val="16"/>
          <w:szCs w:val="16"/>
          <w:b w:val="1"/>
          <w:bCs w:val="1"/>
          <w:color w:val="auto"/>
        </w:rPr>
      </w:pPr>
    </w:p>
    <w:p>
      <w:pPr>
        <w:ind w:left="460" w:right="4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Correlation of Performances Among the Basket Components May Reduce the Performance of the Securities.</w:t>
      </w:r>
    </w:p>
    <w:p>
      <w:pPr>
        <w:spacing w:after="0" w:line="39" w:lineRule="exact"/>
        <w:rPr>
          <w:rFonts w:ascii="Arial" w:cs="Arial" w:eastAsia="Arial" w:hAnsi="Arial"/>
          <w:sz w:val="16"/>
          <w:szCs w:val="16"/>
          <w:b w:val="1"/>
          <w:bCs w:val="1"/>
          <w:color w:val="auto"/>
        </w:rPr>
      </w:pPr>
    </w:p>
    <w:p>
      <w:pPr>
        <w:ind w:left="440" w:hanging="335"/>
        <w:spacing w:after="0"/>
        <w:tabs>
          <w:tab w:leader="none" w:pos="4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57" w:lineRule="exact"/>
        <w:rPr>
          <w:rFonts w:ascii="Arial" w:cs="Arial" w:eastAsia="Arial" w:hAnsi="Arial"/>
          <w:sz w:val="16"/>
          <w:szCs w:val="16"/>
          <w:b w:val="1"/>
          <w:bCs w:val="1"/>
          <w:color w:val="auto"/>
        </w:rPr>
      </w:pPr>
    </w:p>
    <w:p>
      <w:pPr>
        <w:ind w:left="440" w:hanging="335"/>
        <w:spacing w:after="0"/>
        <w:tabs>
          <w:tab w:leader="none" w:pos="4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60" w:lineRule="exact"/>
        <w:rPr>
          <w:rFonts w:ascii="Arial" w:cs="Arial" w:eastAsia="Arial" w:hAnsi="Arial"/>
          <w:sz w:val="16"/>
          <w:szCs w:val="16"/>
          <w:b w:val="1"/>
          <w:bCs w:val="1"/>
          <w:color w:val="auto"/>
        </w:rPr>
      </w:pPr>
    </w:p>
    <w:p>
      <w:pPr>
        <w:ind w:left="460" w:right="22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42" w:lineRule="exact"/>
        <w:rPr>
          <w:rFonts w:ascii="Arial" w:cs="Arial" w:eastAsia="Arial" w:hAnsi="Arial"/>
          <w:sz w:val="16"/>
          <w:szCs w:val="16"/>
          <w:b w:val="1"/>
          <w:bCs w:val="1"/>
          <w:color w:val="auto"/>
        </w:rPr>
      </w:pPr>
    </w:p>
    <w:p>
      <w:pPr>
        <w:ind w:left="460" w:right="2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jc w:val="both"/>
        <w:ind w:left="460" w:right="28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42" w:lineRule="exact"/>
        <w:rPr>
          <w:rFonts w:ascii="Arial" w:cs="Arial" w:eastAsia="Arial" w:hAnsi="Arial"/>
          <w:sz w:val="16"/>
          <w:szCs w:val="16"/>
          <w:b w:val="1"/>
          <w:bCs w:val="1"/>
          <w:color w:val="auto"/>
        </w:rPr>
      </w:pPr>
    </w:p>
    <w:p>
      <w:pPr>
        <w:ind w:left="460" w:right="100" w:hanging="355"/>
        <w:spacing w:after="0" w:line="247"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56" w:lineRule="exact"/>
        <w:rPr>
          <w:rFonts w:ascii="Arial" w:cs="Arial" w:eastAsia="Arial" w:hAnsi="Arial"/>
          <w:sz w:val="16"/>
          <w:szCs w:val="16"/>
          <w:b w:val="1"/>
          <w:bCs w:val="1"/>
          <w:color w:val="auto"/>
        </w:rPr>
      </w:pPr>
    </w:p>
    <w:p>
      <w:pPr>
        <w:ind w:left="460" w:right="820" w:hanging="355"/>
        <w:spacing w:after="0" w:line="246" w:lineRule="auto"/>
        <w:tabs>
          <w:tab w:leader="none" w:pos="45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59" w:right="240" w:hanging="359"/>
        <w:spacing w:after="0" w:line="248"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55" w:lineRule="exact"/>
        <w:rPr>
          <w:rFonts w:ascii="Arial" w:cs="Arial" w:eastAsia="Arial" w:hAnsi="Arial"/>
          <w:sz w:val="16"/>
          <w:szCs w:val="16"/>
          <w:b w:val="1"/>
          <w:bCs w:val="1"/>
          <w:color w:val="auto"/>
        </w:rPr>
      </w:pPr>
    </w:p>
    <w:p>
      <w:pPr>
        <w:ind w:left="359" w:right="480" w:hanging="359"/>
        <w:spacing w:after="0" w:line="246"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55" w:lineRule="exact"/>
        <w:rPr>
          <w:rFonts w:ascii="Arial" w:cs="Arial" w:eastAsia="Arial" w:hAnsi="Arial"/>
          <w:sz w:val="16"/>
          <w:szCs w:val="16"/>
          <w:b w:val="1"/>
          <w:bCs w:val="1"/>
          <w:color w:val="auto"/>
        </w:rPr>
      </w:pPr>
    </w:p>
    <w:p>
      <w:pPr>
        <w:ind w:left="359" w:right="100" w:hanging="359"/>
        <w:spacing w:after="0" w:line="246"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42" w:lineRule="exact"/>
        <w:rPr>
          <w:rFonts w:ascii="Arial" w:cs="Arial" w:eastAsia="Arial" w:hAnsi="Arial"/>
          <w:sz w:val="16"/>
          <w:szCs w:val="16"/>
          <w:b w:val="1"/>
          <w:bCs w:val="1"/>
          <w:color w:val="auto"/>
        </w:rPr>
      </w:pPr>
    </w:p>
    <w:p>
      <w:pPr>
        <w:ind w:left="359" w:right="140" w:hanging="359"/>
        <w:spacing w:after="0" w:line="234" w:lineRule="auto"/>
        <w:tabs>
          <w:tab w:leader="none" w:pos="349" w:val="left"/>
        </w:tabs>
        <w:numPr>
          <w:ilvl w:val="0"/>
          <w:numId w:val="4"/>
        </w:numPr>
        <w:rPr>
          <w:rFonts w:ascii="Arial" w:cs="Arial" w:eastAsia="Arial" w:hAnsi="Arial"/>
          <w:sz w:val="15"/>
          <w:szCs w:val="15"/>
          <w:b w:val="1"/>
          <w:bCs w:val="1"/>
          <w:color w:val="auto"/>
        </w:rPr>
      </w:pPr>
      <w:r>
        <w:rPr>
          <w:rFonts w:ascii="Georgia" w:cs="Georgia" w:eastAsia="Georgia" w:hAnsi="Georgia"/>
          <w:sz w:val="15"/>
          <w:szCs w:val="15"/>
          <w:b w:val="1"/>
          <w:bCs w:val="1"/>
          <w:color w:val="auto"/>
        </w:rPr>
        <w:t>JPMorgan Chase &amp; Co. (Our Parent Company) Is Currently One of the Companies that Make Up the State Street</w:t>
      </w:r>
      <w:r>
        <w:rPr>
          <w:rFonts w:ascii="Georgia" w:cs="Georgia" w:eastAsia="Georgia" w:hAnsi="Georgia"/>
          <w:sz w:val="24"/>
          <w:szCs w:val="24"/>
          <w:b w:val="1"/>
          <w:bCs w:val="1"/>
          <w:color w:val="auto"/>
          <w:vertAlign w:val="superscript"/>
        </w:rPr>
        <w:t>®</w:t>
      </w:r>
      <w:r>
        <w:rPr>
          <w:rFonts w:ascii="Georgia" w:cs="Georgia" w:eastAsia="Georgia" w:hAnsi="Georgia"/>
          <w:sz w:val="15"/>
          <w:szCs w:val="15"/>
          <w:b w:val="1"/>
          <w:bCs w:val="1"/>
          <w:color w:val="auto"/>
        </w:rPr>
        <w:t xml:space="preserve"> SPDR</w:t>
      </w:r>
      <w:r>
        <w:rPr>
          <w:rFonts w:ascii="Georgia" w:cs="Georgia" w:eastAsia="Georgia" w:hAnsi="Georgia"/>
          <w:sz w:val="24"/>
          <w:szCs w:val="24"/>
          <w:b w:val="1"/>
          <w:bCs w:val="1"/>
          <w:color w:val="auto"/>
          <w:vertAlign w:val="superscript"/>
        </w:rPr>
        <w:t>®</w:t>
      </w:r>
      <w:r>
        <w:rPr>
          <w:rFonts w:ascii="Georgia" w:cs="Georgia" w:eastAsia="Georgia" w:hAnsi="Georgia"/>
          <w:sz w:val="15"/>
          <w:szCs w:val="15"/>
          <w:b w:val="1"/>
          <w:bCs w:val="1"/>
          <w:color w:val="auto"/>
        </w:rPr>
        <w:t xml:space="preserve"> S&amp;P 500</w:t>
      </w:r>
      <w:r>
        <w:rPr>
          <w:rFonts w:ascii="Georgia" w:cs="Georgia" w:eastAsia="Georgia" w:hAnsi="Georgia"/>
          <w:sz w:val="24"/>
          <w:szCs w:val="24"/>
          <w:b w:val="1"/>
          <w:bCs w:val="1"/>
          <w:color w:val="auto"/>
          <w:vertAlign w:val="superscript"/>
        </w:rPr>
        <w:t>®</w:t>
      </w:r>
      <w:r>
        <w:rPr>
          <w:rFonts w:ascii="Georgia" w:cs="Georgia" w:eastAsia="Georgia" w:hAnsi="Georgia"/>
          <w:sz w:val="15"/>
          <w:szCs w:val="15"/>
          <w:b w:val="1"/>
          <w:bCs w:val="1"/>
          <w:color w:val="auto"/>
        </w:rPr>
        <w:t xml:space="preserve"> ETF Trust and Its Fund Underlying Index.</w:t>
      </w:r>
    </w:p>
    <w:p>
      <w:pPr>
        <w:spacing w:after="0" w:line="1" w:lineRule="exact"/>
        <w:rPr>
          <w:rFonts w:ascii="Arial" w:cs="Arial" w:eastAsia="Arial" w:hAnsi="Arial"/>
          <w:sz w:val="15"/>
          <w:szCs w:val="15"/>
          <w:b w:val="1"/>
          <w:bCs w:val="1"/>
          <w:color w:val="auto"/>
        </w:rPr>
      </w:pPr>
    </w:p>
    <w:p>
      <w:pPr>
        <w:ind w:left="339" w:hanging="339"/>
        <w:spacing w:after="0" w:line="236" w:lineRule="auto"/>
        <w:tabs>
          <w:tab w:leader="none" w:pos="33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There Are Risks Associated with the Basket Components.</w:t>
      </w:r>
    </w:p>
    <w:p>
      <w:pPr>
        <w:spacing w:after="0" w:line="60" w:lineRule="exact"/>
        <w:rPr>
          <w:rFonts w:ascii="Arial" w:cs="Arial" w:eastAsia="Arial" w:hAnsi="Arial"/>
          <w:sz w:val="16"/>
          <w:szCs w:val="16"/>
          <w:b w:val="1"/>
          <w:bCs w:val="1"/>
          <w:color w:val="auto"/>
        </w:rPr>
      </w:pPr>
    </w:p>
    <w:p>
      <w:pPr>
        <w:ind w:left="359" w:right="240" w:hanging="359"/>
        <w:spacing w:after="0" w:line="248"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Performance and Market Value of Each Basket Component, Particularly During Periods of Market Volatility, May Not Correlate with the Performance of that Basket Component’s Fund Underlying Index As Well As the Net Asset Value Per Share.</w:t>
      </w:r>
    </w:p>
    <w:p>
      <w:pPr>
        <w:spacing w:after="0" w:line="42" w:lineRule="exact"/>
        <w:rPr>
          <w:rFonts w:ascii="Arial" w:cs="Arial" w:eastAsia="Arial" w:hAnsi="Arial"/>
          <w:sz w:val="16"/>
          <w:szCs w:val="16"/>
          <w:b w:val="1"/>
          <w:bCs w:val="1"/>
          <w:color w:val="auto"/>
        </w:rPr>
      </w:pPr>
    </w:p>
    <w:p>
      <w:pPr>
        <w:ind w:left="359" w:right="600" w:hanging="359"/>
        <w:spacing w:after="0" w:line="217"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Risks Associated with the Semiconductor Industry with Respect to the VanEck</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 xml:space="preserve"> Semiconductor ETF.</w:t>
      </w:r>
    </w:p>
    <w:p>
      <w:pPr>
        <w:spacing w:after="0" w:line="62" w:lineRule="exact"/>
        <w:rPr>
          <w:rFonts w:ascii="Arial" w:cs="Arial" w:eastAsia="Arial" w:hAnsi="Arial"/>
          <w:sz w:val="16"/>
          <w:szCs w:val="16"/>
          <w:b w:val="1"/>
          <w:bCs w:val="1"/>
          <w:color w:val="auto"/>
        </w:rPr>
      </w:pPr>
    </w:p>
    <w:p>
      <w:pPr>
        <w:ind w:left="359" w:right="140" w:hanging="359"/>
        <w:spacing w:after="0" w:line="217"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Non-U.S. Securities Risk with Respect to the VanEck</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 xml:space="preserve"> Semiconductor ETF and the Invesco QQQ Trust</w:t>
      </w:r>
      <w:r>
        <w:rPr>
          <w:rFonts w:ascii="Georgia" w:cs="Georgia" w:eastAsia="Georgia" w:hAnsi="Georgia"/>
          <w:sz w:val="26"/>
          <w:szCs w:val="26"/>
          <w:b w:val="1"/>
          <w:bCs w:val="1"/>
          <w:color w:val="auto"/>
          <w:vertAlign w:val="superscript"/>
        </w:rPr>
        <w:t>SM</w:t>
      </w:r>
      <w:r>
        <w:rPr>
          <w:rFonts w:ascii="Georgia" w:cs="Georgia" w:eastAsia="Georgia" w:hAnsi="Georgia"/>
          <w:sz w:val="16"/>
          <w:szCs w:val="16"/>
          <w:b w:val="1"/>
          <w:bCs w:val="1"/>
          <w:color w:val="auto"/>
        </w:rPr>
        <w:t>, Series 1.</w:t>
      </w:r>
    </w:p>
    <w:p>
      <w:pPr>
        <w:ind w:left="359" w:right="880" w:hanging="359"/>
        <w:spacing w:after="0" w:line="246"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Anti-Dilution Protection Is Limited and May Be Discretionary.</w:t>
      </w:r>
    </w:p>
    <w:p>
      <w:pPr>
        <w:spacing w:after="0" w:line="42" w:lineRule="exact"/>
        <w:rPr>
          <w:rFonts w:ascii="Arial" w:cs="Arial" w:eastAsia="Arial" w:hAnsi="Arial"/>
          <w:sz w:val="16"/>
          <w:szCs w:val="16"/>
          <w:b w:val="1"/>
          <w:bCs w:val="1"/>
          <w:color w:val="auto"/>
        </w:rPr>
      </w:pPr>
    </w:p>
    <w:p>
      <w:pPr>
        <w:ind w:left="359" w:right="180" w:hanging="359"/>
        <w:spacing w:after="0" w:line="248" w:lineRule="auto"/>
        <w:tabs>
          <w:tab w:leader="none" w:pos="349" w:val="left"/>
        </w:tabs>
        <w:numPr>
          <w:ilvl w:val="0"/>
          <w:numId w:val="4"/>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Maturity Payment Amount Will Depend upon the Performance of the Basket and Therefore the Securities Are Subject to the Risks Associated with Each Basket Component, Each as Discussed in the Accompanying Preliminary Pricing Supplement and Product Supplement.</w:t>
      </w:r>
    </w:p>
    <w:p>
      <w:pPr>
        <w:spacing w:after="0" w:line="200"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3" Type="http://schemas.openxmlformats.org/officeDocument/2006/relationships/image" Target="media/image5.png"/><Relationship Id="rId12" Type="http://schemas.openxmlformats.org/officeDocument/2006/relationships/hyperlink" Target="http://www.sec.gov/Archives/edgar/data/19617/000121390026068598/ea0294629-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2026-06-15T16:39:54Z</dcterms:created>
  <dcterms:modified xsi:type="dcterms:W3CDTF">2026-06-15T16:39:54Z</dcterms:modified>
</cp:coreProperties>
</file>