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40"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jc w:val="right"/>
              <w:ind w:right="929"/>
              <w:spacing w:after="0"/>
              <w:rPr>
                <w:sz w:val="20"/>
                <w:szCs w:val="20"/>
                <w:color w:val="auto"/>
              </w:rPr>
            </w:pPr>
            <w:r>
              <w:rPr>
                <w:rFonts w:ascii="Courier New" w:cs="Courier New" w:eastAsia="Courier New" w:hAnsi="Courier New"/>
                <w:sz w:val="15"/>
                <w:szCs w:val="15"/>
                <w:color w:val="auto"/>
                <w:w w:val="97"/>
              </w:rPr>
              <w:t>FOR THE QUARTER ENDED JUNE 30, 2001</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COMMISSION FILE NUMBER 1-5805</w:t>
            </w:r>
          </w:p>
        </w:tc>
        <w:tc>
          <w:tcPr>
            <w:tcW w:w="0" w:type="dxa"/>
            <w:vAlign w:val="bottom"/>
          </w:tcPr>
          <w:p>
            <w:pPr>
              <w:spacing w:after="0"/>
              <w:rPr>
                <w:sz w:val="1"/>
                <w:szCs w:val="1"/>
                <w:color w:val="auto"/>
              </w:rPr>
            </w:pPr>
          </w:p>
        </w:tc>
      </w:tr>
      <w:tr>
        <w:trPr>
          <w:trHeight w:val="245"/>
        </w:trPr>
        <w:tc>
          <w:tcPr>
            <w:tcW w:w="4080" w:type="dxa"/>
            <w:vAlign w:val="bottom"/>
          </w:tcPr>
          <w:p>
            <w:pPr>
              <w:jc w:val="right"/>
              <w:ind w:right="929"/>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7000" w:type="dxa"/>
            <w:vAlign w:val="bottom"/>
            <w:gridSpan w:val="2"/>
          </w:tcPr>
          <w:p>
            <w:pPr>
              <w:jc w:val="right"/>
              <w:ind w:right="2367"/>
              <w:spacing w:after="0"/>
              <w:rPr>
                <w:sz w:val="20"/>
                <w:szCs w:val="20"/>
                <w:color w:val="auto"/>
              </w:rPr>
            </w:pPr>
            <w:r>
              <w:rPr>
                <w:rFonts w:ascii="Courier New" w:cs="Courier New" w:eastAsia="Courier New" w:hAnsi="Courier New"/>
                <w:sz w:val="15"/>
                <w:szCs w:val="15"/>
                <w:color w:val="auto"/>
              </w:rPr>
              <w:t>J.P. MORGAN CHASE &amp; CO.</w:t>
            </w:r>
          </w:p>
        </w:tc>
        <w:tc>
          <w:tcPr>
            <w:tcW w:w="0" w:type="dxa"/>
            <w:vAlign w:val="bottom"/>
          </w:tcPr>
          <w:p>
            <w:pPr>
              <w:spacing w:after="0"/>
              <w:rPr>
                <w:sz w:val="1"/>
                <w:szCs w:val="1"/>
                <w:color w:val="auto"/>
              </w:rPr>
            </w:pPr>
          </w:p>
        </w:tc>
      </w:tr>
      <w:tr>
        <w:trPr>
          <w:trHeight w:val="168"/>
        </w:trPr>
        <w:tc>
          <w:tcPr>
            <w:tcW w:w="700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700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0" w:type="dxa"/>
            <w:vAlign w:val="bottom"/>
          </w:tcPr>
          <w:p>
            <w:pPr>
              <w:spacing w:after="0"/>
              <w:rPr>
                <w:sz w:val="1"/>
                <w:szCs w:val="1"/>
                <w:color w:val="auto"/>
              </w:rPr>
            </w:pPr>
          </w:p>
        </w:tc>
      </w:tr>
      <w:tr>
        <w:trPr>
          <w:trHeight w:val="764"/>
        </w:trPr>
        <w:tc>
          <w:tcPr>
            <w:tcW w:w="4080" w:type="dxa"/>
            <w:vAlign w:val="bottom"/>
          </w:tcPr>
          <w:p>
            <w:pPr>
              <w:ind w:left="980"/>
              <w:spacing w:after="0"/>
              <w:rPr>
                <w:sz w:val="20"/>
                <w:szCs w:val="20"/>
                <w:color w:val="auto"/>
              </w:rPr>
            </w:pPr>
            <w:r>
              <w:rPr>
                <w:rFonts w:ascii="Courier New" w:cs="Courier New" w:eastAsia="Courier New" w:hAnsi="Courier New"/>
                <w:sz w:val="15"/>
                <w:szCs w:val="15"/>
                <w:color w:val="auto"/>
              </w:rPr>
              <w:t>DELAWARE</w:t>
            </w:r>
          </w:p>
        </w:tc>
        <w:tc>
          <w:tcPr>
            <w:tcW w:w="2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13-2624428</w:t>
            </w:r>
          </w:p>
        </w:tc>
        <w:tc>
          <w:tcPr>
            <w:tcW w:w="0" w:type="dxa"/>
            <w:vAlign w:val="bottom"/>
          </w:tcPr>
          <w:p>
            <w:pPr>
              <w:spacing w:after="0"/>
              <w:rPr>
                <w:sz w:val="1"/>
                <w:szCs w:val="1"/>
                <w:color w:val="auto"/>
              </w:rPr>
            </w:pPr>
          </w:p>
        </w:tc>
      </w:tr>
      <w:tr>
        <w:trPr>
          <w:trHeight w:val="168"/>
        </w:trPr>
        <w:tc>
          <w:tcPr>
            <w:tcW w:w="4080" w:type="dxa"/>
            <w:vAlign w:val="bottom"/>
            <w:vMerge w:val="restart"/>
          </w:tcPr>
          <w:p>
            <w:pPr>
              <w:ind w:left="180"/>
              <w:spacing w:after="0"/>
              <w:rPr>
                <w:sz w:val="20"/>
                <w:szCs w:val="20"/>
                <w:color w:val="auto"/>
              </w:rPr>
            </w:pPr>
            <w:r>
              <w:rPr>
                <w:rFonts w:ascii="Courier New" w:cs="Courier New" w:eastAsia="Courier New" w:hAnsi="Courier New"/>
                <w:sz w:val="27"/>
                <w:szCs w:val="27"/>
                <w:color w:val="auto"/>
                <w:w w:val="71"/>
                <w:vertAlign w:val="subscript"/>
              </w:rPr>
              <w:t>(STATE</w:t>
            </w:r>
            <w:r>
              <w:rPr>
                <w:rFonts w:ascii="Courier New" w:cs="Courier New" w:eastAsia="Courier New" w:hAnsi="Courier New"/>
                <w:sz w:val="14"/>
                <w:szCs w:val="14"/>
                <w:color w:val="auto"/>
                <w:w w:val="71"/>
              </w:rPr>
              <w:t>------------------------------</w:t>
            </w:r>
            <w:r>
              <w:rPr>
                <w:rFonts w:ascii="Courier New" w:cs="Courier New" w:eastAsia="Courier New" w:hAnsi="Courier New"/>
                <w:sz w:val="27"/>
                <w:szCs w:val="27"/>
                <w:color w:val="auto"/>
                <w:w w:val="71"/>
                <w:vertAlign w:val="subscript"/>
              </w:rPr>
              <w:t>OROTHERJURISDICTIONOF</w:t>
            </w:r>
          </w:p>
        </w:tc>
        <w:tc>
          <w:tcPr>
            <w:tcW w:w="2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80" w:type="dxa"/>
            <w:vAlign w:val="bottom"/>
            <w:vMerge w:val="continue"/>
          </w:tcPr>
          <w:p>
            <w:pPr>
              <w:spacing w:after="0"/>
              <w:rPr>
                <w:sz w:val="14"/>
                <w:szCs w:val="14"/>
                <w:color w:val="auto"/>
              </w:rPr>
            </w:pPr>
          </w:p>
        </w:tc>
        <w:tc>
          <w:tcPr>
            <w:tcW w:w="2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INCORPORATION OR ORGANIZATION)</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59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270 PARK AVENUE, NEW YORK, NEW YORK</w:t>
            </w:r>
          </w:p>
        </w:tc>
        <w:tc>
          <w:tcPr>
            <w:tcW w:w="2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10017</w:t>
            </w:r>
          </w:p>
        </w:tc>
        <w:tc>
          <w:tcPr>
            <w:tcW w:w="0" w:type="dxa"/>
            <w:vAlign w:val="bottom"/>
          </w:tcPr>
          <w:p>
            <w:pPr>
              <w:spacing w:after="0"/>
              <w:rPr>
                <w:sz w:val="1"/>
                <w:szCs w:val="1"/>
                <w:color w:val="auto"/>
              </w:rPr>
            </w:pPr>
          </w:p>
        </w:tc>
      </w:tr>
      <w:tr>
        <w:trPr>
          <w:trHeight w:val="168"/>
        </w:trPr>
        <w:tc>
          <w:tcPr>
            <w:tcW w:w="4080" w:type="dxa"/>
            <w:vAlign w:val="bottom"/>
            <w:vMerge w:val="restart"/>
          </w:tcPr>
          <w:p>
            <w:pPr>
              <w:ind w:left="180"/>
              <w:spacing w:after="0"/>
              <w:rPr>
                <w:sz w:val="20"/>
                <w:szCs w:val="20"/>
                <w:color w:val="auto"/>
              </w:rPr>
            </w:pPr>
            <w:r>
              <w:rPr>
                <w:rFonts w:ascii="Courier New" w:cs="Courier New" w:eastAsia="Courier New" w:hAnsi="Courier New"/>
                <w:sz w:val="12"/>
                <w:szCs w:val="12"/>
                <w:color w:val="auto"/>
                <w:w w:val="70"/>
              </w:rPr>
              <w:t>(ADDRESS</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2"/>
                <w:szCs w:val="12"/>
                <w:color w:val="auto"/>
                <w:w w:val="70"/>
              </w:rPr>
              <w:t>OFPRINCIPALEXECUTIVEOFFICES)</w:t>
            </w:r>
          </w:p>
        </w:tc>
        <w:tc>
          <w:tcPr>
            <w:tcW w:w="2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80" w:type="dxa"/>
            <w:vAlign w:val="bottom"/>
            <w:vMerge w:val="continue"/>
          </w:tcPr>
          <w:p>
            <w:pPr>
              <w:spacing w:after="0"/>
              <w:rPr>
                <w:sz w:val="22"/>
                <w:szCs w:val="22"/>
                <w:color w:val="auto"/>
              </w:rPr>
            </w:pPr>
          </w:p>
        </w:tc>
        <w:tc>
          <w:tcPr>
            <w:tcW w:w="2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582"/>
        </w:trPr>
        <w:tc>
          <w:tcPr>
            <w:tcW w:w="70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REGISTRANT'S TELEPHONE NUMBER, INCLUDING AREA CODE (212) 270-6000</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4"/>
          <w:szCs w:val="24"/>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205" w:right="1440" w:bottom="1440" w:gutter="0" w:footer="0" w:header="0"/>
        </w:sectPr>
      </w:pPr>
    </w:p>
    <w:p>
      <w:pPr>
        <w:spacing w:after="0" w:line="243" w:lineRule="exact"/>
        <w:rPr>
          <w:sz w:val="24"/>
          <w:szCs w:val="24"/>
          <w:color w:val="auto"/>
        </w:rPr>
      </w:pPr>
    </w:p>
    <w:p>
      <w:pPr>
        <w:ind w:left="50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76" w:lineRule="exact"/>
        <w:rPr>
          <w:sz w:val="24"/>
          <w:szCs w:val="24"/>
          <w:color w:val="auto"/>
        </w:rPr>
      </w:pPr>
    </w:p>
    <w:p>
      <w:pPr>
        <w:sectPr>
          <w:pgSz w:w="11900" w:h="16838" w:orient="portrait"/>
          <w:cols w:equalWidth="0" w:num="3">
            <w:col w:w="5340" w:space="260"/>
            <w:col w:w="100" w:space="340"/>
            <w:col w:w="4199"/>
          </w:cols>
          <w:pgMar w:left="220" w:top="205" w:right="1440" w:bottom="1440" w:gutter="0" w:footer="0" w:header="0"/>
          <w:type w:val="continuous"/>
        </w:sect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1" w:lineRule="exact"/>
        <w:rPr>
          <w:sz w:val="24"/>
          <w:szCs w:val="24"/>
          <w:color w:val="auto"/>
        </w:rPr>
      </w:pPr>
    </w:p>
    <w:p>
      <w:pPr>
        <w:sectPr>
          <w:pgSz w:w="11900" w:h="16838" w:orient="portrait"/>
          <w:cols w:equalWidth="0" w:num="2">
            <w:col w:w="5780" w:space="520"/>
            <w:col w:w="3939"/>
          </w:cols>
          <w:pgMar w:left="220" w:top="205" w:right="1440" w:bottom="1440" w:gutter="0" w:footer="0" w:header="0"/>
          <w:type w:val="continuous"/>
        </w:sectPr>
      </w:pPr>
    </w:p>
    <w:p>
      <w:pPr>
        <w:spacing w:after="0"/>
        <w:tabs>
          <w:tab w:leader="none" w:pos="5840" w:val="left"/>
        </w:tabs>
        <w:rPr>
          <w:sz w:val="20"/>
          <w:szCs w:val="20"/>
          <w:color w:val="auto"/>
        </w:rPr>
      </w:pPr>
      <w:r>
        <w:rPr>
          <w:rFonts w:ascii="Courier New" w:cs="Courier New" w:eastAsia="Courier New" w:hAnsi="Courier New"/>
          <w:sz w:val="15"/>
          <w:szCs w:val="15"/>
          <w:color w:val="auto"/>
        </w:rPr>
        <w:t>COMMON STOCK, $1 PAR VALUE</w:t>
      </w:r>
      <w:r>
        <w:rPr>
          <w:sz w:val="20"/>
          <w:szCs w:val="20"/>
          <w:color w:val="auto"/>
        </w:rPr>
        <w:tab/>
      </w:r>
      <w:r>
        <w:rPr>
          <w:rFonts w:ascii="Courier New" w:cs="Courier New" w:eastAsia="Courier New" w:hAnsi="Courier New"/>
          <w:sz w:val="14"/>
          <w:szCs w:val="14"/>
          <w:color w:val="auto"/>
        </w:rPr>
        <w:t>1,986,285,709</w:t>
      </w:r>
    </w:p>
    <w:p>
      <w:pPr>
        <w:sectPr>
          <w:pgSz w:w="11900" w:h="16838" w:orient="portrait"/>
          <w:cols w:equalWidth="0" w:num="1">
            <w:col w:w="10239"/>
          </w:cols>
          <w:pgMar w:left="220" w:top="205" w:right="1440" w:bottom="1440" w:gutter="0" w:footer="0" w:header="0"/>
          <w:type w:val="continuous"/>
        </w:sectPr>
      </w:pPr>
    </w:p>
    <w:p>
      <w:pPr>
        <w:spacing w:after="0" w:line="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1" w:lineRule="exact"/>
        <w:rPr>
          <w:sz w:val="24"/>
          <w:szCs w:val="24"/>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NUMBER OF SHARES OUTSTANDING OF EACH OF THE ISSUER'S CLASSES OF COMMON STOCK ON JULY 31, 2001.</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PART I - FINANCIAL INFORMATION</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5"/>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6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 - J.P. Morgan Chase &amp; Co.: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6600" w:type="dxa"/>
            <w:vAlign w:val="bottom"/>
          </w:tcPr>
          <w:p>
            <w:pPr>
              <w:ind w:left="480"/>
              <w:spacing w:after="0"/>
              <w:rPr>
                <w:sz w:val="20"/>
                <w:szCs w:val="20"/>
                <w:color w:val="auto"/>
              </w:rPr>
            </w:pPr>
            <w:r>
              <w:rPr>
                <w:rFonts w:ascii="Courier New" w:cs="Courier New" w:eastAsia="Courier New" w:hAnsi="Courier New"/>
                <w:sz w:val="15"/>
                <w:szCs w:val="15"/>
                <w:color w:val="auto"/>
              </w:rPr>
              <w:t>Consolidated Statement of Income for three and six months ended</w:t>
            </w:r>
          </w:p>
        </w:tc>
        <w:tc>
          <w:tcPr>
            <w:tcW w:w="13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6600" w:type="dxa"/>
            <w:vAlign w:val="bottom"/>
          </w:tcPr>
          <w:p>
            <w:pPr>
              <w:ind w:left="480"/>
              <w:spacing w:after="0"/>
              <w:rPr>
                <w:sz w:val="20"/>
                <w:szCs w:val="20"/>
                <w:color w:val="auto"/>
              </w:rPr>
            </w:pPr>
            <w:r>
              <w:rPr>
                <w:rFonts w:ascii="Courier New" w:cs="Courier New" w:eastAsia="Courier New" w:hAnsi="Courier New"/>
                <w:sz w:val="15"/>
                <w:szCs w:val="15"/>
                <w:color w:val="auto"/>
              </w:rPr>
              <w:t>June 30, 2001 and June 30, 2000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6600" w:type="dxa"/>
            <w:vAlign w:val="bottom"/>
          </w:tcPr>
          <w:p>
            <w:pPr>
              <w:ind w:left="480"/>
              <w:spacing w:after="0"/>
              <w:rPr>
                <w:sz w:val="20"/>
                <w:szCs w:val="20"/>
                <w:color w:val="auto"/>
              </w:rPr>
            </w:pPr>
            <w:r>
              <w:rPr>
                <w:rFonts w:ascii="Courier New" w:cs="Courier New" w:eastAsia="Courier New" w:hAnsi="Courier New"/>
                <w:sz w:val="15"/>
                <w:szCs w:val="15"/>
                <w:color w:val="auto"/>
              </w:rPr>
              <w:t>Consolidated Balance Sheet at June 30, 2001 and</w:t>
            </w:r>
          </w:p>
        </w:tc>
        <w:tc>
          <w:tcPr>
            <w:tcW w:w="13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6600" w:type="dxa"/>
            <w:vAlign w:val="bottom"/>
          </w:tcPr>
          <w:p>
            <w:pPr>
              <w:ind w:left="480"/>
              <w:spacing w:after="0"/>
              <w:rPr>
                <w:sz w:val="20"/>
                <w:szCs w:val="20"/>
                <w:color w:val="auto"/>
              </w:rPr>
            </w:pPr>
            <w:r>
              <w:rPr>
                <w:rFonts w:ascii="Courier New" w:cs="Courier New" w:eastAsia="Courier New" w:hAnsi="Courier New"/>
                <w:sz w:val="15"/>
                <w:szCs w:val="15"/>
                <w:color w:val="auto"/>
              </w:rPr>
              <w:t>December 31, 2000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6600" w:type="dxa"/>
            <w:vAlign w:val="bottom"/>
          </w:tcPr>
          <w:p>
            <w:pPr>
              <w:ind w:left="480"/>
              <w:spacing w:after="0"/>
              <w:rPr>
                <w:sz w:val="20"/>
                <w:szCs w:val="20"/>
                <w:color w:val="auto"/>
              </w:rPr>
            </w:pPr>
            <w:r>
              <w:rPr>
                <w:rFonts w:ascii="Courier New" w:cs="Courier New" w:eastAsia="Courier New" w:hAnsi="Courier New"/>
                <w:sz w:val="15"/>
                <w:szCs w:val="15"/>
                <w:color w:val="auto"/>
              </w:rPr>
              <w:t>Consolidated Statement of Changes in Stockholders' Equity for</w:t>
            </w:r>
          </w:p>
        </w:tc>
        <w:tc>
          <w:tcPr>
            <w:tcW w:w="13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6600" w:type="dxa"/>
            <w:vAlign w:val="bottom"/>
          </w:tcPr>
          <w:p>
            <w:pPr>
              <w:ind w:left="480"/>
              <w:spacing w:after="0"/>
              <w:rPr>
                <w:sz w:val="20"/>
                <w:szCs w:val="20"/>
                <w:color w:val="auto"/>
              </w:rPr>
            </w:pPr>
            <w:r>
              <w:rPr>
                <w:rFonts w:ascii="Courier New" w:cs="Courier New" w:eastAsia="Courier New" w:hAnsi="Courier New"/>
                <w:sz w:val="15"/>
                <w:szCs w:val="15"/>
                <w:color w:val="auto"/>
              </w:rPr>
              <w:t>the six months ended June 30, 2001 and June 30, 2000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6600" w:type="dxa"/>
            <w:vAlign w:val="bottom"/>
          </w:tcPr>
          <w:p>
            <w:pPr>
              <w:ind w:left="480"/>
              <w:spacing w:after="0"/>
              <w:rPr>
                <w:sz w:val="20"/>
                <w:szCs w:val="20"/>
                <w:color w:val="auto"/>
              </w:rPr>
            </w:pPr>
            <w:r>
              <w:rPr>
                <w:rFonts w:ascii="Courier New" w:cs="Courier New" w:eastAsia="Courier New" w:hAnsi="Courier New"/>
                <w:sz w:val="15"/>
                <w:szCs w:val="15"/>
                <w:color w:val="auto"/>
              </w:rPr>
              <w:t>Consolidated Statement of Cash Flows for the six months</w:t>
            </w:r>
          </w:p>
        </w:tc>
        <w:tc>
          <w:tcPr>
            <w:tcW w:w="13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6600" w:type="dxa"/>
            <w:vAlign w:val="bottom"/>
          </w:tcPr>
          <w:p>
            <w:pPr>
              <w:ind w:left="480"/>
              <w:spacing w:after="0"/>
              <w:rPr>
                <w:sz w:val="20"/>
                <w:szCs w:val="20"/>
                <w:color w:val="auto"/>
              </w:rPr>
            </w:pPr>
            <w:r>
              <w:rPr>
                <w:rFonts w:ascii="Courier New" w:cs="Courier New" w:eastAsia="Courier New" w:hAnsi="Courier New"/>
                <w:sz w:val="15"/>
                <w:szCs w:val="15"/>
                <w:color w:val="auto"/>
              </w:rPr>
              <w:t>ended June 30, 2001 and June 30, 2000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60" w:type="dxa"/>
            <w:vAlign w:val="bottom"/>
          </w:tcPr>
          <w:p>
            <w:pPr>
              <w:spacing w:after="0"/>
              <w:rPr>
                <w:sz w:val="24"/>
                <w:szCs w:val="24"/>
                <w:color w:val="auto"/>
              </w:rPr>
            </w:pP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7-13</w:t>
            </w:r>
          </w:p>
        </w:tc>
        <w:tc>
          <w:tcPr>
            <w:tcW w:w="0" w:type="dxa"/>
            <w:vAlign w:val="bottom"/>
          </w:tcPr>
          <w:p>
            <w:pPr>
              <w:spacing w:after="0"/>
              <w:rPr>
                <w:sz w:val="1"/>
                <w:szCs w:val="1"/>
                <w:color w:val="auto"/>
              </w:rPr>
            </w:pPr>
          </w:p>
        </w:tc>
      </w:tr>
      <w:tr>
        <w:trPr>
          <w:trHeight w:val="427"/>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tc>
        <w:tc>
          <w:tcPr>
            <w:tcW w:w="13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14-49</w:t>
            </w: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Results of Operations</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60" w:type="dxa"/>
            <w:vAlign w:val="bottom"/>
          </w:tcPr>
          <w:p>
            <w:pPr>
              <w:spacing w:after="0"/>
              <w:rPr>
                <w:sz w:val="24"/>
                <w:szCs w:val="24"/>
                <w:color w:val="auto"/>
              </w:rPr>
            </w:pP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Glossary of Terms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PART II - OTHER INFORMATION</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Legal Proceedings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51-52</w:t>
            </w:r>
          </w:p>
        </w:tc>
        <w:tc>
          <w:tcPr>
            <w:tcW w:w="0" w:type="dxa"/>
            <w:vAlign w:val="bottom"/>
          </w:tcPr>
          <w:p>
            <w:pPr>
              <w:spacing w:after="0"/>
              <w:rPr>
                <w:sz w:val="1"/>
                <w:szCs w:val="1"/>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Sales of Unregistered Common Stock</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53-54</w:t>
            </w:r>
          </w:p>
        </w:tc>
        <w:tc>
          <w:tcPr>
            <w:tcW w:w="0" w:type="dxa"/>
            <w:vAlign w:val="bottom"/>
          </w:tcPr>
          <w:p>
            <w:pPr>
              <w:spacing w:after="0"/>
              <w:rPr>
                <w:sz w:val="1"/>
                <w:szCs w:val="1"/>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600" w:type="dxa"/>
            <w:vAlign w:val="bottom"/>
          </w:tcPr>
          <w:p>
            <w:pPr>
              <w:ind w:left="220"/>
              <w:spacing w:after="0"/>
              <w:rPr>
                <w:sz w:val="20"/>
                <w:szCs w:val="20"/>
                <w:color w:val="auto"/>
              </w:rPr>
            </w:pPr>
            <w:r>
              <w:rPr>
                <w:rFonts w:ascii="Courier New" w:cs="Courier New" w:eastAsia="Courier New" w:hAnsi="Courier New"/>
                <w:sz w:val="15"/>
                <w:szCs w:val="15"/>
                <w:color w:val="auto"/>
              </w:rPr>
              <w:t>Exhibits and Reports on Form 8-K</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The Management's Discussion and Analysis contains statements that are forward-looking within the meaning of the Private Securities Litigation Reform Act of 1995. Such statements are based upon the current beliefs and expectations of J.P. Morgan Chase &amp; Co.'s management and are subject to significant risks and uncertainties. Actual results may differ from those set forth in the forward-looking statements. Factors that could cause J.P. Morgan Chase &amp; Co.'s results to differ materially from those described in the forward-looking statements can be found in the 2000 Annual Report on Form 10-K of J.P. Morgan Chase &amp; Co. filed with the Securities and Exchange Commission.</w:t>
      </w: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 OF INCOME</w:t>
      </w:r>
    </w:p>
    <w:p>
      <w:pPr>
        <w:ind w:left="194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75" w:lineRule="exact"/>
        <w:rPr>
          <w:sz w:val="20"/>
          <w:szCs w:val="20"/>
          <w:color w:val="auto"/>
        </w:rPr>
      </w:pPr>
    </w:p>
    <w:tbl>
      <w:tblPr>
        <w:tblLayout w:type="fixed"/>
        <w:tblInd w:w="5080" w:type="dxa"/>
        <w:tblCellMar>
          <w:top w:w="0" w:type="dxa"/>
          <w:left w:w="0" w:type="dxa"/>
          <w:bottom w:w="0" w:type="dxa"/>
          <w:right w:w="0" w:type="dxa"/>
        </w:tblCellMar>
      </w:tblPr>
      <w:tr>
        <w:trPr>
          <w:trHeight w:val="170"/>
        </w:trPr>
        <w:tc>
          <w:tcPr>
            <w:tcW w:w="21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SECOND QUARTER</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2001</w:t>
            </w:r>
          </w:p>
        </w:tc>
        <w:tc>
          <w:tcPr>
            <w:tcW w:w="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4"/>
              </w:rPr>
              <w:t>2000</w:t>
            </w: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94"/>
        </w:trPr>
        <w:tc>
          <w:tcPr>
            <w:tcW w:w="14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7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2000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929</w:t>
            </w:r>
          </w:p>
        </w:tc>
        <w:tc>
          <w:tcPr>
            <w:tcW w:w="13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  1,107</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1,870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2,298</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Banking Fees</w:t>
            </w:r>
          </w:p>
        </w:tc>
        <w:tc>
          <w:tcPr>
            <w:tcW w:w="7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7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3,701</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and Commissions</w:t>
            </w:r>
          </w:p>
        </w:tc>
        <w:tc>
          <w:tcPr>
            <w:tcW w:w="7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2,388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2,218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4,453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4,415</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 Realized Gains (Losses)</w:t>
            </w:r>
          </w:p>
        </w:tc>
        <w:tc>
          <w:tcPr>
            <w:tcW w:w="7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1,022</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 Unrealized Gains (Losses)</w:t>
            </w:r>
          </w:p>
        </w:tc>
        <w:tc>
          <w:tcPr>
            <w:tcW w:w="7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(783)</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7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9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Revenue</w:t>
            </w:r>
          </w:p>
        </w:tc>
        <w:tc>
          <w:tcPr>
            <w:tcW w:w="760" w:type="dxa"/>
            <w:vAlign w:val="bottom"/>
          </w:tcPr>
          <w:p>
            <w:pPr>
              <w:spacing w:after="0"/>
              <w:rPr>
                <w:sz w:val="16"/>
                <w:szCs w:val="16"/>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274</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Noninterest Revenue</w:t>
            </w:r>
          </w:p>
        </w:tc>
        <w:tc>
          <w:tcPr>
            <w:tcW w:w="2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4,090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5,605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11,960</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2"/>
        </w:trPr>
        <w:tc>
          <w:tcPr>
            <w:tcW w:w="760" w:type="dxa"/>
            <w:vAlign w:val="bottom"/>
          </w:tcPr>
          <w:p>
            <w:pPr>
              <w:spacing w:after="0" w:line="152" w:lineRule="exact"/>
              <w:rPr>
                <w:sz w:val="20"/>
                <w:szCs w:val="20"/>
                <w:color w:val="auto"/>
              </w:rPr>
            </w:pPr>
            <w:r>
              <w:rPr>
                <w:rFonts w:ascii="Courier New" w:cs="Courier New" w:eastAsia="Courier New" w:hAnsi="Courier New"/>
                <w:sz w:val="15"/>
                <w:szCs w:val="15"/>
                <w:color w:val="auto"/>
              </w:rPr>
              <w:t>Interest</w:t>
            </w:r>
          </w:p>
        </w:tc>
        <w:tc>
          <w:tcPr>
            <w:tcW w:w="2480" w:type="dxa"/>
            <w:vAlign w:val="bottom"/>
          </w:tcPr>
          <w:p>
            <w:pPr>
              <w:ind w:left="40"/>
              <w:spacing w:after="0" w:line="152" w:lineRule="exact"/>
              <w:rPr>
                <w:sz w:val="20"/>
                <w:szCs w:val="20"/>
                <w:color w:val="auto"/>
              </w:rPr>
            </w:pPr>
            <w:r>
              <w:rPr>
                <w:rFonts w:ascii="Courier New" w:cs="Courier New" w:eastAsia="Courier New" w:hAnsi="Courier New"/>
                <w:sz w:val="15"/>
                <w:szCs w:val="15"/>
                <w:color w:val="auto"/>
              </w:rPr>
              <w:t>Income</w:t>
            </w:r>
          </w:p>
        </w:tc>
        <w:tc>
          <w:tcPr>
            <w:tcW w:w="2800" w:type="dxa"/>
            <w:vAlign w:val="bottom"/>
          </w:tcPr>
          <w:p>
            <w:pPr>
              <w:jc w:val="right"/>
              <w:ind w:right="447"/>
              <w:spacing w:after="0" w:line="152" w:lineRule="exact"/>
              <w:rPr>
                <w:sz w:val="20"/>
                <w:szCs w:val="20"/>
                <w:color w:val="auto"/>
              </w:rPr>
            </w:pPr>
            <w:r>
              <w:rPr>
                <w:rFonts w:ascii="Courier New" w:cs="Courier New" w:eastAsia="Courier New" w:hAnsi="Courier New"/>
                <w:sz w:val="15"/>
                <w:szCs w:val="15"/>
                <w:color w:val="auto"/>
              </w:rPr>
              <w:t>8,469</w:t>
            </w:r>
          </w:p>
        </w:tc>
        <w:tc>
          <w:tcPr>
            <w:tcW w:w="1320" w:type="dxa"/>
            <w:vAlign w:val="bottom"/>
          </w:tcPr>
          <w:p>
            <w:pPr>
              <w:jc w:val="right"/>
              <w:ind w:right="287"/>
              <w:spacing w:after="0" w:line="152" w:lineRule="exact"/>
              <w:rPr>
                <w:sz w:val="20"/>
                <w:szCs w:val="20"/>
                <w:color w:val="auto"/>
              </w:rPr>
            </w:pPr>
            <w:r>
              <w:rPr>
                <w:rFonts w:ascii="Courier New" w:cs="Courier New" w:eastAsia="Courier New" w:hAnsi="Courier New"/>
                <w:sz w:val="15"/>
                <w:szCs w:val="15"/>
                <w:color w:val="auto"/>
              </w:rPr>
              <w:t>8,858</w:t>
            </w:r>
          </w:p>
        </w:tc>
        <w:tc>
          <w:tcPr>
            <w:tcW w:w="1180" w:type="dxa"/>
            <w:vAlign w:val="bottom"/>
          </w:tcPr>
          <w:p>
            <w:pPr>
              <w:jc w:val="right"/>
              <w:ind w:right="227"/>
              <w:spacing w:after="0" w:line="152" w:lineRule="exact"/>
              <w:rPr>
                <w:sz w:val="20"/>
                <w:szCs w:val="20"/>
                <w:color w:val="auto"/>
              </w:rPr>
            </w:pPr>
            <w:r>
              <w:rPr>
                <w:rFonts w:ascii="Courier New" w:cs="Courier New" w:eastAsia="Courier New" w:hAnsi="Courier New"/>
                <w:sz w:val="15"/>
                <w:szCs w:val="15"/>
                <w:color w:val="auto"/>
              </w:rPr>
              <w:t>17,649</w:t>
            </w:r>
          </w:p>
        </w:tc>
        <w:tc>
          <w:tcPr>
            <w:tcW w:w="8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17,298</w:t>
            </w:r>
          </w:p>
        </w:tc>
      </w:tr>
      <w:tr>
        <w:trPr>
          <w:trHeight w:val="194"/>
        </w:trPr>
        <w:tc>
          <w:tcPr>
            <w:tcW w:w="7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28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5,688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6,564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12,450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12,590</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2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2,781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2,294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4,708</w:t>
            </w:r>
          </w:p>
        </w:tc>
      </w:tr>
    </w:tbl>
    <w:p>
      <w:pPr>
        <w:spacing w:after="0"/>
        <w:rPr>
          <w:sz w:val="20"/>
          <w:szCs w:val="20"/>
          <w:color w:val="auto"/>
        </w:rPr>
      </w:pPr>
      <w:r>
        <w:rPr>
          <w:rFonts w:ascii="Courier New" w:cs="Courier New" w:eastAsia="Courier New" w:hAnsi="Courier New"/>
          <w:sz w:val="14"/>
          <w:szCs w:val="14"/>
          <w:color w:val="auto"/>
        </w:rPr>
        <w:t>- ------------------------------------------------------------------------------------------------------------</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Revenue before Provision for Loan Losses</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6,871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7,899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15,124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16,668</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328</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 Net Revenue</w:t>
            </w:r>
          </w:p>
        </w:tc>
        <w:tc>
          <w:tcPr>
            <w:tcW w:w="2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6,346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7,571</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14,152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15,998</w:t>
            </w: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EXPENSE</w:t>
            </w:r>
          </w:p>
        </w:tc>
        <w:tc>
          <w:tcPr>
            <w:tcW w:w="2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3,052</w:t>
            </w:r>
          </w:p>
        </w:tc>
        <w:tc>
          <w:tcPr>
            <w:tcW w:w="13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2,963</w:t>
            </w:r>
          </w:p>
        </w:tc>
        <w:tc>
          <w:tcPr>
            <w:tcW w:w="11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6,409</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6,303</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Expense</w:t>
            </w:r>
          </w:p>
        </w:tc>
        <w:tc>
          <w:tcPr>
            <w:tcW w:w="21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2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Technology and Communications</w:t>
            </w:r>
          </w:p>
        </w:tc>
        <w:tc>
          <w:tcPr>
            <w:tcW w:w="2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and Restructuring Costs</w:t>
            </w:r>
          </w:p>
        </w:tc>
        <w:tc>
          <w:tcPr>
            <w:tcW w:w="2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478</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2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183</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94"/>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2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1,047</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2,131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Noninterest Expense</w:t>
            </w:r>
          </w:p>
        </w:tc>
        <w:tc>
          <w:tcPr>
            <w:tcW w:w="2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5,761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5,075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10,428</w:t>
            </w: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BEFORE INCOME TAX EXPENSE AND EFFECT</w:t>
            </w:r>
          </w:p>
        </w:tc>
        <w:tc>
          <w:tcPr>
            <w:tcW w:w="15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585</w:t>
            </w:r>
          </w:p>
        </w:tc>
        <w:tc>
          <w:tcPr>
            <w:tcW w:w="13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2,496</w:t>
            </w:r>
          </w:p>
        </w:tc>
        <w:tc>
          <w:tcPr>
            <w:tcW w:w="11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2,465</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5,570</w:t>
            </w:r>
          </w:p>
        </w:tc>
        <w:tc>
          <w:tcPr>
            <w:tcW w:w="0" w:type="dxa"/>
            <w:vAlign w:val="bottom"/>
          </w:tcPr>
          <w:p>
            <w:pPr>
              <w:spacing w:after="0"/>
              <w:rPr>
                <w:sz w:val="1"/>
                <w:szCs w:val="1"/>
                <w:color w:val="auto"/>
              </w:rPr>
            </w:pPr>
          </w:p>
        </w:tc>
      </w:tr>
      <w:tr>
        <w:trPr>
          <w:trHeight w:val="168"/>
        </w:trPr>
        <w:tc>
          <w:tcPr>
            <w:tcW w:w="4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ACCOUNTING CHANGE</w:t>
            </w:r>
          </w:p>
        </w:tc>
        <w:tc>
          <w:tcPr>
            <w:tcW w:w="1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Tax Expense</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207</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863</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1,949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EFFECT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ACCOUNTING</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CHANGE</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378</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1,633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3,621</w:t>
            </w:r>
          </w:p>
        </w:tc>
      </w:tr>
      <w:tr>
        <w:trPr>
          <w:trHeight w:val="194"/>
        </w:trPr>
        <w:tc>
          <w:tcPr>
            <w:tcW w:w="1200" w:type="dxa"/>
            <w:vAlign w:val="bottom"/>
          </w:tcPr>
          <w:p>
            <w:pPr>
              <w:spacing w:after="0"/>
              <w:rPr>
                <w:sz w:val="20"/>
                <w:szCs w:val="20"/>
                <w:color w:val="auto"/>
              </w:rPr>
            </w:pPr>
            <w:r>
              <w:rPr>
                <w:rFonts w:ascii="Courier New" w:cs="Courier New" w:eastAsia="Courier New" w:hAnsi="Courier New"/>
                <w:sz w:val="15"/>
                <w:szCs w:val="15"/>
                <w:color w:val="auto"/>
              </w:rPr>
              <w:t>Net Effect of</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Change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Accounting</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Principle</w:t>
            </w:r>
          </w:p>
        </w:tc>
        <w:tc>
          <w:tcPr>
            <w:tcW w:w="740" w:type="dxa"/>
            <w:vAlign w:val="bottom"/>
          </w:tcPr>
          <w:p>
            <w:pPr>
              <w:spacing w:after="0"/>
              <w:rPr>
                <w:sz w:val="16"/>
                <w:szCs w:val="16"/>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p>
      <w:pPr>
        <w:spacing w:after="0"/>
        <w:tabs>
          <w:tab w:leader="none" w:pos="4720" w:val="left"/>
          <w:tab w:leader="none" w:pos="5240" w:val="left"/>
          <w:tab w:leader="none" w:pos="6280" w:val="left"/>
          <w:tab w:leader="none" w:pos="6540" w:val="left"/>
          <w:tab w:leader="none" w:pos="7520" w:val="left"/>
          <w:tab w:leader="none" w:pos="7780" w:val="left"/>
          <w:tab w:leader="none" w:pos="8640" w:val="left"/>
          <w:tab w:leader="none" w:pos="892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378</w:t>
      </w:r>
      <w:r>
        <w:rPr>
          <w:sz w:val="20"/>
          <w:szCs w:val="20"/>
          <w:color w:val="auto"/>
        </w:rPr>
        <w:tab/>
      </w:r>
      <w:r>
        <w:rPr>
          <w:rFonts w:ascii="Courier New" w:cs="Courier New" w:eastAsia="Courier New" w:hAnsi="Courier New"/>
          <w:sz w:val="15"/>
          <w:szCs w:val="15"/>
          <w:color w:val="auto"/>
        </w:rPr>
        <w:t>$</w:t>
        <w:tab/>
        <w:t>1,633</w:t>
      </w:r>
      <w:r>
        <w:rPr>
          <w:sz w:val="20"/>
          <w:szCs w:val="20"/>
          <w:color w:val="auto"/>
        </w:rPr>
        <w:tab/>
      </w:r>
      <w:r>
        <w:rPr>
          <w:rFonts w:ascii="Courier New" w:cs="Courier New" w:eastAsia="Courier New" w:hAnsi="Courier New"/>
          <w:sz w:val="15"/>
          <w:szCs w:val="15"/>
          <w:color w:val="auto"/>
        </w:rPr>
        <w:t>$</w:t>
        <w:tab/>
        <w:t>1,577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3,621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spacing w:after="0"/>
        <w:tabs>
          <w:tab w:leader="none" w:pos="4720" w:val="left"/>
          <w:tab w:leader="none" w:pos="5240" w:val="left"/>
          <w:tab w:leader="none" w:pos="6280" w:val="left"/>
          <w:tab w:leader="none" w:pos="6540" w:val="left"/>
          <w:tab w:leader="none" w:pos="7520" w:val="left"/>
          <w:tab w:leader="none" w:pos="7780" w:val="left"/>
          <w:tab w:leader="none" w:pos="8640" w:val="left"/>
          <w:tab w:leader="none" w:pos="8920" w:val="left"/>
        </w:tabs>
        <w:rPr>
          <w:sz w:val="20"/>
          <w:szCs w:val="20"/>
          <w:color w:val="auto"/>
        </w:rPr>
      </w:pPr>
      <w:r>
        <w:rPr>
          <w:rFonts w:ascii="Courier New" w:cs="Courier New" w:eastAsia="Courier New" w:hAnsi="Courier New"/>
          <w:sz w:val="15"/>
          <w:szCs w:val="15"/>
          <w:color w:val="auto"/>
        </w:rPr>
        <w:t>NET INCOME APPLICABLE TO COMMON STOCK</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359</w:t>
      </w:r>
      <w:r>
        <w:rPr>
          <w:sz w:val="20"/>
          <w:szCs w:val="20"/>
          <w:color w:val="auto"/>
        </w:rPr>
        <w:tab/>
      </w:r>
      <w:r>
        <w:rPr>
          <w:rFonts w:ascii="Courier New" w:cs="Courier New" w:eastAsia="Courier New" w:hAnsi="Courier New"/>
          <w:sz w:val="15"/>
          <w:szCs w:val="15"/>
          <w:color w:val="auto"/>
        </w:rPr>
        <w:t>$</w:t>
        <w:tab/>
        <w:t>1,607</w:t>
      </w:r>
      <w:r>
        <w:rPr>
          <w:sz w:val="20"/>
          <w:szCs w:val="20"/>
          <w:color w:val="auto"/>
        </w:rPr>
        <w:tab/>
      </w:r>
      <w:r>
        <w:rPr>
          <w:rFonts w:ascii="Courier New" w:cs="Courier New" w:eastAsia="Courier New" w:hAnsi="Courier New"/>
          <w:sz w:val="15"/>
          <w:szCs w:val="15"/>
          <w:color w:val="auto"/>
        </w:rPr>
        <w:t>$</w:t>
        <w:tab/>
        <w:t>1,537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3,570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PER SHARE (a)</w:t>
            </w:r>
          </w:p>
        </w:tc>
        <w:tc>
          <w:tcPr>
            <w:tcW w:w="1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0.18</w:t>
            </w:r>
          </w:p>
        </w:tc>
        <w:tc>
          <w:tcPr>
            <w:tcW w:w="6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0.87</w:t>
            </w:r>
          </w:p>
        </w:tc>
        <w:tc>
          <w:tcPr>
            <w:tcW w:w="5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0.78</w:t>
            </w:r>
          </w:p>
        </w:tc>
        <w:tc>
          <w:tcPr>
            <w:tcW w:w="4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0.18</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0.83</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0.76</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3579" w:hanging="359"/>
        <w:spacing w:after="0" w:line="273" w:lineRule="auto"/>
        <w:tabs>
          <w:tab w:leader="none" w:pos="340" w:val="left"/>
        </w:tabs>
        <w:rPr>
          <w:sz w:val="20"/>
          <w:szCs w:val="20"/>
          <w:color w:val="auto"/>
        </w:rPr>
      </w:pPr>
      <w:r>
        <w:rPr>
          <w:rFonts w:ascii="Courier New" w:cs="Courier New" w:eastAsia="Courier New" w:hAnsi="Courier New"/>
          <w:sz w:val="15"/>
          <w:szCs w:val="15"/>
          <w:color w:val="auto"/>
        </w:rPr>
        <w:t>(a)</w:t>
        <w:tab/>
        <w:t>Basic and diluted earnings per share have been reduced by $(0.01) in the first six months of 2001 due to the impact of the adoption of SFAS 133 relating to the accounting for derivative instruments and hedging activities.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The Notes to Consolidated Financial Statements are an integral part of these Statements.</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5"/>
        </w:trPr>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7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520" w:type="dxa"/>
            <w:vAlign w:val="bottom"/>
            <w:vMerge w:val="restart"/>
          </w:tcPr>
          <w:p>
            <w:pPr>
              <w:jc w:val="right"/>
              <w:ind w:right="6447"/>
              <w:spacing w:after="0"/>
              <w:rPr>
                <w:sz w:val="20"/>
                <w:szCs w:val="20"/>
                <w:color w:val="auto"/>
              </w:rPr>
            </w:pPr>
            <w:r>
              <w:rPr>
                <w:rFonts w:ascii="Courier New" w:cs="Courier New" w:eastAsia="Courier New" w:hAnsi="Courier New"/>
                <w:sz w:val="15"/>
                <w:szCs w:val="15"/>
                <w:color w:val="auto"/>
                <w:w w:val="98"/>
              </w:rPr>
              <w:t>(continued)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520" w:type="dxa"/>
            <w:vAlign w:val="bottom"/>
            <w:vMerge w:val="continue"/>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80" w:type="dxa"/>
            <w:vAlign w:val="bottom"/>
          </w:tcPr>
          <w:p>
            <w:pPr>
              <w:spacing w:after="0"/>
              <w:rPr>
                <w:sz w:val="22"/>
                <w:szCs w:val="22"/>
                <w:color w:val="auto"/>
              </w:rPr>
            </w:pPr>
          </w:p>
        </w:tc>
        <w:tc>
          <w:tcPr>
            <w:tcW w:w="7520" w:type="dxa"/>
            <w:vAlign w:val="bottom"/>
          </w:tcPr>
          <w:p>
            <w:pPr>
              <w:jc w:val="right"/>
              <w:ind w:right="3467"/>
              <w:spacing w:after="0"/>
              <w:rPr>
                <w:sz w:val="20"/>
                <w:szCs w:val="20"/>
                <w:color w:val="auto"/>
              </w:rPr>
            </w:pPr>
            <w:r>
              <w:rPr>
                <w:rFonts w:ascii="Courier New" w:cs="Courier New" w:eastAsia="Courier New" w:hAnsi="Courier New"/>
                <w:sz w:val="15"/>
                <w:szCs w:val="15"/>
                <w:color w:val="auto"/>
              </w:rPr>
              <w:t>J.P. MORGAN CHASE &amp; CO.</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7520" w:type="dxa"/>
            <w:vAlign w:val="bottom"/>
          </w:tcPr>
          <w:p>
            <w:pPr>
              <w:jc w:val="center"/>
              <w:ind w:right="1587"/>
              <w:spacing w:after="0" w:line="168" w:lineRule="exact"/>
              <w:rPr>
                <w:sz w:val="20"/>
                <w:szCs w:val="20"/>
                <w:color w:val="auto"/>
              </w:rPr>
            </w:pPr>
            <w:r>
              <w:rPr>
                <w:rFonts w:ascii="Courier New" w:cs="Courier New" w:eastAsia="Courier New" w:hAnsi="Courier New"/>
                <w:sz w:val="15"/>
                <w:szCs w:val="15"/>
                <w:color w:val="auto"/>
                <w:w w:val="96"/>
              </w:rPr>
              <w:t>CONSOLIDATED BALANCE SHEET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7520" w:type="dxa"/>
            <w:vAlign w:val="bottom"/>
          </w:tcPr>
          <w:p>
            <w:pPr>
              <w:jc w:val="center"/>
              <w:ind w:right="1607"/>
              <w:spacing w:after="0"/>
              <w:rPr>
                <w:sz w:val="20"/>
                <w:szCs w:val="20"/>
                <w:color w:val="auto"/>
              </w:rPr>
            </w:pPr>
            <w:r>
              <w:rPr>
                <w:rFonts w:ascii="Courier New" w:cs="Courier New" w:eastAsia="Courier New" w:hAnsi="Courier New"/>
                <w:sz w:val="15"/>
                <w:szCs w:val="15"/>
                <w:color w:val="auto"/>
                <w:w w:val="97"/>
              </w:rPr>
              <w:t>(IN MILLIONS, EXCEPT SHARE DATA)</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580" w:type="dxa"/>
            <w:vAlign w:val="bottom"/>
          </w:tcPr>
          <w:p>
            <w:pPr>
              <w:spacing w:after="0"/>
              <w:rPr>
                <w:sz w:val="24"/>
                <w:szCs w:val="24"/>
                <w:color w:val="auto"/>
              </w:rPr>
            </w:pPr>
          </w:p>
        </w:tc>
        <w:tc>
          <w:tcPr>
            <w:tcW w:w="7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JUNE 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7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24,219</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23,972</w:t>
            </w: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15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11,903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8,333</w:t>
            </w: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 under Resale Agreements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61,308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69,474</w:t>
            </w: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38,296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32,371</w:t>
            </w: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 Debt and Equity Instruments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139,135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139,249</w:t>
            </w:r>
          </w:p>
        </w:tc>
        <w:tc>
          <w:tcPr>
            <w:tcW w:w="0" w:type="dxa"/>
            <w:vAlign w:val="bottom"/>
          </w:tcPr>
          <w:p>
            <w:pPr>
              <w:spacing w:after="0"/>
              <w:rPr>
                <w:sz w:val="1"/>
                <w:szCs w:val="1"/>
                <w:color w:val="auto"/>
              </w:rPr>
            </w:pP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Derivative Receivables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68,910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76,373</w:t>
            </w: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Available-for-Sale</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67,974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73,106</w:t>
            </w:r>
          </w:p>
        </w:tc>
        <w:tc>
          <w:tcPr>
            <w:tcW w:w="0" w:type="dxa"/>
            <w:vAlign w:val="bottom"/>
          </w:tcPr>
          <w:p>
            <w:pPr>
              <w:spacing w:after="0"/>
              <w:rPr>
                <w:sz w:val="1"/>
                <w:szCs w:val="1"/>
                <w:color w:val="auto"/>
              </w:rPr>
            </w:pPr>
          </w:p>
        </w:tc>
      </w:tr>
      <w:tr>
        <w:trPr>
          <w:trHeight w:val="168"/>
        </w:trPr>
        <w:tc>
          <w:tcPr>
            <w:tcW w:w="6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Held-to-Maturity (Fair Value: $520 at June 30, 2001 and $593</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514</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589</w:t>
            </w:r>
          </w:p>
        </w:tc>
        <w:tc>
          <w:tcPr>
            <w:tcW w:w="0" w:type="dxa"/>
            <w:vAlign w:val="bottom"/>
          </w:tcPr>
          <w:p>
            <w:pPr>
              <w:spacing w:after="0"/>
              <w:rPr>
                <w:sz w:val="1"/>
                <w:szCs w:val="1"/>
                <w:color w:val="auto"/>
              </w:rPr>
            </w:pPr>
          </w:p>
        </w:tc>
      </w:tr>
      <w:tr>
        <w:trPr>
          <w:trHeight w:val="168"/>
        </w:trPr>
        <w:tc>
          <w:tcPr>
            <w:tcW w:w="6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at December 31, 2000)</w:t>
            </w:r>
          </w:p>
        </w:tc>
        <w:tc>
          <w:tcPr>
            <w:tcW w:w="15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(Net of Allowance for Loan Losses of $3,673 at June 30, 2001</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216,245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212,385</w:t>
            </w:r>
          </w:p>
        </w:tc>
        <w:tc>
          <w:tcPr>
            <w:tcW w:w="0" w:type="dxa"/>
            <w:vAlign w:val="bottom"/>
          </w:tcPr>
          <w:p>
            <w:pPr>
              <w:spacing w:after="0"/>
              <w:rPr>
                <w:sz w:val="1"/>
                <w:szCs w:val="1"/>
                <w:color w:val="auto"/>
              </w:rPr>
            </w:pPr>
          </w:p>
        </w:tc>
      </w:tr>
      <w:tr>
        <w:trPr>
          <w:trHeight w:val="168"/>
        </w:trPr>
        <w:tc>
          <w:tcPr>
            <w:tcW w:w="6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$3,665 at December 31, 2000)</w:t>
            </w:r>
          </w:p>
        </w:tc>
        <w:tc>
          <w:tcPr>
            <w:tcW w:w="15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16,224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15,833</w:t>
            </w: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Investments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9,855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11,428</w:t>
            </w: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Accounts Receivable</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17,080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20,618</w:t>
            </w:r>
          </w:p>
        </w:tc>
        <w:tc>
          <w:tcPr>
            <w:tcW w:w="0" w:type="dxa"/>
            <w:vAlign w:val="bottom"/>
          </w:tcPr>
          <w:p>
            <w:pPr>
              <w:spacing w:after="0"/>
              <w:rPr>
                <w:sz w:val="1"/>
                <w:szCs w:val="1"/>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 and Equipment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7,186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7,087</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33,853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24,530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712,702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$ 715,348</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64,231</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62,713</w:t>
            </w:r>
          </w:p>
        </w:tc>
        <w:tc>
          <w:tcPr>
            <w:tcW w:w="0" w:type="dxa"/>
            <w:vAlign w:val="bottom"/>
          </w:tcPr>
          <w:p>
            <w:pPr>
              <w:spacing w:after="0"/>
              <w:rPr>
                <w:sz w:val="1"/>
                <w:szCs w:val="1"/>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15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Interest-Bearing</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212,573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216,652</w:t>
            </w:r>
          </w:p>
        </w:tc>
        <w:tc>
          <w:tcPr>
            <w:tcW w:w="0" w:type="dxa"/>
            <w:vAlign w:val="bottom"/>
          </w:tcPr>
          <w:p>
            <w:pPr>
              <w:spacing w:after="0"/>
              <w:rPr>
                <w:sz w:val="1"/>
                <w:szCs w:val="1"/>
                <w:color w:val="auto"/>
              </w:rPr>
            </w:pPr>
          </w:p>
        </w:tc>
      </w:tr>
      <w:tr>
        <w:trPr>
          <w:trHeight w:val="168"/>
        </w:trPr>
        <w:tc>
          <w:tcPr>
            <w:tcW w:w="65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Deposits</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276,804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5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279,365</w:t>
            </w: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 Repurchase Agreements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155,062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131,738</w:t>
            </w: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Paper</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24,851</w:t>
            </w: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Borrowed Funds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18,418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19,840</w:t>
            </w: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Liabilities: Debt and Equity Instruments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53,571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52,157</w:t>
            </w:r>
          </w:p>
        </w:tc>
        <w:tc>
          <w:tcPr>
            <w:tcW w:w="0" w:type="dxa"/>
            <w:vAlign w:val="bottom"/>
          </w:tcPr>
          <w:p>
            <w:pPr>
              <w:spacing w:after="0"/>
              <w:rPr>
                <w:sz w:val="1"/>
                <w:szCs w:val="1"/>
                <w:color w:val="auto"/>
              </w:rPr>
            </w:pPr>
          </w:p>
        </w:tc>
      </w:tr>
      <w:tr>
        <w:trPr>
          <w:trHeight w:val="168"/>
        </w:trPr>
        <w:tc>
          <w:tcPr>
            <w:tcW w:w="652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Derivative Payables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62,373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76,517</w:t>
            </w: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Other Liabilities (including the Allowance for</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38,157</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40,754</w:t>
            </w:r>
          </w:p>
        </w:tc>
        <w:tc>
          <w:tcPr>
            <w:tcW w:w="0" w:type="dxa"/>
            <w:vAlign w:val="bottom"/>
          </w:tcPr>
          <w:p>
            <w:pPr>
              <w:spacing w:after="0"/>
              <w:rPr>
                <w:sz w:val="1"/>
                <w:szCs w:val="1"/>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Credit Losses of $285 at June 30, 2001 and $283 at December 31, 2000)</w:t>
            </w:r>
          </w:p>
        </w:tc>
        <w:tc>
          <w:tcPr>
            <w:tcW w:w="15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40,917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43,299</w:t>
            </w: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Preferred Beneficial Interests in the Firm's</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4,439</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3,939</w:t>
            </w:r>
          </w:p>
        </w:tc>
        <w:tc>
          <w:tcPr>
            <w:tcW w:w="0" w:type="dxa"/>
            <w:vAlign w:val="bottom"/>
          </w:tcPr>
          <w:p>
            <w:pPr>
              <w:spacing w:after="0"/>
              <w:rPr>
                <w:sz w:val="1"/>
                <w:szCs w:val="1"/>
                <w:color w:val="auto"/>
              </w:rPr>
            </w:pPr>
          </w:p>
        </w:tc>
      </w:tr>
      <w:tr>
        <w:trPr>
          <w:trHeight w:val="245"/>
        </w:trPr>
        <w:tc>
          <w:tcPr>
            <w:tcW w:w="6520" w:type="dxa"/>
            <w:vAlign w:val="bottom"/>
          </w:tcPr>
          <w:p>
            <w:pPr>
              <w:ind w:left="360"/>
              <w:spacing w:after="0"/>
              <w:rPr>
                <w:sz w:val="20"/>
                <w:szCs w:val="20"/>
                <w:color w:val="auto"/>
              </w:rPr>
            </w:pPr>
            <w:r>
              <w:rPr>
                <w:rFonts w:ascii="Courier New" w:cs="Courier New" w:eastAsia="Courier New" w:hAnsi="Courier New"/>
                <w:sz w:val="15"/>
                <w:szCs w:val="15"/>
                <w:color w:val="auto"/>
              </w:rPr>
              <w:t>Junior Subordinated Deferrable Interest Debentures</w:t>
            </w:r>
          </w:p>
        </w:tc>
        <w:tc>
          <w:tcPr>
            <w:tcW w:w="15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669,726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672,460</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PREFERRED STOCK OF SUBSIDIARY</w:t>
            </w:r>
          </w:p>
        </w:tc>
        <w:tc>
          <w:tcPr>
            <w:tcW w:w="3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bl>
    <w:p>
      <w:pPr>
        <w:spacing w:after="0" w:line="91" w:lineRule="exact"/>
        <w:rPr>
          <w:sz w:val="20"/>
          <w:szCs w:val="20"/>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STOCKHOLDERS' EQUITY</w:t>
      </w:r>
    </w:p>
    <w:tbl>
      <w:tblPr>
        <w:tblLayout w:type="fixed"/>
        <w:tblInd w:w="0" w:type="dxa"/>
        <w:tblCellMar>
          <w:top w:w="0" w:type="dxa"/>
          <w:left w:w="0" w:type="dxa"/>
          <w:bottom w:w="0" w:type="dxa"/>
          <w:right w:w="0" w:type="dxa"/>
        </w:tblCellMar>
      </w:tblPr>
      <w:tr>
        <w:trPr>
          <w:trHeight w:val="143"/>
        </w:trPr>
        <w:tc>
          <w:tcPr>
            <w:tcW w:w="2060" w:type="dxa"/>
            <w:vAlign w:val="bottom"/>
          </w:tcPr>
          <w:p>
            <w:pPr>
              <w:spacing w:after="0" w:line="143" w:lineRule="exact"/>
              <w:rPr>
                <w:sz w:val="20"/>
                <w:szCs w:val="20"/>
                <w:color w:val="auto"/>
              </w:rPr>
            </w:pPr>
            <w:r>
              <w:rPr>
                <w:rFonts w:ascii="Courier New" w:cs="Courier New" w:eastAsia="Courier New" w:hAnsi="Courier New"/>
                <w:sz w:val="15"/>
                <w:szCs w:val="15"/>
                <w:color w:val="auto"/>
              </w:rPr>
              <w:t>Preferred Stock</w:t>
            </w:r>
          </w:p>
        </w:tc>
        <w:tc>
          <w:tcPr>
            <w:tcW w:w="4780" w:type="dxa"/>
            <w:vAlign w:val="bottom"/>
          </w:tcPr>
          <w:p>
            <w:pPr>
              <w:spacing w:after="0"/>
              <w:rPr>
                <w:sz w:val="12"/>
                <w:szCs w:val="12"/>
                <w:color w:val="auto"/>
              </w:rPr>
            </w:pPr>
          </w:p>
        </w:tc>
        <w:tc>
          <w:tcPr>
            <w:tcW w:w="1440" w:type="dxa"/>
            <w:vAlign w:val="bottom"/>
          </w:tcPr>
          <w:p>
            <w:pPr>
              <w:jc w:val="right"/>
              <w:ind w:right="507"/>
              <w:spacing w:after="0" w:line="143" w:lineRule="exact"/>
              <w:rPr>
                <w:sz w:val="20"/>
                <w:szCs w:val="20"/>
                <w:color w:val="auto"/>
              </w:rPr>
            </w:pPr>
            <w:r>
              <w:rPr>
                <w:rFonts w:ascii="Courier New" w:cs="Courier New" w:eastAsia="Courier New" w:hAnsi="Courier New"/>
                <w:sz w:val="15"/>
                <w:szCs w:val="15"/>
                <w:color w:val="auto"/>
              </w:rPr>
              <w:t>1,025</w:t>
            </w:r>
          </w:p>
        </w:tc>
        <w:tc>
          <w:tcPr>
            <w:tcW w:w="1080" w:type="dxa"/>
            <w:vAlign w:val="bottom"/>
          </w:tcPr>
          <w:p>
            <w:pPr>
              <w:jc w:val="right"/>
              <w:ind w:right="7"/>
              <w:spacing w:after="0" w:line="143" w:lineRule="exact"/>
              <w:rPr>
                <w:sz w:val="20"/>
                <w:szCs w:val="20"/>
                <w:color w:val="auto"/>
              </w:rPr>
            </w:pPr>
            <w:r>
              <w:rPr>
                <w:rFonts w:ascii="Courier New" w:cs="Courier New" w:eastAsia="Courier New" w:hAnsi="Courier New"/>
                <w:sz w:val="15"/>
                <w:szCs w:val="15"/>
                <w:color w:val="auto"/>
              </w:rPr>
              <w:t>1,520</w:t>
            </w:r>
          </w:p>
        </w:tc>
        <w:tc>
          <w:tcPr>
            <w:tcW w:w="0" w:type="dxa"/>
            <w:vAlign w:val="bottom"/>
          </w:tcPr>
          <w:p>
            <w:pPr>
              <w:spacing w:after="0"/>
              <w:rPr>
                <w:sz w:val="1"/>
                <w:szCs w:val="1"/>
                <w:color w:val="auto"/>
              </w:rPr>
            </w:pP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(Authorized 4,500,000,000 Shares, Issued 1,989,576,087 Shares</w:t>
            </w:r>
          </w:p>
        </w:tc>
        <w:tc>
          <w:tcPr>
            <w:tcW w:w="144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1,990</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1,940</w:t>
            </w:r>
          </w:p>
        </w:tc>
        <w:tc>
          <w:tcPr>
            <w:tcW w:w="0" w:type="dxa"/>
            <w:vAlign w:val="bottom"/>
          </w:tcPr>
          <w:p>
            <w:pPr>
              <w:spacing w:after="0"/>
              <w:rPr>
                <w:sz w:val="1"/>
                <w:szCs w:val="1"/>
                <w:color w:val="auto"/>
              </w:rPr>
            </w:pPr>
          </w:p>
        </w:tc>
      </w:tr>
      <w:tr>
        <w:trPr>
          <w:trHeight w:val="168"/>
        </w:trPr>
        <w:tc>
          <w:tcPr>
            <w:tcW w:w="2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at June 30, 2001 and</w:t>
            </w:r>
          </w:p>
        </w:tc>
        <w:tc>
          <w:tcPr>
            <w:tcW w:w="4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1,940,109,081 Shares at December 31, 2000)</w:t>
            </w:r>
          </w:p>
        </w:tc>
        <w:tc>
          <w:tcPr>
            <w:tcW w:w="14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Surplus</w:t>
            </w:r>
          </w:p>
        </w:tc>
        <w:tc>
          <w:tcPr>
            <w:tcW w:w="478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11,598</w:t>
            </w:r>
          </w:p>
        </w:tc>
        <w:tc>
          <w:tcPr>
            <w:tcW w:w="0" w:type="dxa"/>
            <w:vAlign w:val="bottom"/>
          </w:tcPr>
          <w:p>
            <w:pPr>
              <w:spacing w:after="0"/>
              <w:rPr>
                <w:sz w:val="1"/>
                <w:szCs w:val="1"/>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78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28,265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28,096</w:t>
            </w:r>
          </w:p>
        </w:tc>
        <w:tc>
          <w:tcPr>
            <w:tcW w:w="0" w:type="dxa"/>
            <w:vAlign w:val="bottom"/>
          </w:tcPr>
          <w:p>
            <w:pPr>
              <w:spacing w:after="0"/>
              <w:rPr>
                <w:sz w:val="1"/>
                <w:szCs w:val="1"/>
                <w:color w:val="auto"/>
              </w:rPr>
            </w:pP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c>
          <w:tcPr>
            <w:tcW w:w="0" w:type="dxa"/>
            <w:vAlign w:val="bottom"/>
          </w:tcPr>
          <w:p>
            <w:pPr>
              <w:spacing w:after="0"/>
              <w:rPr>
                <w:sz w:val="1"/>
                <w:szCs w:val="1"/>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Treasury Stock, at Cost</w:t>
            </w:r>
          </w:p>
        </w:tc>
        <w:tc>
          <w:tcPr>
            <w:tcW w:w="4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(391,153 Shares at June 30, 2001</w:t>
            </w:r>
          </w:p>
        </w:tc>
        <w:tc>
          <w:tcPr>
            <w:tcW w:w="14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(575)</w:t>
            </w:r>
          </w:p>
        </w:tc>
        <w:tc>
          <w:tcPr>
            <w:tcW w:w="0" w:type="dxa"/>
            <w:vAlign w:val="bottom"/>
          </w:tcPr>
          <w:p>
            <w:pPr>
              <w:spacing w:after="0"/>
              <w:rPr>
                <w:sz w:val="1"/>
                <w:szCs w:val="1"/>
                <w:color w:val="auto"/>
              </w:rPr>
            </w:pPr>
          </w:p>
        </w:tc>
      </w:tr>
      <w:tr>
        <w:trPr>
          <w:trHeight w:val="245"/>
        </w:trPr>
        <w:tc>
          <w:tcPr>
            <w:tcW w:w="68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11,618,856 Shares at December 31, 2000)</w:t>
            </w:r>
          </w:p>
        </w:tc>
        <w:tc>
          <w:tcPr>
            <w:tcW w:w="14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42,426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42,338</w:t>
            </w:r>
          </w:p>
        </w:tc>
      </w:tr>
    </w:tbl>
    <w:p>
      <w:pPr>
        <w:spacing w:after="0" w:line="91"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TOTAL LIABILITIES, PREFERRED STOCK OF SUBSIDIARY</w:t>
      </w:r>
    </w:p>
    <w:tbl>
      <w:tblPr>
        <w:tblLayout w:type="fixed"/>
        <w:tblInd w:w="280" w:type="dxa"/>
        <w:tblCellMar>
          <w:top w:w="0" w:type="dxa"/>
          <w:left w:w="0" w:type="dxa"/>
          <w:bottom w:w="0" w:type="dxa"/>
          <w:right w:w="0" w:type="dxa"/>
        </w:tblCellMar>
      </w:tblPr>
      <w:tr>
        <w:trPr>
          <w:trHeight w:val="169"/>
        </w:trPr>
        <w:tc>
          <w:tcPr>
            <w:tcW w:w="4320" w:type="dxa"/>
            <w:vAlign w:val="bottom"/>
          </w:tcPr>
          <w:p>
            <w:pPr>
              <w:spacing w:after="0" w:line="169" w:lineRule="exact"/>
              <w:rPr>
                <w:sz w:val="20"/>
                <w:szCs w:val="20"/>
                <w:color w:val="auto"/>
              </w:rPr>
            </w:pPr>
            <w:r>
              <w:rPr>
                <w:rFonts w:ascii="Courier New" w:cs="Courier New" w:eastAsia="Courier New" w:hAnsi="Courier New"/>
                <w:sz w:val="15"/>
                <w:szCs w:val="15"/>
                <w:color w:val="auto"/>
              </w:rPr>
              <w:t>AND STOCKHOLDERS' EQUITY</w:t>
            </w:r>
          </w:p>
        </w:tc>
        <w:tc>
          <w:tcPr>
            <w:tcW w:w="35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  712,702</w:t>
            </w:r>
          </w:p>
        </w:tc>
        <w:tc>
          <w:tcPr>
            <w:tcW w:w="11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$ 715,348</w:t>
            </w:r>
          </w:p>
        </w:tc>
      </w:tr>
    </w:tbl>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88" w:lineRule="exact"/>
        <w:rPr>
          <w:sz w:val="20"/>
          <w:szCs w:val="20"/>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The Notes to Consolidated Financial Statements are an integral part of these Statements.</w:t>
      </w:r>
    </w:p>
    <w:p>
      <w:pPr>
        <w:sectPr>
          <w:pgSz w:w="11900" w:h="16838" w:orient="portrait"/>
          <w:cols w:equalWidth="0" w:num="1">
            <w:col w:w="10239"/>
          </w:cols>
          <w:pgMar w:left="220" w:top="261" w:right="1440" w:bottom="548" w:gutter="0" w:footer="0" w:header="0"/>
        </w:sectPr>
      </w:pP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61" w:right="1440" w:bottom="548"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14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 OF CHANGES IN STOCKHOLDERS' EQUITY</w:t>
      </w:r>
    </w:p>
    <w:tbl>
      <w:tblPr>
        <w:tblLayout w:type="fixed"/>
        <w:tblInd w:w="0" w:type="dxa"/>
        <w:tblCellMar>
          <w:top w:w="0" w:type="dxa"/>
          <w:left w:w="0" w:type="dxa"/>
          <w:bottom w:w="0" w:type="dxa"/>
          <w:right w:w="0" w:type="dxa"/>
        </w:tblCellMar>
      </w:tblPr>
      <w:tr>
        <w:trPr>
          <w:trHeight w:val="245"/>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5720" w:type="dxa"/>
            <w:vAlign w:val="bottom"/>
          </w:tcPr>
          <w:p>
            <w:pPr>
              <w:jc w:val="right"/>
              <w:ind w:right="2807"/>
              <w:spacing w:after="0"/>
              <w:rPr>
                <w:sz w:val="20"/>
                <w:szCs w:val="20"/>
                <w:color w:val="auto"/>
              </w:rPr>
            </w:pPr>
            <w:r>
              <w:rPr>
                <w:rFonts w:ascii="Courier New" w:cs="Courier New" w:eastAsia="Courier New" w:hAnsi="Courier New"/>
                <w:sz w:val="15"/>
                <w:szCs w:val="15"/>
                <w:color w:val="auto"/>
                <w:w w:val="97"/>
              </w:rPr>
              <w:t>MILLIONS, EXCEPT PER SHARE DATA)</w:t>
            </w:r>
          </w:p>
        </w:tc>
        <w:tc>
          <w:tcPr>
            <w:tcW w:w="1060" w:type="dxa"/>
            <w:vAlign w:val="bottom"/>
          </w:tcPr>
          <w:p>
            <w:pPr>
              <w:spacing w:after="0"/>
              <w:rPr>
                <w:sz w:val="21"/>
                <w:szCs w:val="21"/>
                <w:color w:val="auto"/>
              </w:rPr>
            </w:pPr>
          </w:p>
        </w:tc>
      </w:tr>
      <w:tr>
        <w:trPr>
          <w:trHeight w:val="59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w w:val="96"/>
              </w:rPr>
              <w:t>SIX MONTHS ENDED JUNE 30,</w:t>
            </w:r>
          </w:p>
        </w:tc>
        <w:tc>
          <w:tcPr>
            <w:tcW w:w="5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34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   1,520</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1,622</w:t>
            </w: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3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Redemption of Stock</w:t>
            </w:r>
          </w:p>
        </w:tc>
        <w:tc>
          <w:tcPr>
            <w:tcW w:w="3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3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3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1,522</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9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1,940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1,625</w:t>
            </w:r>
          </w:p>
        </w:tc>
        <w:tc>
          <w:tcPr>
            <w:tcW w:w="0" w:type="dxa"/>
            <w:vAlign w:val="bottom"/>
          </w:tcPr>
          <w:p>
            <w:pPr>
              <w:spacing w:after="0"/>
              <w:rPr>
                <w:sz w:val="1"/>
                <w:szCs w:val="1"/>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9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for a Three-for-Two Stock Split</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w:t>
            </w:r>
          </w:p>
        </w:tc>
        <w:tc>
          <w:tcPr>
            <w:tcW w:w="0" w:type="dxa"/>
            <w:vAlign w:val="bottom"/>
          </w:tcPr>
          <w:p>
            <w:pPr>
              <w:spacing w:after="0"/>
              <w:rPr>
                <w:sz w:val="1"/>
                <w:szCs w:val="1"/>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Purchase Accounting Acquisitions</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3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2,066</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CAPITAL SURPLUS</w:t>
            </w:r>
          </w:p>
        </w:tc>
        <w:tc>
          <w:tcPr>
            <w:tcW w:w="19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11,598</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12,724</w:t>
            </w:r>
          </w:p>
        </w:tc>
        <w:tc>
          <w:tcPr>
            <w:tcW w:w="0" w:type="dxa"/>
            <w:vAlign w:val="bottom"/>
          </w:tcPr>
          <w:p>
            <w:pPr>
              <w:spacing w:after="0"/>
              <w:rPr>
                <w:sz w:val="1"/>
                <w:szCs w:val="1"/>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for a Three-for-Two Stock Split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w:t>
            </w:r>
          </w:p>
        </w:tc>
        <w:tc>
          <w:tcPr>
            <w:tcW w:w="0" w:type="dxa"/>
            <w:vAlign w:val="bottom"/>
          </w:tcPr>
          <w:p>
            <w:pPr>
              <w:spacing w:after="0"/>
              <w:rPr>
                <w:sz w:val="1"/>
                <w:szCs w:val="1"/>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for Purchase Accounting Acquisitions</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Issued and Commitments to Issue Common Stock for</w:t>
            </w:r>
          </w:p>
        </w:tc>
        <w:tc>
          <w:tcPr>
            <w:tcW w:w="19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323</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94"/>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Employee Stock-Based Awards and Related Tax Effects</w:t>
            </w:r>
          </w:p>
        </w:tc>
        <w:tc>
          <w:tcPr>
            <w:tcW w:w="19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3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12,205</w:t>
            </w:r>
          </w:p>
        </w:tc>
      </w:tr>
    </w:tbl>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RETAINED EARNINGS</w:t>
      </w:r>
    </w:p>
    <w:tbl>
      <w:tblPr>
        <w:tblLayout w:type="fixed"/>
        <w:tblInd w:w="0" w:type="dxa"/>
        <w:tblCellMar>
          <w:top w:w="0" w:type="dxa"/>
          <w:left w:w="0" w:type="dxa"/>
          <w:bottom w:w="0" w:type="dxa"/>
          <w:right w:w="0" w:type="dxa"/>
        </w:tblCellMar>
      </w:tblPr>
      <w:tr>
        <w:trPr>
          <w:trHeight w:val="143"/>
        </w:trPr>
        <w:tc>
          <w:tcPr>
            <w:tcW w:w="6360" w:type="dxa"/>
            <w:vAlign w:val="bottom"/>
          </w:tcPr>
          <w:p>
            <w:pPr>
              <w:spacing w:after="0" w:line="143" w:lineRule="exact"/>
              <w:rPr>
                <w:sz w:val="20"/>
                <w:szCs w:val="20"/>
                <w:color w:val="auto"/>
              </w:rPr>
            </w:pPr>
            <w:r>
              <w:rPr>
                <w:rFonts w:ascii="Courier New" w:cs="Courier New" w:eastAsia="Courier New" w:hAnsi="Courier New"/>
                <w:sz w:val="15"/>
                <w:szCs w:val="15"/>
                <w:color w:val="auto"/>
              </w:rPr>
              <w:t>Balance at Beginning of Year</w:t>
            </w:r>
          </w:p>
        </w:tc>
        <w:tc>
          <w:tcPr>
            <w:tcW w:w="1740" w:type="dxa"/>
            <w:vAlign w:val="bottom"/>
          </w:tcPr>
          <w:p>
            <w:pPr>
              <w:jc w:val="right"/>
              <w:ind w:right="587"/>
              <w:spacing w:after="0" w:line="143" w:lineRule="exact"/>
              <w:rPr>
                <w:sz w:val="20"/>
                <w:szCs w:val="20"/>
                <w:color w:val="auto"/>
              </w:rPr>
            </w:pPr>
            <w:r>
              <w:rPr>
                <w:rFonts w:ascii="Courier New" w:cs="Courier New" w:eastAsia="Courier New" w:hAnsi="Courier New"/>
                <w:sz w:val="15"/>
                <w:szCs w:val="15"/>
                <w:color w:val="auto"/>
              </w:rPr>
              <w:t>28,096</w:t>
            </w:r>
          </w:p>
        </w:tc>
        <w:tc>
          <w:tcPr>
            <w:tcW w:w="1180" w:type="dxa"/>
            <w:vAlign w:val="bottom"/>
          </w:tcPr>
          <w:p>
            <w:pPr>
              <w:jc w:val="right"/>
              <w:ind w:right="7"/>
              <w:spacing w:after="0" w:line="143" w:lineRule="exact"/>
              <w:rPr>
                <w:sz w:val="20"/>
                <w:szCs w:val="20"/>
                <w:color w:val="auto"/>
              </w:rPr>
            </w:pPr>
            <w:r>
              <w:rPr>
                <w:rFonts w:ascii="Courier New" w:cs="Courier New" w:eastAsia="Courier New" w:hAnsi="Courier New"/>
                <w:sz w:val="15"/>
                <w:szCs w:val="15"/>
                <w:color w:val="auto"/>
              </w:rPr>
              <w:t>28,455</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1,577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3,621</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  Preferred Stock</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94"/>
        </w:trPr>
        <w:tc>
          <w:tcPr>
            <w:tcW w:w="6360" w:type="dxa"/>
            <w:vAlign w:val="bottom"/>
          </w:tcPr>
          <w:p>
            <w:pPr>
              <w:ind w:left="2280"/>
              <w:spacing w:after="0"/>
              <w:rPr>
                <w:sz w:val="20"/>
                <w:szCs w:val="20"/>
                <w:color w:val="auto"/>
              </w:rPr>
            </w:pPr>
            <w:r>
              <w:rPr>
                <w:rFonts w:ascii="Courier New" w:cs="Courier New" w:eastAsia="Courier New" w:hAnsi="Courier New"/>
                <w:sz w:val="15"/>
                <w:szCs w:val="15"/>
                <w:color w:val="auto"/>
              </w:rPr>
              <w:t>Common Stock ($0.68 and $0.64 per share)</w:t>
            </w: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(1,368)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3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28,265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30,887</w:t>
            </w:r>
          </w:p>
        </w:tc>
      </w:tr>
    </w:tbl>
    <w:p>
      <w:pPr>
        <w:spacing w:after="0" w:line="91"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ACCUMULATED OTHER COMPREHENSIVE INCOME (LOSS)</w:t>
      </w:r>
    </w:p>
    <w:tbl>
      <w:tblPr>
        <w:tblLayout w:type="fixed"/>
        <w:tblInd w:w="0" w:type="dxa"/>
        <w:tblCellMar>
          <w:top w:w="0" w:type="dxa"/>
          <w:left w:w="0" w:type="dxa"/>
          <w:bottom w:w="0" w:type="dxa"/>
          <w:right w:w="0" w:type="dxa"/>
        </w:tblCellMar>
      </w:tblPr>
      <w:tr>
        <w:trPr>
          <w:trHeight w:val="143"/>
        </w:trPr>
        <w:tc>
          <w:tcPr>
            <w:tcW w:w="5000" w:type="dxa"/>
            <w:vAlign w:val="bottom"/>
          </w:tcPr>
          <w:p>
            <w:pPr>
              <w:spacing w:after="0" w:line="143" w:lineRule="exact"/>
              <w:rPr>
                <w:sz w:val="20"/>
                <w:szCs w:val="20"/>
                <w:color w:val="auto"/>
              </w:rPr>
            </w:pPr>
            <w:r>
              <w:rPr>
                <w:rFonts w:ascii="Courier New" w:cs="Courier New" w:eastAsia="Courier New" w:hAnsi="Courier New"/>
                <w:sz w:val="15"/>
                <w:szCs w:val="15"/>
                <w:color w:val="auto"/>
              </w:rPr>
              <w:t>Balance at Beginning of Year</w:t>
            </w:r>
          </w:p>
        </w:tc>
        <w:tc>
          <w:tcPr>
            <w:tcW w:w="3100" w:type="dxa"/>
            <w:vAlign w:val="bottom"/>
          </w:tcPr>
          <w:p>
            <w:pPr>
              <w:jc w:val="right"/>
              <w:ind w:right="487"/>
              <w:spacing w:after="0" w:line="143" w:lineRule="exact"/>
              <w:rPr>
                <w:sz w:val="20"/>
                <w:szCs w:val="20"/>
                <w:color w:val="auto"/>
              </w:rPr>
            </w:pPr>
            <w:r>
              <w:rPr>
                <w:rFonts w:ascii="Courier New" w:cs="Courier New" w:eastAsia="Courier New" w:hAnsi="Courier New"/>
                <w:sz w:val="15"/>
                <w:szCs w:val="15"/>
                <w:color w:val="auto"/>
              </w:rPr>
              <w:t>(241)</w:t>
            </w:r>
          </w:p>
        </w:tc>
        <w:tc>
          <w:tcPr>
            <w:tcW w:w="1180" w:type="dxa"/>
            <w:vAlign w:val="bottom"/>
          </w:tcPr>
          <w:p>
            <w:pPr>
              <w:jc w:val="right"/>
              <w:spacing w:after="0" w:line="143" w:lineRule="exact"/>
              <w:rPr>
                <w:sz w:val="20"/>
                <w:szCs w:val="20"/>
                <w:color w:val="auto"/>
              </w:rPr>
            </w:pPr>
            <w:r>
              <w:rPr>
                <w:rFonts w:ascii="Courier New" w:cs="Courier New" w:eastAsia="Courier New" w:hAnsi="Courier New"/>
                <w:sz w:val="15"/>
                <w:szCs w:val="15"/>
                <w:color w:val="auto"/>
              </w:rPr>
              <w:t>(1,428)</w:t>
            </w:r>
          </w:p>
        </w:tc>
      </w:tr>
      <w:tr>
        <w:trPr>
          <w:trHeight w:val="245"/>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3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(593)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3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(834)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(1,281)</w:t>
            </w:r>
          </w:p>
        </w:tc>
      </w:tr>
    </w:tbl>
    <w:p>
      <w:pPr>
        <w:spacing w:after="0" w:line="91"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TREASURY STOCK, AT COST</w:t>
      </w:r>
    </w:p>
    <w:tbl>
      <w:tblPr>
        <w:tblLayout w:type="fixed"/>
        <w:tblInd w:w="0" w:type="dxa"/>
        <w:tblCellMar>
          <w:top w:w="0" w:type="dxa"/>
          <w:left w:w="0" w:type="dxa"/>
          <w:bottom w:w="0" w:type="dxa"/>
          <w:right w:w="0" w:type="dxa"/>
        </w:tblCellMar>
      </w:tblPr>
      <w:tr>
        <w:trPr>
          <w:trHeight w:val="143"/>
        </w:trPr>
        <w:tc>
          <w:tcPr>
            <w:tcW w:w="4780" w:type="dxa"/>
            <w:vAlign w:val="bottom"/>
          </w:tcPr>
          <w:p>
            <w:pPr>
              <w:spacing w:after="0" w:line="143" w:lineRule="exact"/>
              <w:rPr>
                <w:sz w:val="20"/>
                <w:szCs w:val="20"/>
                <w:color w:val="auto"/>
              </w:rPr>
            </w:pPr>
            <w:r>
              <w:rPr>
                <w:rFonts w:ascii="Courier New" w:cs="Courier New" w:eastAsia="Courier New" w:hAnsi="Courier New"/>
                <w:sz w:val="15"/>
                <w:szCs w:val="15"/>
                <w:color w:val="auto"/>
              </w:rPr>
              <w:t>Balance at Beginning of Year</w:t>
            </w:r>
          </w:p>
        </w:tc>
        <w:tc>
          <w:tcPr>
            <w:tcW w:w="3320" w:type="dxa"/>
            <w:vAlign w:val="bottom"/>
          </w:tcPr>
          <w:p>
            <w:pPr>
              <w:jc w:val="right"/>
              <w:ind w:right="487"/>
              <w:spacing w:after="0" w:line="143" w:lineRule="exact"/>
              <w:rPr>
                <w:sz w:val="20"/>
                <w:szCs w:val="20"/>
                <w:color w:val="auto"/>
              </w:rPr>
            </w:pPr>
            <w:r>
              <w:rPr>
                <w:rFonts w:ascii="Courier New" w:cs="Courier New" w:eastAsia="Courier New" w:hAnsi="Courier New"/>
                <w:sz w:val="15"/>
                <w:szCs w:val="15"/>
                <w:color w:val="auto"/>
              </w:rPr>
              <w:t>(575)</w:t>
            </w:r>
          </w:p>
        </w:tc>
        <w:tc>
          <w:tcPr>
            <w:tcW w:w="1180" w:type="dxa"/>
            <w:vAlign w:val="bottom"/>
          </w:tcPr>
          <w:p>
            <w:pPr>
              <w:jc w:val="right"/>
              <w:spacing w:after="0" w:line="143" w:lineRule="exact"/>
              <w:rPr>
                <w:sz w:val="20"/>
                <w:szCs w:val="20"/>
                <w:color w:val="auto"/>
              </w:rPr>
            </w:pPr>
            <w:r>
              <w:rPr>
                <w:rFonts w:ascii="Courier New" w:cs="Courier New" w:eastAsia="Courier New" w:hAnsi="Courier New"/>
                <w:sz w:val="15"/>
                <w:szCs w:val="15"/>
                <w:color w:val="auto"/>
              </w:rPr>
              <w:t>(7,942)</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3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w:t>
            </w:r>
          </w:p>
        </w:tc>
      </w:tr>
      <w:tr>
        <w:trPr>
          <w:trHeight w:val="194"/>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Reissuance of Treasury Stock</w:t>
            </w:r>
          </w:p>
        </w:tc>
        <w:tc>
          <w:tcPr>
            <w:tcW w:w="3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1,331</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34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(8,764)</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42,426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$ 36,635</w:t>
            </w: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324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   1,577</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3,621</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2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3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p>
      <w:pPr>
        <w:spacing w:after="0"/>
        <w:tabs>
          <w:tab w:leader="none" w:pos="6640" w:val="left"/>
          <w:tab w:leader="none" w:pos="7160" w:val="left"/>
          <w:tab w:leader="none" w:pos="8480" w:val="left"/>
          <w:tab w:leader="none" w:pos="8740" w:val="left"/>
        </w:tabs>
        <w:rPr>
          <w:sz w:val="20"/>
          <w:szCs w:val="20"/>
          <w:color w:val="auto"/>
        </w:rPr>
      </w:pPr>
      <w:r>
        <w:rPr>
          <w:rFonts w:ascii="Courier New" w:cs="Courier New" w:eastAsia="Courier New" w:hAnsi="Courier New"/>
          <w:sz w:val="15"/>
          <w:szCs w:val="15"/>
          <w:color w:val="auto"/>
        </w:rPr>
        <w:t>Comprehensive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3,768</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right="3679"/>
        <w:spacing w:after="0" w:line="344" w:lineRule="auto"/>
        <w:rPr>
          <w:sz w:val="20"/>
          <w:szCs w:val="20"/>
          <w:color w:val="auto"/>
        </w:rPr>
      </w:pPr>
      <w:r>
        <w:rPr>
          <w:rFonts w:ascii="Courier New" w:cs="Courier New" w:eastAsia="Courier New" w:hAnsi="Courier New"/>
          <w:sz w:val="15"/>
          <w:szCs w:val="15"/>
          <w:color w:val="auto"/>
        </w:rPr>
        <w:t>The Notes to Consolidated Financial Statements are an integral part of these Statements.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61" w:right="1440" w:bottom="536"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200" w:lineRule="exact"/>
        <w:rPr>
          <w:sz w:val="20"/>
          <w:szCs w:val="20"/>
          <w:color w:val="auto"/>
        </w:rPr>
      </w:pPr>
    </w:p>
    <w:p>
      <w:pPr>
        <w:spacing w:after="0" w:line="27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CASH FLOWS</w:t>
      </w:r>
    </w:p>
    <w:tbl>
      <w:tblPr>
        <w:tblLayout w:type="fixed"/>
        <w:tblInd w:w="0" w:type="dxa"/>
        <w:tblCellMar>
          <w:top w:w="0" w:type="dxa"/>
          <w:left w:w="0" w:type="dxa"/>
          <w:bottom w:w="0" w:type="dxa"/>
          <w:right w:w="0" w:type="dxa"/>
        </w:tblCellMar>
      </w:tblPr>
      <w:tr>
        <w:trPr>
          <w:trHeight w:val="245"/>
        </w:trPr>
        <w:tc>
          <w:tcPr>
            <w:tcW w:w="2580" w:type="dxa"/>
            <w:vAlign w:val="bottom"/>
          </w:tcPr>
          <w:p>
            <w:pPr>
              <w:spacing w:after="0"/>
              <w:rPr>
                <w:sz w:val="21"/>
                <w:szCs w:val="21"/>
                <w:color w:val="auto"/>
              </w:rPr>
            </w:pPr>
          </w:p>
        </w:tc>
        <w:tc>
          <w:tcPr>
            <w:tcW w:w="5440" w:type="dxa"/>
            <w:vAlign w:val="bottom"/>
          </w:tcPr>
          <w:p>
            <w:pPr>
              <w:jc w:val="right"/>
              <w:ind w:right="3827"/>
              <w:spacing w:after="0"/>
              <w:rPr>
                <w:sz w:val="20"/>
                <w:szCs w:val="20"/>
                <w:color w:val="auto"/>
              </w:rPr>
            </w:pPr>
            <w:r>
              <w:rPr>
                <w:rFonts w:ascii="Courier New" w:cs="Courier New" w:eastAsia="Courier New" w:hAnsi="Courier New"/>
                <w:sz w:val="15"/>
                <w:szCs w:val="15"/>
                <w:color w:val="auto"/>
              </w:rPr>
              <w:t>(IN MILLIONS)</w:t>
            </w:r>
          </w:p>
        </w:tc>
        <w:tc>
          <w:tcPr>
            <w:tcW w:w="1080" w:type="dxa"/>
            <w:vAlign w:val="bottom"/>
          </w:tcPr>
          <w:p>
            <w:pPr>
              <w:spacing w:after="0"/>
              <w:rPr>
                <w:sz w:val="21"/>
                <w:szCs w:val="21"/>
                <w:color w:val="auto"/>
              </w:rPr>
            </w:pPr>
          </w:p>
        </w:tc>
      </w:tr>
      <w:tr>
        <w:trPr>
          <w:trHeight w:val="59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SIX MONTHS ENDED JUNE 30,</w:t>
            </w:r>
          </w:p>
        </w:tc>
        <w:tc>
          <w:tcPr>
            <w:tcW w:w="54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1,577</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3,621</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(Used in)</w:t>
            </w: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780" w:type="dxa"/>
            <w:vAlign w:val="bottom"/>
          </w:tcPr>
          <w:p>
            <w:pPr>
              <w:spacing w:after="0"/>
              <w:rPr>
                <w:sz w:val="14"/>
                <w:szCs w:val="14"/>
                <w:color w:val="auto"/>
              </w:rPr>
            </w:pPr>
          </w:p>
        </w:tc>
        <w:tc>
          <w:tcPr>
            <w:tcW w:w="13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972</w:t>
            </w:r>
          </w:p>
        </w:tc>
        <w:tc>
          <w:tcPr>
            <w:tcW w:w="74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670</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7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Merger and Restructuring Costs</w:t>
            </w:r>
          </w:p>
        </w:tc>
        <w:tc>
          <w:tcPr>
            <w:tcW w:w="78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806</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78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1,381</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1,113</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Private Equity Unrealized (Gains) Losses and Write-offs</w:t>
            </w:r>
          </w:p>
        </w:tc>
        <w:tc>
          <w:tcPr>
            <w:tcW w:w="78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1,223</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Change in:</w:t>
            </w:r>
          </w:p>
        </w:tc>
        <w:tc>
          <w:tcPr>
            <w:tcW w:w="780" w:type="dxa"/>
            <w:vAlign w:val="bottom"/>
          </w:tcPr>
          <w:p>
            <w:pPr>
              <w:spacing w:after="0"/>
              <w:rPr>
                <w:sz w:val="14"/>
                <w:szCs w:val="14"/>
                <w:color w:val="auto"/>
              </w:rPr>
            </w:pPr>
          </w:p>
        </w:tc>
        <w:tc>
          <w:tcPr>
            <w:tcW w:w="13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7,577</w:t>
            </w:r>
          </w:p>
        </w:tc>
        <w:tc>
          <w:tcPr>
            <w:tcW w:w="7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(3,863)</w:t>
            </w:r>
          </w:p>
        </w:tc>
        <w:tc>
          <w:tcPr>
            <w:tcW w:w="0" w:type="dxa"/>
            <w:vAlign w:val="bottom"/>
          </w:tcPr>
          <w:p>
            <w:pPr>
              <w:spacing w:after="0"/>
              <w:rPr>
                <w:sz w:val="1"/>
                <w:szCs w:val="1"/>
                <w:color w:val="auto"/>
              </w:rPr>
            </w:pP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Trading-Related Assets</w:t>
            </w:r>
          </w:p>
        </w:tc>
        <w:tc>
          <w:tcPr>
            <w:tcW w:w="7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7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(5,925)</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1,357</w:t>
            </w:r>
          </w:p>
        </w:tc>
        <w:tc>
          <w:tcPr>
            <w:tcW w:w="0" w:type="dxa"/>
            <w:vAlign w:val="bottom"/>
          </w:tcPr>
          <w:p>
            <w:pPr>
              <w:spacing w:after="0"/>
              <w:rPr>
                <w:sz w:val="1"/>
                <w:szCs w:val="1"/>
                <w:color w:val="auto"/>
              </w:rPr>
            </w:pP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Accrued Interest and Accounts Receivable</w:t>
            </w:r>
          </w:p>
        </w:tc>
        <w:tc>
          <w:tcPr>
            <w:tcW w:w="78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3,538</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3,565</w:t>
            </w:r>
          </w:p>
        </w:tc>
        <w:tc>
          <w:tcPr>
            <w:tcW w:w="0" w:type="dxa"/>
            <w:vAlign w:val="bottom"/>
          </w:tcPr>
          <w:p>
            <w:pPr>
              <w:spacing w:after="0"/>
              <w:rPr>
                <w:sz w:val="1"/>
                <w:szCs w:val="1"/>
                <w:color w:val="auto"/>
              </w:rPr>
            </w:pP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Assets</w:t>
            </w:r>
          </w:p>
        </w:tc>
        <w:tc>
          <w:tcPr>
            <w:tcW w:w="7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(10,267)</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(3,137)</w:t>
            </w:r>
          </w:p>
        </w:tc>
        <w:tc>
          <w:tcPr>
            <w:tcW w:w="0" w:type="dxa"/>
            <w:vAlign w:val="bottom"/>
          </w:tcPr>
          <w:p>
            <w:pPr>
              <w:spacing w:after="0"/>
              <w:rPr>
                <w:sz w:val="1"/>
                <w:szCs w:val="1"/>
                <w:color w:val="auto"/>
              </w:rPr>
            </w:pP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Trading-Related Liabilities</w:t>
            </w:r>
          </w:p>
        </w:tc>
        <w:tc>
          <w:tcPr>
            <w:tcW w:w="7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(12,939)</w:t>
            </w: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(2,303)</w:t>
            </w:r>
          </w:p>
        </w:tc>
        <w:tc>
          <w:tcPr>
            <w:tcW w:w="0" w:type="dxa"/>
            <w:vAlign w:val="bottom"/>
          </w:tcPr>
          <w:p>
            <w:pPr>
              <w:spacing w:after="0"/>
              <w:rPr>
                <w:sz w:val="1"/>
                <w:szCs w:val="1"/>
                <w:color w:val="auto"/>
              </w:rPr>
            </w:pP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 and Other Liabilities</w:t>
            </w:r>
          </w:p>
        </w:tc>
        <w:tc>
          <w:tcPr>
            <w:tcW w:w="7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(3,279)</w:t>
            </w:r>
          </w:p>
        </w:tc>
        <w:tc>
          <w:tcPr>
            <w:tcW w:w="7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2,058</w:t>
            </w:r>
          </w:p>
        </w:tc>
        <w:tc>
          <w:tcPr>
            <w:tcW w:w="0" w:type="dxa"/>
            <w:vAlign w:val="bottom"/>
          </w:tcPr>
          <w:p>
            <w:pPr>
              <w:spacing w:after="0"/>
              <w:rPr>
                <w:sz w:val="1"/>
                <w:szCs w:val="1"/>
                <w:color w:val="auto"/>
              </w:rPr>
            </w:pPr>
          </w:p>
        </w:tc>
      </w:tr>
      <w:tr>
        <w:trPr>
          <w:trHeight w:val="245"/>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Other, Net</w:t>
            </w:r>
          </w:p>
        </w:tc>
        <w:tc>
          <w:tcPr>
            <w:tcW w:w="780" w:type="dxa"/>
            <w:vAlign w:val="bottom"/>
          </w:tcPr>
          <w:p>
            <w:pPr>
              <w:spacing w:after="0"/>
              <w:rPr>
                <w:sz w:val="21"/>
                <w:szCs w:val="21"/>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(172)</w:t>
            </w: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(1,415)</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Operating Activities</w:t>
            </w:r>
          </w:p>
        </w:tc>
        <w:tc>
          <w:tcPr>
            <w:tcW w:w="2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(15,508)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1,605</w:t>
            </w: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w:t>
            </w:r>
          </w:p>
        </w:tc>
        <w:tc>
          <w:tcPr>
            <w:tcW w:w="3720" w:type="dxa"/>
            <w:vAlign w:val="bottom"/>
          </w:tcPr>
          <w:p>
            <w:pPr>
              <w:spacing w:after="0"/>
              <w:rPr>
                <w:sz w:val="14"/>
                <w:szCs w:val="14"/>
                <w:color w:val="auto"/>
              </w:rPr>
            </w:pPr>
          </w:p>
        </w:tc>
        <w:tc>
          <w:tcPr>
            <w:tcW w:w="15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(3,570)</w:t>
            </w:r>
          </w:p>
        </w:tc>
        <w:tc>
          <w:tcPr>
            <w:tcW w:w="1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21,644</w:t>
            </w:r>
          </w:p>
        </w:tc>
        <w:tc>
          <w:tcPr>
            <w:tcW w:w="0" w:type="dxa"/>
            <w:vAlign w:val="bottom"/>
          </w:tcPr>
          <w:p>
            <w:pPr>
              <w:spacing w:after="0"/>
              <w:rPr>
                <w:sz w:val="1"/>
                <w:szCs w:val="1"/>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37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Federal Funds Sold and Securities Purchased under Resale Agreements</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8,166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(17,228)</w:t>
            </w:r>
          </w:p>
        </w:tc>
        <w:tc>
          <w:tcPr>
            <w:tcW w:w="0" w:type="dxa"/>
            <w:vAlign w:val="bottom"/>
          </w:tcPr>
          <w:p>
            <w:pPr>
              <w:spacing w:after="0"/>
              <w:rPr>
                <w:sz w:val="1"/>
                <w:szCs w:val="1"/>
                <w:color w:val="auto"/>
              </w:rPr>
            </w:pPr>
          </w:p>
        </w:tc>
      </w:tr>
      <w:tr>
        <w:trPr>
          <w:trHeight w:val="168"/>
        </w:trPr>
        <w:tc>
          <w:tcPr>
            <w:tcW w:w="64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Loans Due to Sales and Securitizations</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25,164</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12,468</w:t>
            </w:r>
          </w:p>
        </w:tc>
        <w:tc>
          <w:tcPr>
            <w:tcW w:w="0" w:type="dxa"/>
            <w:vAlign w:val="bottom"/>
          </w:tcPr>
          <w:p>
            <w:pPr>
              <w:spacing w:after="0"/>
              <w:rPr>
                <w:sz w:val="1"/>
                <w:szCs w:val="1"/>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Loans, Net</w:t>
            </w:r>
          </w:p>
        </w:tc>
        <w:tc>
          <w:tcPr>
            <w:tcW w:w="372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(28,718)</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(18,085)</w:t>
            </w:r>
          </w:p>
        </w:tc>
        <w:tc>
          <w:tcPr>
            <w:tcW w:w="0" w:type="dxa"/>
            <w:vAlign w:val="bottom"/>
          </w:tcPr>
          <w:p>
            <w:pPr>
              <w:spacing w:after="0"/>
              <w:rPr>
                <w:sz w:val="1"/>
                <w:szCs w:val="1"/>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37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Proceeds</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2,834</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(858)</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Held-to-Maturity Securities:</w:t>
            </w:r>
          </w:p>
        </w:tc>
        <w:tc>
          <w:tcPr>
            <w:tcW w:w="3720" w:type="dxa"/>
            <w:vAlign w:val="bottom"/>
            <w:vMerge w:val="continue"/>
          </w:tcPr>
          <w:p>
            <w:pPr>
              <w:spacing w:after="0"/>
              <w:rPr>
                <w:sz w:val="14"/>
                <w:szCs w:val="14"/>
                <w:color w:val="auto"/>
              </w:rPr>
            </w:pP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75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w:t>
            </w: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Available-for-Sale Securities:</w:t>
            </w:r>
          </w:p>
        </w:tc>
        <w:tc>
          <w:tcPr>
            <w:tcW w:w="3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Purchases</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3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Proceeds from Maturities</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5,349</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5,603</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3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Proceeds from Sales</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84,974</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41,882</w:t>
            </w: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Cash Used in Acquisitions</w:t>
            </w:r>
          </w:p>
        </w:tc>
        <w:tc>
          <w:tcPr>
            <w:tcW w:w="3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Purchases</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(88,679)</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(43,011)</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372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(1,677)</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Proceeds from Divestitures of Nonstrategic Businesses and Assets</w:t>
            </w:r>
          </w:p>
        </w:tc>
        <w:tc>
          <w:tcPr>
            <w:tcW w:w="15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106</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Cash Provided by Investing Activities</w:t>
            </w:r>
          </w:p>
        </w:tc>
        <w:tc>
          <w:tcPr>
            <w:tcW w:w="28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4,024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w:t>
            </w:r>
          </w:p>
        </w:tc>
        <w:tc>
          <w:tcPr>
            <w:tcW w:w="172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5,486</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(2,415)</w:t>
            </w: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Domestic Deposits</w:t>
            </w:r>
          </w:p>
        </w:tc>
        <w:tc>
          <w:tcPr>
            <w:tcW w:w="17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 Deposits</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(8,047)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(13,807)</w:t>
            </w: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72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23,324</w:t>
            </w:r>
          </w:p>
        </w:tc>
        <w:tc>
          <w:tcPr>
            <w:tcW w:w="1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21,632</w:t>
            </w:r>
          </w:p>
        </w:tc>
        <w:tc>
          <w:tcPr>
            <w:tcW w:w="0" w:type="dxa"/>
            <w:vAlign w:val="bottom"/>
          </w:tcPr>
          <w:p>
            <w:pPr>
              <w:spacing w:after="0"/>
              <w:rPr>
                <w:sz w:val="1"/>
                <w:szCs w:val="1"/>
                <w:color w:val="auto"/>
              </w:rPr>
            </w:pP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Repurchase Agreements</w:t>
            </w:r>
          </w:p>
        </w:tc>
        <w:tc>
          <w:tcPr>
            <w:tcW w:w="17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Paper and Other Borrowed Funds</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(6,288)</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(7,369)</w:t>
            </w: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w:t>
            </w:r>
          </w:p>
        </w:tc>
        <w:tc>
          <w:tcPr>
            <w:tcW w:w="0" w:type="dxa"/>
            <w:vAlign w:val="bottom"/>
          </w:tcPr>
          <w:p>
            <w:pPr>
              <w:spacing w:after="0"/>
              <w:rPr>
                <w:sz w:val="1"/>
                <w:szCs w:val="1"/>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Issuance of Long-Term Debt and Capital Securities</w:t>
            </w:r>
          </w:p>
        </w:tc>
        <w:tc>
          <w:tcPr>
            <w:tcW w:w="17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7,289</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7,557</w:t>
            </w:r>
          </w:p>
        </w:tc>
        <w:tc>
          <w:tcPr>
            <w:tcW w:w="0" w:type="dxa"/>
            <w:vAlign w:val="bottom"/>
          </w:tcPr>
          <w:p>
            <w:pPr>
              <w:spacing w:after="0"/>
              <w:rPr>
                <w:sz w:val="1"/>
                <w:szCs w:val="1"/>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(9,164)</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(4,660)</w:t>
            </w:r>
          </w:p>
        </w:tc>
        <w:tc>
          <w:tcPr>
            <w:tcW w:w="0" w:type="dxa"/>
            <w:vAlign w:val="bottom"/>
          </w:tcPr>
          <w:p>
            <w:pPr>
              <w:spacing w:after="0"/>
              <w:rPr>
                <w:sz w:val="1"/>
                <w:szCs w:val="1"/>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Issuance of Stock and Stock-Related Awards</w:t>
            </w:r>
          </w:p>
        </w:tc>
        <w:tc>
          <w:tcPr>
            <w:tcW w:w="17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926</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776</w:t>
            </w:r>
          </w:p>
        </w:tc>
        <w:tc>
          <w:tcPr>
            <w:tcW w:w="0" w:type="dxa"/>
            <w:vAlign w:val="bottom"/>
          </w:tcPr>
          <w:p>
            <w:pPr>
              <w:spacing w:after="0"/>
              <w:rPr>
                <w:sz w:val="1"/>
                <w:szCs w:val="1"/>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Redemption of Preferred Stock</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(450)</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Purchased</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(45)</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w:t>
            </w:r>
          </w:p>
        </w:tc>
        <w:tc>
          <w:tcPr>
            <w:tcW w:w="0" w:type="dxa"/>
            <w:vAlign w:val="bottom"/>
          </w:tcPr>
          <w:p>
            <w:pPr>
              <w:spacing w:after="0"/>
              <w:rPr>
                <w:sz w:val="1"/>
                <w:szCs w:val="1"/>
                <w:color w:val="auto"/>
              </w:rPr>
            </w:pPr>
          </w:p>
        </w:tc>
      </w:tr>
      <w:tr>
        <w:trPr>
          <w:trHeight w:val="24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Dividends Paid</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(1,325)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(1,113)</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4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11,699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(2,093)</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2"/>
        </w:trPr>
        <w:tc>
          <w:tcPr>
            <w:tcW w:w="5920" w:type="dxa"/>
            <w:vAlign w:val="bottom"/>
            <w:gridSpan w:val="3"/>
          </w:tcPr>
          <w:p>
            <w:pPr>
              <w:spacing w:after="0" w:line="152" w:lineRule="exact"/>
              <w:rPr>
                <w:sz w:val="20"/>
                <w:szCs w:val="20"/>
                <w:color w:val="auto"/>
              </w:rPr>
            </w:pPr>
            <w:r>
              <w:rPr>
                <w:rFonts w:ascii="Courier New" w:cs="Courier New" w:eastAsia="Courier New" w:hAnsi="Courier New"/>
                <w:sz w:val="15"/>
                <w:szCs w:val="15"/>
                <w:color w:val="auto"/>
              </w:rPr>
              <w:t>Effect of Exchange Rate Changes on Cash and Due from Banks</w:t>
            </w:r>
          </w:p>
        </w:tc>
        <w:tc>
          <w:tcPr>
            <w:tcW w:w="2100" w:type="dxa"/>
            <w:vAlign w:val="bottom"/>
          </w:tcPr>
          <w:p>
            <w:pPr>
              <w:jc w:val="right"/>
              <w:ind w:right="687"/>
              <w:spacing w:after="0" w:line="152" w:lineRule="exact"/>
              <w:rPr>
                <w:sz w:val="20"/>
                <w:szCs w:val="20"/>
                <w:color w:val="auto"/>
              </w:rPr>
            </w:pPr>
            <w:r>
              <w:rPr>
                <w:rFonts w:ascii="Courier New" w:cs="Courier New" w:eastAsia="Courier New" w:hAnsi="Courier New"/>
                <w:sz w:val="15"/>
                <w:szCs w:val="15"/>
                <w:color w:val="auto"/>
              </w:rPr>
              <w:t>32</w:t>
            </w:r>
          </w:p>
        </w:tc>
        <w:tc>
          <w:tcPr>
            <w:tcW w:w="12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Increase</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 Cash and Due from Banks</w:t>
            </w:r>
          </w:p>
        </w:tc>
        <w:tc>
          <w:tcPr>
            <w:tcW w:w="2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2000 and 1999</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247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2,167</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Cash and Due</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w w:val="98"/>
              </w:rPr>
              <w:t>from Banks at December 31,</w:t>
            </w:r>
          </w:p>
        </w:tc>
        <w:tc>
          <w:tcPr>
            <w:tcW w:w="2460" w:type="dxa"/>
            <w:vAlign w:val="bottom"/>
            <w:vMerge w:val="continue"/>
          </w:tcPr>
          <w:p>
            <w:pPr>
              <w:spacing w:after="0"/>
              <w:rPr>
                <w:sz w:val="16"/>
                <w:szCs w:val="16"/>
                <w:color w:val="auto"/>
              </w:rPr>
            </w:pPr>
          </w:p>
        </w:tc>
        <w:tc>
          <w:tcPr>
            <w:tcW w:w="21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23,972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18,692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2"/>
        </w:trPr>
        <w:tc>
          <w:tcPr>
            <w:tcW w:w="5300" w:type="dxa"/>
            <w:vAlign w:val="bottom"/>
          </w:tcPr>
          <w:p>
            <w:pPr>
              <w:spacing w:after="0" w:line="152" w:lineRule="exact"/>
              <w:rPr>
                <w:sz w:val="20"/>
                <w:szCs w:val="20"/>
                <w:color w:val="auto"/>
              </w:rPr>
            </w:pPr>
            <w:r>
              <w:rPr>
                <w:rFonts w:ascii="Courier New" w:cs="Courier New" w:eastAsia="Courier New" w:hAnsi="Courier New"/>
                <w:sz w:val="15"/>
                <w:szCs w:val="15"/>
                <w:color w:val="auto"/>
              </w:rPr>
              <w:t>Cash and Due from Banks at June 30, 2001 and 2000</w:t>
            </w:r>
          </w:p>
        </w:tc>
        <w:tc>
          <w:tcPr>
            <w:tcW w:w="1260" w:type="dxa"/>
            <w:vAlign w:val="bottom"/>
          </w:tcPr>
          <w:p>
            <w:pPr>
              <w:jc w:val="right"/>
              <w:ind w:right="87"/>
              <w:spacing w:after="0" w:line="152"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52" w:lineRule="exact"/>
              <w:rPr>
                <w:sz w:val="20"/>
                <w:szCs w:val="20"/>
                <w:color w:val="auto"/>
              </w:rPr>
            </w:pPr>
            <w:r>
              <w:rPr>
                <w:rFonts w:ascii="Courier New" w:cs="Courier New" w:eastAsia="Courier New" w:hAnsi="Courier New"/>
                <w:sz w:val="15"/>
                <w:szCs w:val="15"/>
                <w:color w:val="auto"/>
              </w:rPr>
              <w:t>24,219</w:t>
            </w:r>
          </w:p>
        </w:tc>
        <w:tc>
          <w:tcPr>
            <w:tcW w:w="780" w:type="dxa"/>
            <w:vAlign w:val="bottom"/>
          </w:tcPr>
          <w:p>
            <w:pPr>
              <w:jc w:val="right"/>
              <w:ind w:right="47"/>
              <w:spacing w:after="0" w:line="152"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20,859</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Interest Paid</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12,352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11,599</w:t>
            </w:r>
          </w:p>
        </w:tc>
      </w:tr>
      <w:tr>
        <w:trPr>
          <w:trHeight w:val="194"/>
        </w:trPr>
        <w:tc>
          <w:tcPr>
            <w:tcW w:w="5300" w:type="dxa"/>
            <w:vAlign w:val="bottom"/>
          </w:tcPr>
          <w:p>
            <w:pPr>
              <w:spacing w:after="0"/>
              <w:rPr>
                <w:sz w:val="20"/>
                <w:szCs w:val="20"/>
                <w:color w:val="auto"/>
              </w:rPr>
            </w:pPr>
            <w:r>
              <w:rPr>
                <w:rFonts w:ascii="Courier New" w:cs="Courier New" w:eastAsia="Courier New" w:hAnsi="Courier New"/>
                <w:sz w:val="15"/>
                <w:szCs w:val="15"/>
                <w:color w:val="auto"/>
              </w:rPr>
              <w:t>Taxes Paid</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1,535</w:t>
            </w:r>
          </w:p>
        </w:tc>
      </w:tr>
    </w:tbl>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ind w:left="180" w:right="3399"/>
        <w:spacing w:after="0" w:line="344" w:lineRule="auto"/>
        <w:rPr>
          <w:sz w:val="20"/>
          <w:szCs w:val="20"/>
          <w:color w:val="auto"/>
        </w:rPr>
      </w:pPr>
      <w:r>
        <w:rPr>
          <w:rFonts w:ascii="Courier New" w:cs="Courier New" w:eastAsia="Courier New" w:hAnsi="Courier New"/>
          <w:sz w:val="15"/>
          <w:szCs w:val="15"/>
          <w:color w:val="auto"/>
        </w:rPr>
        <w:t>The Notes to Consolidated Financial Statements are an integral part of these Statements.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705"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309"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right="35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Glossary of Terms on page 50 for definition of terms used throughout the Notes to Consolidated Financial Statements.</w:t>
      </w: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MERGER WITH J.P. MORGAN &amp; CO. INCORPORATED</w:t>
      </w:r>
    </w:p>
    <w:p>
      <w:pPr>
        <w:spacing w:after="0" w:line="24"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On December 31, 2000, J.P. Morgan &amp; Co. Incorporated ("J.P. Morgan") merged with and into The Chase Manhattan Corporation ("Chase"). Upon consummation of the merger, Chase changed its name to J.P. Morgan Chase &amp; Co. ("JPMorgan Chase", "JPMC" or "the Firm"). The merger was accounted for as a pooling of interests and, accordingly, the information included in these financial statements and consolidated notes reflects the combined results of Chase and J.P. Morgan as if the merger had been in effect for all periods presented. In addition, certain amounts have been reclassified to conform to the current presentation.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BASIS OF PRESENTATION</w:t>
      </w:r>
    </w:p>
    <w:p>
      <w:pPr>
        <w:spacing w:after="0" w:line="24"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accounting and financial reporting policies of JPMorgan Chase and its subsidiaries conform to U.S. generally accepted accounting principles ("GAAP") and prevailing industry practices for interim reporting. Additionally, where applicable, the policies conform to the accounting and reporting guidelines prescribed by bank regulatory authorities. The unaudited consolidated financial statements prepared in conformity with GAAP require management to make estimates and assumptions that affect reported revenues, expenses, assets, liabilities and disclosure of contingent assets and liabilities. Actual results could be different from these estimates. In the opinion of management, all necessary adjustments, consisting only of normal recurring adjustments, have been included for a fair presentation of this interim financial information. These unaudited financial statements should be read in conjunction with the audited financial statements included in JPMorgan Chase's 2000 Annual Report on Form 10-K ("2000 Annual Report"), with the exception of Note 3 below, "Accounting for Derivative Instruments and Hedging Activities."</w:t>
      </w:r>
    </w:p>
    <w:p>
      <w:pPr>
        <w:spacing w:after="0" w:line="78"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NOTE 3 - ACCOUNTING FOR DERIVATIVE INSTRUMENTS AND HEDGING ACTIVITIES On January 1, 2001, JPMorgan Chase adopted SFAS 133, which establishes accounting and reporting standards for derivative instruments, including certain derivative instruments embedded in other contracts and used for hedging activities. The adoption of SFAS 133 resulted in an after-tax reduction to net income of $25 million and an after-tax reduction to other comprehensive income ("OCI") of $36 million. The impact of reclassifying certain SFAS 115 securities from available-for-sale to trading was not material at the adoption date.</w:t>
      </w:r>
    </w:p>
    <w:p>
      <w:pPr>
        <w:spacing w:after="0" w:line="71"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5"/>
          <w:szCs w:val="15"/>
          <w:color w:val="auto"/>
        </w:rPr>
        <w:t>The majority of JPMorgan Chase's derivatives are entered into for trading purposes and were not affected by the adoption of SFAS 133. The Firm also uses derivatives as an end user to hedge market exposures, modify the interest rate characteristics of related balance sheet instruments or meet longer-term investment objectives. Both trading and end-user derivatives are recorded in trading assets and liabilities. For further discussion of the Firm's use of derivative instruments, see Note 3 of the JPMorgan Chase March 31, 2001 Form 10-Q in addition to Note 25 and page 50 of the JPMorgan Chase 2000 Annual Report.</w:t>
      </w:r>
    </w:p>
    <w:p>
      <w:pPr>
        <w:spacing w:after="0" w:line="89" w:lineRule="exact"/>
        <w:rPr>
          <w:sz w:val="20"/>
          <w:szCs w:val="20"/>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The following table presents derivative instrument and hedging related activities for the periods indicated: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SECOND QUARTER</w:t>
            </w:r>
          </w:p>
        </w:tc>
        <w:tc>
          <w:tcPr>
            <w:tcW w:w="1480" w:type="dxa"/>
            <w:vAlign w:val="bottom"/>
            <w:gridSpan w:val="2"/>
          </w:tcPr>
          <w:p>
            <w:pPr>
              <w:ind w:left="600"/>
              <w:spacing w:after="0"/>
              <w:rPr>
                <w:sz w:val="20"/>
                <w:szCs w:val="20"/>
                <w:color w:val="auto"/>
              </w:rPr>
            </w:pPr>
            <w:r>
              <w:rPr>
                <w:rFonts w:ascii="Courier New" w:cs="Courier New" w:eastAsia="Courier New" w:hAnsi="Courier New"/>
                <w:sz w:val="15"/>
                <w:szCs w:val="15"/>
                <w:color w:val="auto"/>
                <w:w w:val="95"/>
              </w:rPr>
              <w:t>SIX MONTHS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2280" w:type="dxa"/>
            <w:vAlign w:val="bottom"/>
            <w:gridSpan w:val="2"/>
            <w:vMerge w:val="restart"/>
          </w:tcPr>
          <w:p>
            <w:pPr>
              <w:ind w:left="520"/>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2001</w:t>
            </w:r>
          </w:p>
        </w:tc>
        <w:tc>
          <w:tcPr>
            <w:tcW w:w="17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14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0"/>
                <w:szCs w:val="20"/>
                <w:color w:val="auto"/>
              </w:rPr>
            </w:pPr>
            <w:r>
              <w:rPr>
                <w:rFonts w:ascii="Courier New" w:cs="Courier New" w:eastAsia="Courier New" w:hAnsi="Courier New"/>
                <w:sz w:val="15"/>
                <w:szCs w:val="15"/>
                <w:color w:val="auto"/>
              </w:rPr>
              <w:t>Fair Value Ineffective Hedging Net Gains (a)</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70</w:t>
            </w:r>
          </w:p>
        </w:tc>
        <w:tc>
          <w:tcPr>
            <w:tcW w:w="8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Ineffective Hedging Net Gains (Losses) (a)</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Hedging Gains (Losses) on Forecasted</w:t>
            </w:r>
          </w:p>
        </w:tc>
        <w:tc>
          <w:tcPr>
            <w:tcW w:w="14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Transactions that did not occur</w:t>
            </w:r>
          </w:p>
        </w:tc>
        <w:tc>
          <w:tcPr>
            <w:tcW w:w="1400" w:type="dxa"/>
            <w:vAlign w:val="bottom"/>
            <w:vMerge w:val="continue"/>
          </w:tcPr>
          <w:p>
            <w:pPr>
              <w:spacing w:after="0"/>
              <w:rPr>
                <w:sz w:val="14"/>
                <w:szCs w:val="14"/>
                <w:color w:val="auto"/>
              </w:rPr>
            </w:pPr>
          </w:p>
        </w:tc>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(b)</w:t>
            </w:r>
          </w:p>
        </w:tc>
        <w:tc>
          <w:tcPr>
            <w:tcW w:w="8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restart"/>
          </w:tcPr>
          <w:p>
            <w:pPr>
              <w:spacing w:after="0"/>
              <w:rPr>
                <w:sz w:val="20"/>
                <w:szCs w:val="20"/>
                <w:color w:val="auto"/>
              </w:rPr>
            </w:pPr>
            <w:r>
              <w:rPr>
                <w:rFonts w:ascii="Courier New" w:cs="Courier New" w:eastAsia="Courier New" w:hAnsi="Courier New"/>
                <w:sz w:val="15"/>
                <w:szCs w:val="15"/>
                <w:color w:val="auto"/>
                <w:w w:val="88"/>
              </w:rPr>
              <w:t>(b)</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Reclassifications from OCI to Earnings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8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Investment Hedging (Losses) on Forward Points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820" w:type="dxa"/>
            <w:vAlign w:val="bottom"/>
          </w:tcPr>
          <w:p>
            <w:pPr>
              <w:spacing w:after="0"/>
              <w:rPr>
                <w:sz w:val="16"/>
                <w:szCs w:val="16"/>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88" w:lineRule="exact"/>
        <w:rPr>
          <w:sz w:val="20"/>
          <w:szCs w:val="20"/>
          <w:color w:val="auto"/>
        </w:rPr>
      </w:pPr>
    </w:p>
    <w:p>
      <w:pPr>
        <w:ind w:left="700" w:right="3759" w:hanging="690"/>
        <w:spacing w:after="0" w:line="344"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ineffectiveness and the portion of the hedging instrument excluded from the assessment of hedge effectiveness.</w:t>
      </w:r>
    </w:p>
    <w:p>
      <w:pPr>
        <w:spacing w:after="0" w:line="17" w:lineRule="exact"/>
        <w:rPr>
          <w:rFonts w:ascii="Courier New" w:cs="Courier New" w:eastAsia="Courier New" w:hAnsi="Courier New"/>
          <w:sz w:val="15"/>
          <w:szCs w:val="15"/>
          <w:color w:val="auto"/>
        </w:rPr>
      </w:pPr>
    </w:p>
    <w:p>
      <w:pPr>
        <w:ind w:left="700" w:right="3239" w:hanging="690"/>
        <w:spacing w:after="0" w:line="381" w:lineRule="auto"/>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reclassification of net losses on derivative instruments from OCI to earnings that are expected to occur over the next 12 months.</w:t>
      </w:r>
    </w:p>
    <w:p>
      <w:pPr>
        <w:spacing w:after="0" w:line="1" w:lineRule="exact"/>
        <w:rPr>
          <w:rFonts w:ascii="Courier New" w:cs="Courier New" w:eastAsia="Courier New" w:hAnsi="Courier New"/>
          <w:sz w:val="14"/>
          <w:szCs w:val="14"/>
          <w:color w:val="auto"/>
        </w:rPr>
      </w:pPr>
    </w:p>
    <w:p>
      <w:pPr>
        <w:ind w:left="700" w:right="3759" w:hanging="690"/>
        <w:spacing w:after="0" w:line="290"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forward points on forward foreign exchange ("FX") contracts used to hedge the investments in foreign subsidiaries in foreign currencies.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61" w:right="1440" w:bottom="43"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61" w:right="1440" w:bottom="43"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MERGER AND RESTRUCTURING COSTS</w:t>
      </w:r>
    </w:p>
    <w:p>
      <w:pPr>
        <w:spacing w:after="0" w:line="24"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5"/>
          <w:szCs w:val="15"/>
          <w:color w:val="auto"/>
        </w:rPr>
        <w:t>The following table shows the activity in the merger liability for the six months ended June 30,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MERGER LIABILITY</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Liability Balance at December 31, 2000</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w:t>
            </w: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Liability Utilized in the six months ended June 30</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Liability Balance at June 30, 2001</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496</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Employee Reductions as a result of the Merger during 2001</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4,508</w:t>
            </w:r>
          </w:p>
        </w:tc>
        <w:tc>
          <w:tcPr>
            <w:tcW w:w="0" w:type="dxa"/>
            <w:vAlign w:val="bottom"/>
          </w:tcPr>
          <w:p>
            <w:pPr>
              <w:spacing w:after="0"/>
              <w:rPr>
                <w:sz w:val="1"/>
                <w:szCs w:val="1"/>
                <w:color w:val="auto"/>
              </w:rPr>
            </w:pPr>
          </w:p>
        </w:tc>
      </w:tr>
      <w:tr>
        <w:trPr>
          <w:trHeight w:val="168"/>
        </w:trPr>
        <w:tc>
          <w:tcPr>
            <w:tcW w:w="5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Cumulative Employee Reductions as a result of the Merger since the</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4,663</w:t>
            </w:r>
          </w:p>
        </w:tc>
        <w:tc>
          <w:tcPr>
            <w:tcW w:w="0" w:type="dxa"/>
            <w:vAlign w:val="bottom"/>
          </w:tcPr>
          <w:p>
            <w:pPr>
              <w:spacing w:after="0"/>
              <w:rPr>
                <w:sz w:val="1"/>
                <w:szCs w:val="1"/>
                <w:color w:val="auto"/>
              </w:rPr>
            </w:pPr>
          </w:p>
        </w:tc>
      </w:tr>
      <w:tr>
        <w:trPr>
          <w:trHeight w:val="245"/>
        </w:trPr>
        <w:tc>
          <w:tcPr>
            <w:tcW w:w="7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Merger announcement (including attrition of approximately 28% of the total)</w:t>
            </w:r>
          </w:p>
        </w:tc>
        <w:tc>
          <w:tcPr>
            <w:tcW w:w="5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72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60" w:type="dxa"/>
            <w:vAlign w:val="bottom"/>
            <w:gridSpan w:val="3"/>
          </w:tcPr>
          <w:p>
            <w:pPr>
              <w:spacing w:after="0"/>
              <w:rPr>
                <w:sz w:val="20"/>
                <w:szCs w:val="20"/>
                <w:color w:val="auto"/>
              </w:rPr>
            </w:pPr>
            <w:r>
              <w:rPr>
                <w:rFonts w:ascii="Courier New" w:cs="Courier New" w:eastAsia="Courier New" w:hAnsi="Courier New"/>
                <w:sz w:val="15"/>
                <w:szCs w:val="15"/>
                <w:color w:val="auto"/>
              </w:rPr>
              <w:t>Additionally, during the second quarter of 2001, the Firm incurred $478 million</w:t>
            </w: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costs relating to previously announced merger actions ($405 million) and to</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relocation and other business initiatives ($73 million). Under current</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accounting pronouncements, these costs (primarily system integration costs,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facilities costs and retention payments) are not recognized until incurred. For</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 discussion of JPMorgan Chase's merger and restructuring costs, refer to Note 7</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0"/>
                <w:szCs w:val="20"/>
                <w:color w:val="auto"/>
              </w:rPr>
            </w:pPr>
            <w:r>
              <w:rPr>
                <w:rFonts w:ascii="Courier New" w:cs="Courier New" w:eastAsia="Courier New" w:hAnsi="Courier New"/>
                <w:sz w:val="15"/>
                <w:szCs w:val="15"/>
                <w:color w:val="auto"/>
              </w:rPr>
              <w:t>and page 42 of JPMorgan Chase's 2000 Annual Report.</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NOTE 5 - TRADING ASSETS AND LIABILITIES</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 a discussion of the accounting policies relating to trading assets and</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0"/>
                <w:szCs w:val="20"/>
                <w:color w:val="auto"/>
              </w:rPr>
            </w:pPr>
            <w:r>
              <w:rPr>
                <w:rFonts w:ascii="Courier New" w:cs="Courier New" w:eastAsia="Courier New" w:hAnsi="Courier New"/>
                <w:sz w:val="15"/>
                <w:szCs w:val="15"/>
                <w:color w:val="auto"/>
                <w:w w:val="96"/>
              </w:rPr>
              <w:t>liabilities, see Note 1 of JPMorgan Chase's 2000 Annual Report.</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260" w:type="dxa"/>
            <w:vAlign w:val="bottom"/>
            <w:gridSpan w:val="3"/>
          </w:tcPr>
          <w:p>
            <w:pPr>
              <w:spacing w:after="0"/>
              <w:rPr>
                <w:sz w:val="20"/>
                <w:szCs w:val="20"/>
                <w:color w:val="auto"/>
              </w:rPr>
            </w:pPr>
            <w:r>
              <w:rPr>
                <w:rFonts w:ascii="Courier New" w:cs="Courier New" w:eastAsia="Courier New" w:hAnsi="Courier New"/>
                <w:sz w:val="15"/>
                <w:szCs w:val="15"/>
                <w:color w:val="auto"/>
              </w:rPr>
              <w:t>The following table presents trading assets and trading liabilities for the</w:t>
            </w: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0"/>
                <w:szCs w:val="20"/>
                <w:color w:val="auto"/>
              </w:rPr>
            </w:pPr>
            <w:r>
              <w:rPr>
                <w:rFonts w:ascii="Courier New" w:cs="Courier New" w:eastAsia="Courier New" w:hAnsi="Courier New"/>
                <w:sz w:val="15"/>
                <w:szCs w:val="15"/>
                <w:color w:val="auto"/>
              </w:rPr>
              <w:t>dates indicated.</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2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55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300" w:type="dxa"/>
            <w:vAlign w:val="bottom"/>
          </w:tcPr>
          <w:p>
            <w:pPr>
              <w:spacing w:after="0"/>
              <w:rPr>
                <w:sz w:val="24"/>
                <w:szCs w:val="24"/>
                <w:color w:val="auto"/>
              </w:rPr>
            </w:pPr>
          </w:p>
        </w:tc>
        <w:tc>
          <w:tcPr>
            <w:tcW w:w="14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JUNE 30,</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74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TRADING ASSETS</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and Equity Instruments:</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Federal Agencies and</w:t>
            </w:r>
          </w:p>
        </w:tc>
        <w:tc>
          <w:tcPr>
            <w:tcW w:w="3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41,598</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43,251</w:t>
            </w:r>
          </w:p>
        </w:tc>
        <w:tc>
          <w:tcPr>
            <w:tcW w:w="0" w:type="dxa"/>
            <w:vAlign w:val="bottom"/>
          </w:tcPr>
          <w:p>
            <w:pPr>
              <w:spacing w:after="0"/>
              <w:rPr>
                <w:sz w:val="1"/>
                <w:szCs w:val="1"/>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Municipal Securities</w:t>
            </w:r>
          </w:p>
        </w:tc>
        <w:tc>
          <w:tcPr>
            <w:tcW w:w="3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Certificates of Deposit, Bankers' Acceptances</w:t>
            </w:r>
          </w:p>
        </w:tc>
        <w:tc>
          <w:tcPr>
            <w:tcW w:w="300" w:type="dxa"/>
            <w:vAlign w:val="bottom"/>
          </w:tcPr>
          <w:p>
            <w:pPr>
              <w:spacing w:after="0"/>
              <w:rPr>
                <w:sz w:val="14"/>
                <w:szCs w:val="14"/>
                <w:color w:val="auto"/>
              </w:rPr>
            </w:pPr>
          </w:p>
        </w:tc>
        <w:tc>
          <w:tcPr>
            <w:tcW w:w="14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8,455</w:t>
            </w:r>
          </w:p>
        </w:tc>
        <w:tc>
          <w:tcPr>
            <w:tcW w:w="5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7,258</w:t>
            </w:r>
          </w:p>
        </w:tc>
        <w:tc>
          <w:tcPr>
            <w:tcW w:w="0" w:type="dxa"/>
            <w:vAlign w:val="bottom"/>
          </w:tcPr>
          <w:p>
            <w:pPr>
              <w:spacing w:after="0"/>
              <w:rPr>
                <w:sz w:val="1"/>
                <w:szCs w:val="1"/>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Commercial Paper</w:t>
            </w:r>
          </w:p>
        </w:tc>
        <w:tc>
          <w:tcPr>
            <w:tcW w:w="3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Debt Securities Issued by Foreign Governments</w:t>
            </w:r>
          </w:p>
        </w:tc>
        <w:tc>
          <w:tcPr>
            <w:tcW w:w="30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40,519</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41,631</w:t>
            </w: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Securities and Other</w:t>
            </w:r>
          </w:p>
        </w:tc>
        <w:tc>
          <w:tcPr>
            <w:tcW w:w="30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48,563</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47,109</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Total Trading Assets - Debt and Equity Instruments</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139,135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139,249</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7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Derivative Receivables:</w:t>
            </w:r>
          </w:p>
        </w:tc>
        <w:tc>
          <w:tcPr>
            <w:tcW w:w="3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36,253</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41,124</w:t>
            </w: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Rate Contracts</w:t>
            </w:r>
          </w:p>
        </w:tc>
        <w:tc>
          <w:tcPr>
            <w:tcW w:w="3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Exchange Contracts</w:t>
            </w:r>
          </w:p>
        </w:tc>
        <w:tc>
          <w:tcPr>
            <w:tcW w:w="30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15,455</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15,484</w:t>
            </w: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Debt, Equity, Commodity and Other Contracts</w:t>
            </w:r>
          </w:p>
        </w:tc>
        <w:tc>
          <w:tcPr>
            <w:tcW w:w="30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17,202</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19,765</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Total Trading Assets - Derivative Receivables</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68,910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76,373</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7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TRADING LIABILITIES</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and Equity Instruments:</w:t>
            </w:r>
          </w:p>
        </w:tc>
        <w:tc>
          <w:tcPr>
            <w:tcW w:w="3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53,190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51,762</w:t>
            </w: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 Sold, Not Yet Purchased</w:t>
            </w:r>
          </w:p>
        </w:tc>
        <w:tc>
          <w:tcPr>
            <w:tcW w:w="3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Structured Notes</w:t>
            </w:r>
          </w:p>
        </w:tc>
        <w:tc>
          <w:tcPr>
            <w:tcW w:w="30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381</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Total Trading Liabilities - Debt and Equity Instruments</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53,571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52,157</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7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0"/>
                <w:szCs w:val="20"/>
                <w:color w:val="auto"/>
              </w:rPr>
            </w:pPr>
            <w:r>
              <w:rPr>
                <w:rFonts w:ascii="Courier New" w:cs="Courier New" w:eastAsia="Courier New" w:hAnsi="Courier New"/>
                <w:sz w:val="15"/>
                <w:szCs w:val="15"/>
                <w:color w:val="auto"/>
              </w:rPr>
              <w:t>Derivative Payables:</w:t>
            </w:r>
          </w:p>
        </w:tc>
        <w:tc>
          <w:tcPr>
            <w:tcW w:w="3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27,845</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27,968</w:t>
            </w: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Rate Contracts</w:t>
            </w:r>
          </w:p>
        </w:tc>
        <w:tc>
          <w:tcPr>
            <w:tcW w:w="3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Exchange Contracts</w:t>
            </w:r>
          </w:p>
        </w:tc>
        <w:tc>
          <w:tcPr>
            <w:tcW w:w="30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14,174</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17,759</w:t>
            </w:r>
          </w:p>
        </w:tc>
        <w:tc>
          <w:tcPr>
            <w:tcW w:w="0" w:type="dxa"/>
            <w:vAlign w:val="bottom"/>
          </w:tcPr>
          <w:p>
            <w:pPr>
              <w:spacing w:after="0"/>
              <w:rPr>
                <w:sz w:val="1"/>
                <w:szCs w:val="1"/>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Debt, Equity, Commodity and Other Contracts</w:t>
            </w:r>
          </w:p>
        </w:tc>
        <w:tc>
          <w:tcPr>
            <w:tcW w:w="30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20,354</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30,790</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Courier New" w:cs="Courier New" w:eastAsia="Courier New" w:hAnsi="Courier New"/>
                <w:sz w:val="15"/>
                <w:szCs w:val="15"/>
                <w:color w:val="auto"/>
              </w:rPr>
              <w:t>Total Trading Liabilities - Derivative Payables</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62,373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76,517</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7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Debt and equity instruments pledged as collateral that can be sold or repledged by the secured party amounted to $56.3 billion at June 30, 2001 and $53.6 billion at December 31, 2000.</w:t>
      </w:r>
    </w:p>
    <w:p>
      <w:pPr>
        <w:sectPr>
          <w:pgSz w:w="11900" w:h="16838" w:orient="portrait"/>
          <w:cols w:equalWidth="0" w:num="1">
            <w:col w:w="10239"/>
          </w:cols>
          <w:pgMar w:left="220" w:top="261" w:right="1440" w:bottom="0" w:gutter="0" w:footer="0" w:header="0"/>
        </w:sectPr>
      </w:pPr>
    </w:p>
    <w:bookmarkStart w:id="8" w:name="page9"/>
    <w:bookmarkEnd w:id="8"/>
    <w:p>
      <w:pPr>
        <w:ind w:left="22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284" w:right="1440" w:bottom="1440" w:gutter="0" w:footer="0" w:header="0"/>
        </w:sectPr>
      </w:pPr>
    </w:p>
    <w:bookmarkStart w:id="9" w:name="page10"/>
    <w:bookmarkEnd w:id="9"/>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9</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1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SECURITIES</w:t>
      </w:r>
    </w:p>
    <w:p>
      <w:pPr>
        <w:spacing w:after="0" w:line="24" w:lineRule="exact"/>
        <w:rPr>
          <w:sz w:val="20"/>
          <w:szCs w:val="20"/>
          <w:color w:val="auto"/>
        </w:rPr>
      </w:pPr>
    </w:p>
    <w:p>
      <w:pPr>
        <w:ind w:right="3399"/>
        <w:spacing w:after="0" w:line="307" w:lineRule="auto"/>
        <w:rPr>
          <w:sz w:val="20"/>
          <w:szCs w:val="20"/>
          <w:color w:val="auto"/>
        </w:rPr>
      </w:pPr>
      <w:r>
        <w:rPr>
          <w:rFonts w:ascii="Courier New" w:cs="Courier New" w:eastAsia="Courier New" w:hAnsi="Courier New"/>
          <w:sz w:val="15"/>
          <w:szCs w:val="15"/>
          <w:color w:val="auto"/>
        </w:rPr>
        <w:t>For a discussion of the accounting policies relating to securities, see Note 1 of JPMorgan Chase's 2000 Annual Report.</w:t>
      </w:r>
    </w:p>
    <w:p>
      <w:pPr>
        <w:spacing w:after="0" w:line="44"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The following table presents realized gains and losses from available-for-sale ("AFS")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620" w:type="dxa"/>
            <w:vAlign w:val="bottom"/>
          </w:tcPr>
          <w:p>
            <w:pPr>
              <w:spacing w:after="0"/>
              <w:rPr>
                <w:sz w:val="14"/>
                <w:szCs w:val="14"/>
                <w:color w:val="auto"/>
              </w:rPr>
            </w:pPr>
          </w:p>
        </w:tc>
        <w:tc>
          <w:tcPr>
            <w:tcW w:w="230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SECOND QUARTER</w:t>
            </w:r>
          </w:p>
        </w:tc>
        <w:tc>
          <w:tcPr>
            <w:tcW w:w="540" w:type="dxa"/>
            <w:vAlign w:val="bottom"/>
          </w:tcPr>
          <w:p>
            <w:pPr>
              <w:spacing w:after="0"/>
              <w:rPr>
                <w:sz w:val="14"/>
                <w:szCs w:val="14"/>
                <w:color w:val="auto"/>
              </w:rPr>
            </w:pPr>
          </w:p>
        </w:tc>
        <w:tc>
          <w:tcPr>
            <w:tcW w:w="18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620" w:type="dxa"/>
            <w:vAlign w:val="bottom"/>
          </w:tcPr>
          <w:p>
            <w:pPr>
              <w:ind w:left="1260"/>
              <w:spacing w:after="0"/>
              <w:rPr>
                <w:sz w:val="20"/>
                <w:szCs w:val="20"/>
                <w:color w:val="auto"/>
              </w:rPr>
            </w:pPr>
            <w:r>
              <w:rPr>
                <w:rFonts w:ascii="Courier New" w:cs="Courier New" w:eastAsia="Courier New" w:hAnsi="Courier New"/>
                <w:sz w:val="2"/>
                <w:szCs w:val="2"/>
                <w:color w:val="auto"/>
                <w:w w:val="97"/>
              </w:rPr>
              <w:t>-----------------------------</w:t>
            </w:r>
          </w:p>
        </w:tc>
        <w:tc>
          <w:tcPr>
            <w:tcW w:w="8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2001</w:t>
            </w:r>
          </w:p>
        </w:tc>
        <w:tc>
          <w:tcPr>
            <w:tcW w:w="560" w:type="dxa"/>
            <w:vAlign w:val="bottom"/>
          </w:tcPr>
          <w:p>
            <w:pPr>
              <w:spacing w:after="0"/>
              <w:rPr>
                <w:sz w:val="14"/>
                <w:szCs w:val="14"/>
                <w:color w:val="auto"/>
              </w:rPr>
            </w:pP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24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2001</w:t>
            </w:r>
          </w:p>
        </w:tc>
        <w:tc>
          <w:tcPr>
            <w:tcW w:w="3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2000</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24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Realized Gains</w:t>
            </w:r>
          </w:p>
        </w:tc>
        <w:tc>
          <w:tcPr>
            <w:tcW w:w="162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Losses</w:t>
            </w:r>
          </w:p>
        </w:tc>
        <w:tc>
          <w:tcPr>
            <w:tcW w:w="1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w:t>
            </w:r>
          </w:p>
        </w:tc>
        <w:tc>
          <w:tcPr>
            <w:tcW w:w="5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(118)</w:t>
            </w:r>
          </w:p>
        </w:tc>
        <w:tc>
          <w:tcPr>
            <w:tcW w:w="54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w:t>
            </w:r>
          </w:p>
        </w:tc>
        <w:tc>
          <w:tcPr>
            <w:tcW w:w="0" w:type="dxa"/>
            <w:vAlign w:val="bottom"/>
          </w:tcPr>
          <w:p>
            <w:pPr>
              <w:spacing w:after="0"/>
              <w:rPr>
                <w:sz w:val="1"/>
                <w:szCs w:val="1"/>
                <w:color w:val="auto"/>
              </w:rPr>
            </w:pPr>
          </w:p>
        </w:tc>
      </w:tr>
      <w:tr>
        <w:trPr>
          <w:trHeight w:val="168"/>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Net Realized Gains</w:t>
            </w:r>
          </w:p>
        </w:tc>
        <w:tc>
          <w:tcPr>
            <w:tcW w:w="1620" w:type="dxa"/>
            <w:vAlign w:val="bottom"/>
            <w:vMerge w:val="restart"/>
          </w:tcPr>
          <w:p>
            <w:pPr>
              <w:ind w:left="1340"/>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8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67</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24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The amortized cost and estimated fair value of securities were as follows for the dates indicated: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 2001</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December 31, 2000</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6"/>
              </w:rPr>
              <w:t>AMORTIZED</w:t>
            </w:r>
          </w:p>
        </w:tc>
        <w:tc>
          <w:tcPr>
            <w:tcW w:w="56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FAIR</w:t>
            </w:r>
          </w:p>
        </w:tc>
        <w:tc>
          <w:tcPr>
            <w:tcW w:w="2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AVAILABLE-FOR-SALE SECURITIES</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COST</w:t>
            </w:r>
          </w:p>
        </w:tc>
        <w:tc>
          <w:tcPr>
            <w:tcW w:w="560" w:type="dxa"/>
            <w:vAlign w:val="bottom"/>
          </w:tcPr>
          <w:p>
            <w:pPr>
              <w:spacing w:after="0"/>
              <w:rPr>
                <w:sz w:val="14"/>
                <w:szCs w:val="14"/>
                <w:color w:val="auto"/>
              </w:rPr>
            </w:pP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VALUE</w:t>
            </w:r>
          </w:p>
        </w:tc>
        <w:tc>
          <w:tcPr>
            <w:tcW w:w="3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Cost</w:t>
            </w:r>
          </w:p>
        </w:tc>
        <w:tc>
          <w:tcPr>
            <w:tcW w:w="36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0"/>
                <w:szCs w:val="20"/>
                <w:color w:val="auto"/>
              </w:rPr>
            </w:pPr>
            <w:r>
              <w:rPr>
                <w:rFonts w:ascii="Courier New" w:cs="Courier New" w:eastAsia="Courier New" w:hAnsi="Courier New"/>
                <w:sz w:val="15"/>
                <w:szCs w:val="15"/>
                <w:color w:val="auto"/>
              </w:rPr>
              <w:t>U.S. Government and Federal</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Agency/Corporation Obligations: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30,444</w:t>
            </w: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29,712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38,107</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37,168</w:t>
            </w:r>
          </w:p>
        </w:tc>
        <w:tc>
          <w:tcPr>
            <w:tcW w:w="0" w:type="dxa"/>
            <w:vAlign w:val="bottom"/>
          </w:tcPr>
          <w:p>
            <w:pPr>
              <w:spacing w:after="0"/>
              <w:rPr>
                <w:sz w:val="1"/>
                <w:szCs w:val="1"/>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2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Collateralized Mortgage Obligations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2,567</w:t>
            </w:r>
          </w:p>
        </w:tc>
        <w:tc>
          <w:tcPr>
            <w:tcW w:w="5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2,419</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5,130</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5,215</w:t>
            </w:r>
          </w:p>
        </w:tc>
        <w:tc>
          <w:tcPr>
            <w:tcW w:w="0" w:type="dxa"/>
            <w:vAlign w:val="bottom"/>
          </w:tcPr>
          <w:p>
            <w:pPr>
              <w:spacing w:after="0"/>
              <w:rPr>
                <w:sz w:val="1"/>
                <w:szCs w:val="1"/>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U.S. Treasuries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16,366</w:t>
            </w:r>
          </w:p>
        </w:tc>
        <w:tc>
          <w:tcPr>
            <w:tcW w:w="5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16,015</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16,250</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16,294</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Obligations of State and Political Subdivisions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1,211</w:t>
            </w:r>
          </w:p>
        </w:tc>
        <w:tc>
          <w:tcPr>
            <w:tcW w:w="5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1,297</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896</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Securities Issued by Foreign Governments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16,943</w:t>
            </w:r>
          </w:p>
        </w:tc>
        <w:tc>
          <w:tcPr>
            <w:tcW w:w="5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16,931</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10,749</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10,800</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Debt, Equity and Other (a)</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1,593</w:t>
            </w:r>
          </w:p>
        </w:tc>
        <w:tc>
          <w:tcPr>
            <w:tcW w:w="5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1,600</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2,434</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2,662</w:t>
            </w:r>
          </w:p>
        </w:tc>
        <w:tc>
          <w:tcPr>
            <w:tcW w:w="0" w:type="dxa"/>
            <w:vAlign w:val="bottom"/>
          </w:tcPr>
          <w:p>
            <w:pPr>
              <w:spacing w:after="0"/>
              <w:rPr>
                <w:sz w:val="1"/>
                <w:szCs w:val="1"/>
                <w:color w:val="auto"/>
              </w:rPr>
            </w:pPr>
          </w:p>
        </w:tc>
      </w:tr>
      <w:tr>
        <w:trPr>
          <w:trHeight w:val="168"/>
        </w:trPr>
        <w:tc>
          <w:tcPr>
            <w:tcW w:w="41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Available-for-Sale Securities</w:t>
            </w:r>
          </w:p>
        </w:tc>
        <w:tc>
          <w:tcPr>
            <w:tcW w:w="2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11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69,124</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67,974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73,566</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73,106</w:t>
            </w: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HELD-TO-MATURITY SECURITIES (b)</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514</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589</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jc w:val="both"/>
        <w:ind w:left="700" w:right="3399" w:hanging="690"/>
        <w:spacing w:after="0" w:line="290"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collateralized mortgage obligations of private issuers, which generally have underlying collateral consisting of obligations of U.S. government and federal agencies and corporations.</w:t>
      </w:r>
    </w:p>
    <w:p>
      <w:pPr>
        <w:spacing w:after="0" w:line="56"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mortgage-backed securities.</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AFS securities pledged as collateral that can be sold or repledged by the secured party amounted to $30.6 billion and $28.7 billion at June 30, 2001 and December 31, 2000, respectively.</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MORTGAGE SERVICING RIGHTS</w:t>
      </w:r>
    </w:p>
    <w:p>
      <w:pPr>
        <w:spacing w:after="0" w:line="24" w:lineRule="exact"/>
        <w:rPr>
          <w:sz w:val="20"/>
          <w:szCs w:val="20"/>
          <w:color w:val="auto"/>
        </w:rPr>
      </w:pPr>
    </w:p>
    <w:p>
      <w:pPr>
        <w:ind w:right="3579"/>
        <w:spacing w:after="0" w:line="307" w:lineRule="auto"/>
        <w:rPr>
          <w:sz w:val="20"/>
          <w:szCs w:val="20"/>
          <w:color w:val="auto"/>
        </w:rPr>
      </w:pPr>
      <w:r>
        <w:rPr>
          <w:rFonts w:ascii="Courier New" w:cs="Courier New" w:eastAsia="Courier New" w:hAnsi="Courier New"/>
          <w:sz w:val="15"/>
          <w:szCs w:val="15"/>
          <w:color w:val="auto"/>
        </w:rPr>
        <w:t>The following table summarizes the changes in residential mortgage servicing rights ("MSRs"):</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SIX MONTHS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3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104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6,362</w:t>
            </w:r>
          </w:p>
        </w:tc>
        <w:tc>
          <w:tcPr>
            <w:tcW w:w="104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5,187</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Originations and Purchases of MSRs</w:t>
            </w:r>
          </w:p>
        </w:tc>
        <w:tc>
          <w:tcPr>
            <w:tcW w:w="10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1,848</w:t>
            </w:r>
          </w:p>
        </w:tc>
        <w:tc>
          <w:tcPr>
            <w:tcW w:w="10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909</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10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c>
          <w:tcPr>
            <w:tcW w:w="10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Pre-SFAS 133 Hedging Activities</w:t>
            </w:r>
          </w:p>
        </w:tc>
        <w:tc>
          <w:tcPr>
            <w:tcW w:w="10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MSRs</w:t>
            </w:r>
          </w:p>
        </w:tc>
        <w:tc>
          <w:tcPr>
            <w:tcW w:w="10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(499)</w:t>
            </w:r>
          </w:p>
        </w:tc>
        <w:tc>
          <w:tcPr>
            <w:tcW w:w="10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(310)</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SFAS 133 Hedge Valuation Adjustments</w:t>
            </w:r>
          </w:p>
        </w:tc>
        <w:tc>
          <w:tcPr>
            <w:tcW w:w="10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w:t>
            </w:r>
          </w:p>
        </w:tc>
        <w:tc>
          <w:tcPr>
            <w:tcW w:w="10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Valuation Allowance</w:t>
            </w:r>
          </w:p>
        </w:tc>
        <w:tc>
          <w:tcPr>
            <w:tcW w:w="10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(474)</w:t>
            </w:r>
          </w:p>
        </w:tc>
        <w:tc>
          <w:tcPr>
            <w:tcW w:w="10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June 30,</w:t>
            </w: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1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7,073</w:t>
            </w:r>
          </w:p>
        </w:tc>
        <w:tc>
          <w:tcPr>
            <w:tcW w:w="1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5,739</w:t>
            </w: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Estimated Fair Value at June 30,</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1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7,100</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54" w:orient="portrait"/>
          <w:cols w:equalWidth="0" w:num="1">
            <w:col w:w="10239"/>
          </w:cols>
          <w:pgMar w:left="220" w:top="261"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Weighted-Average</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Prepayment Speed Assumption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11.07%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CPR</w:t>
            </w:r>
          </w:p>
        </w:tc>
      </w:tr>
      <w:tr>
        <w:trPr>
          <w:trHeight w:val="245"/>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Weighted-Average</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Discount Rate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9.27%</w:t>
            </w:r>
          </w:p>
        </w:tc>
        <w:tc>
          <w:tcPr>
            <w:tcW w:w="300" w:type="dxa"/>
            <w:vAlign w:val="bottom"/>
          </w:tcPr>
          <w:p>
            <w:pPr>
              <w:spacing w:after="0"/>
              <w:rPr>
                <w:sz w:val="21"/>
                <w:szCs w:val="21"/>
                <w:color w:val="auto"/>
              </w:rPr>
            </w:pPr>
          </w:p>
        </w:tc>
      </w:tr>
    </w:tbl>
    <w:p>
      <w:pPr>
        <w:spacing w:after="0" w:line="259"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CPR - Constant prepayment rate.</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309"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Various interest rate derivatives are designated as fair value hedges of residential mortgage servicing rights. SFAS 133 hedge valuation adjustments are adjustments to the carrying value of the MSRs. For the six months ended June 30, 2001, the SFAS 133 hedge valuation adjustments, which include the impact of adopting SFAS 133, totaled $81 million. These losses were partially offset by derivative gains, including SFAS 133 hedges, of $66 million. In addition, certain AFS securities are used as economic hedges of the MSRs with gains on sales of the securities partially offsetting impairment losses on the MSRs. During the six months 2001, there was a $474 million unfavorable change in the valuation allowance, partially offset by $315 million of realized AFS security gains.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SUBORDINATED DEFERRABLE INTEREST DEBENTURES</w:t>
      </w:r>
    </w:p>
    <w:p>
      <w:pPr>
        <w:spacing w:after="0" w:line="2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At June 30, 2001, 11 wholly owned Delaware statutory business trusts established by JPMorgan Chase had issued an aggregate $4,439 million of capital securities, net of discount. There were no issuances or redemptions of capital securities during the second quarter of 2001. For a discussion of these business trusts, see page 78 of JPMorgan Chase's 2000 Annual Report and Note 8 of JPMorgan Chase's March 31, 2001 Form 10-Q.</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EARNINGS PER SHARE</w:t>
      </w:r>
    </w:p>
    <w:p>
      <w:pPr>
        <w:spacing w:after="0" w:line="24"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For a discussion of JPMorgan Chase's earnings per share ("EPS"), see Note 17 of the 2000 Annual Report. For the calculation of basic and diluted EPS for the second quarter and six months ended June 30, 2001 and 2000, see Exhibit 11 on page 57.</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COMPREHENSIVE INCOME</w:t>
      </w:r>
    </w:p>
    <w:p>
      <w:pPr>
        <w:spacing w:after="0" w:line="24"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5"/>
          <w:szCs w:val="15"/>
          <w:color w:val="auto"/>
        </w:rPr>
        <w:t>Comprehensive income is composed of net income and other comprehensive income, which includes the after-tax change in unrealized gains and losses on AFS securities, cash flow hedging activities and foreign currency translation adjustments.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SIX MONTHS ENDED JUNE 30,</w:t>
            </w: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78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gridSpan w:val="2"/>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ACCUMULATED</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88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UNREALIZED</w:t>
            </w:r>
          </w:p>
        </w:tc>
        <w:tc>
          <w:tcPr>
            <w:tcW w:w="196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TRANSLATION</w:t>
            </w:r>
          </w:p>
        </w:tc>
        <w:tc>
          <w:tcPr>
            <w:tcW w:w="220" w:type="dxa"/>
            <w:vAlign w:val="bottom"/>
          </w:tcPr>
          <w:p>
            <w:pPr>
              <w:spacing w:after="0"/>
              <w:rPr>
                <w:sz w:val="14"/>
                <w:szCs w:val="14"/>
                <w:color w:val="auto"/>
              </w:rPr>
            </w:pPr>
          </w:p>
        </w:tc>
        <w:tc>
          <w:tcPr>
            <w:tcW w:w="13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3"/>
              </w:rPr>
              <w:t>CASH FLOW</w:t>
            </w:r>
          </w:p>
        </w:tc>
        <w:tc>
          <w:tcPr>
            <w:tcW w:w="520" w:type="dxa"/>
            <w:vAlign w:val="bottom"/>
          </w:tcPr>
          <w:p>
            <w:pPr>
              <w:spacing w:after="0"/>
              <w:rPr>
                <w:sz w:val="14"/>
                <w:szCs w:val="14"/>
                <w:color w:val="auto"/>
              </w:rPr>
            </w:pPr>
          </w:p>
        </w:tc>
        <w:tc>
          <w:tcPr>
            <w:tcW w:w="8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OTHER</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0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8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GAINS(LOSSES)</w:t>
            </w:r>
          </w:p>
        </w:tc>
        <w:tc>
          <w:tcPr>
            <w:tcW w:w="19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HEDGES</w:t>
            </w:r>
          </w:p>
        </w:tc>
        <w:tc>
          <w:tcPr>
            <w:tcW w:w="140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INCOME (LOSS)</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left="1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242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(244)</w:t>
            </w:r>
          </w:p>
        </w:tc>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w:t>
            </w: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during Period</w:t>
            </w:r>
          </w:p>
        </w:tc>
        <w:tc>
          <w:tcPr>
            <w:tcW w:w="5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(457)</w:t>
            </w:r>
          </w:p>
        </w:tc>
        <w:tc>
          <w:tcPr>
            <w:tcW w:w="740" w:type="dxa"/>
            <w:vAlign w:val="bottom"/>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(9) (b)</w:t>
            </w:r>
          </w:p>
        </w:tc>
        <w:tc>
          <w:tcPr>
            <w:tcW w:w="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 (d)</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(593)</w:t>
            </w:r>
          </w:p>
        </w:tc>
        <w:tc>
          <w:tcPr>
            <w:tcW w:w="0" w:type="dxa"/>
            <w:vAlign w:val="bottom"/>
          </w:tcPr>
          <w:p>
            <w:pPr>
              <w:spacing w:after="0"/>
              <w:rPr>
                <w:sz w:val="1"/>
                <w:szCs w:val="1"/>
                <w:color w:val="auto"/>
              </w:rPr>
            </w:pPr>
          </w:p>
        </w:tc>
      </w:tr>
      <w:tr>
        <w:trPr>
          <w:trHeight w:val="168"/>
        </w:trPr>
        <w:tc>
          <w:tcPr>
            <w:tcW w:w="2420" w:type="dxa"/>
            <w:vAlign w:val="bottom"/>
            <w:vMerge w:val="restart"/>
          </w:tcPr>
          <w:p>
            <w:pPr>
              <w:spacing w:after="0"/>
              <w:rPr>
                <w:sz w:val="20"/>
                <w:szCs w:val="20"/>
                <w:color w:val="auto"/>
              </w:rPr>
            </w:pPr>
            <w:r>
              <w:rPr>
                <w:rFonts w:ascii="Courier New" w:cs="Courier New" w:eastAsia="Courier New" w:hAnsi="Courier New"/>
                <w:sz w:val="15"/>
                <w:szCs w:val="15"/>
                <w:color w:val="auto"/>
              </w:rPr>
              <w:t>Ending Balance</w:t>
            </w:r>
          </w:p>
        </w:tc>
        <w:tc>
          <w:tcPr>
            <w:tcW w:w="56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(701) (a)</w:t>
            </w:r>
          </w:p>
        </w:tc>
        <w:tc>
          <w:tcPr>
            <w:tcW w:w="1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4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(6) (c)</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(127)</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(834)</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78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gridSpan w:val="2"/>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Accumulated</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88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Unrealized</w:t>
            </w:r>
          </w:p>
        </w:tc>
        <w:tc>
          <w:tcPr>
            <w:tcW w:w="196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Translation</w:t>
            </w:r>
          </w:p>
        </w:tc>
        <w:tc>
          <w:tcPr>
            <w:tcW w:w="220" w:type="dxa"/>
            <w:vAlign w:val="bottom"/>
          </w:tcPr>
          <w:p>
            <w:pPr>
              <w:spacing w:after="0"/>
              <w:rPr>
                <w:sz w:val="14"/>
                <w:szCs w:val="14"/>
                <w:color w:val="auto"/>
              </w:rPr>
            </w:pPr>
          </w:p>
        </w:tc>
        <w:tc>
          <w:tcPr>
            <w:tcW w:w="13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3"/>
              </w:rPr>
              <w:t>Cash Flow</w:t>
            </w:r>
          </w:p>
        </w:tc>
        <w:tc>
          <w:tcPr>
            <w:tcW w:w="520" w:type="dxa"/>
            <w:vAlign w:val="bottom"/>
          </w:tcPr>
          <w:p>
            <w:pPr>
              <w:spacing w:after="0"/>
              <w:rPr>
                <w:sz w:val="14"/>
                <w:szCs w:val="14"/>
                <w:color w:val="auto"/>
              </w:rPr>
            </w:pPr>
          </w:p>
        </w:tc>
        <w:tc>
          <w:tcPr>
            <w:tcW w:w="8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Other</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0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8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Gains(Losses)</w:t>
            </w:r>
          </w:p>
        </w:tc>
        <w:tc>
          <w:tcPr>
            <w:tcW w:w="19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Hedges</w:t>
            </w:r>
          </w:p>
        </w:tc>
        <w:tc>
          <w:tcPr>
            <w:tcW w:w="140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Income (Loss)</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left="1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242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(1,427)</w:t>
            </w:r>
          </w:p>
        </w:tc>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N/A</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(1,428)</w:t>
            </w: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during Period</w:t>
            </w:r>
          </w:p>
        </w:tc>
        <w:tc>
          <w:tcPr>
            <w:tcW w:w="560" w:type="dxa"/>
            <w:vAlign w:val="bottom"/>
          </w:tcPr>
          <w:p>
            <w:pPr>
              <w:spacing w:after="0"/>
              <w:rPr>
                <w:sz w:val="14"/>
                <w:szCs w:val="14"/>
                <w:color w:val="auto"/>
              </w:rPr>
            </w:pPr>
          </w:p>
        </w:tc>
        <w:tc>
          <w:tcPr>
            <w:tcW w:w="13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143</w:t>
            </w:r>
          </w:p>
        </w:tc>
        <w:tc>
          <w:tcPr>
            <w:tcW w:w="740" w:type="dxa"/>
            <w:vAlign w:val="bottom"/>
          </w:tcPr>
          <w:p>
            <w:pPr>
              <w:spacing w:after="0"/>
              <w:rPr>
                <w:sz w:val="14"/>
                <w:szCs w:val="14"/>
                <w:color w:val="auto"/>
              </w:rPr>
            </w:pPr>
          </w:p>
        </w:tc>
        <w:tc>
          <w:tcPr>
            <w:tcW w:w="1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N/A</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68"/>
        </w:trPr>
        <w:tc>
          <w:tcPr>
            <w:tcW w:w="2420" w:type="dxa"/>
            <w:vAlign w:val="bottom"/>
            <w:vMerge w:val="restart"/>
          </w:tcPr>
          <w:p>
            <w:pPr>
              <w:spacing w:after="0"/>
              <w:rPr>
                <w:sz w:val="20"/>
                <w:szCs w:val="20"/>
                <w:color w:val="auto"/>
              </w:rPr>
            </w:pPr>
            <w:r>
              <w:rPr>
                <w:rFonts w:ascii="Courier New" w:cs="Courier New" w:eastAsia="Courier New" w:hAnsi="Courier New"/>
                <w:sz w:val="15"/>
                <w:szCs w:val="15"/>
                <w:color w:val="auto"/>
              </w:rPr>
              <w:t>Ending Balance</w:t>
            </w:r>
          </w:p>
        </w:tc>
        <w:tc>
          <w:tcPr>
            <w:tcW w:w="56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4"/>
              </w:rPr>
              <w:t>(1,284) (a)</w:t>
            </w:r>
          </w:p>
        </w:tc>
        <w:tc>
          <w:tcPr>
            <w:tcW w:w="1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4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3 (c)</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N/A</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(1,281)</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3579" w:hanging="350"/>
        <w:spacing w:after="0" w:line="25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represents the after-tax difference between the fair value and amortized cost of the available-for-sale securities portfolio.</w:t>
      </w:r>
    </w:p>
    <w:p>
      <w:pPr>
        <w:spacing w:after="0" w:line="1" w:lineRule="exact"/>
        <w:rPr>
          <w:rFonts w:ascii="Courier New" w:cs="Courier New" w:eastAsia="Courier New" w:hAnsi="Courier New"/>
          <w:sz w:val="15"/>
          <w:szCs w:val="15"/>
          <w:color w:val="auto"/>
        </w:rPr>
      </w:pPr>
    </w:p>
    <w:p>
      <w:pPr>
        <w:ind w:left="360" w:right="3499" w:hanging="350"/>
        <w:spacing w:after="0" w:line="254"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$313 million of after-tax losses on foreign currency translation from operations for which the functional currency is other than the U.S. dollar, which are offset by $304 million of after-tax gains on hedges.</w:t>
      </w:r>
    </w:p>
    <w:p>
      <w:pPr>
        <w:spacing w:after="0" w:line="1" w:lineRule="exact"/>
        <w:rPr>
          <w:rFonts w:ascii="Courier New" w:cs="Courier New" w:eastAsia="Courier New" w:hAnsi="Courier New"/>
          <w:sz w:val="14"/>
          <w:szCs w:val="14"/>
          <w:color w:val="auto"/>
        </w:rPr>
      </w:pPr>
    </w:p>
    <w:p>
      <w:pPr>
        <w:ind w:left="360" w:right="3319" w:hanging="350"/>
        <w:spacing w:after="0" w:line="254"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after-tax gains and losses on foreign currency translation from operations for which the functional currency is other than the U.S. dollar.</w:t>
      </w:r>
    </w:p>
    <w:p>
      <w:pPr>
        <w:ind w:left="360" w:right="3399" w:hanging="350"/>
        <w:spacing w:after="0" w:line="254"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 million of after-tax losses reclassified to income and $143 million of after-tax losses representing the net change in derivative fair</w:t>
      </w:r>
    </w:p>
    <w:p>
      <w:pPr>
        <w:spacing w:after="0" w:line="1" w:lineRule="exact"/>
        <w:rPr>
          <w:sz w:val="20"/>
          <w:szCs w:val="20"/>
          <w:color w:val="auto"/>
        </w:rPr>
      </w:pPr>
    </w:p>
    <w:p>
      <w:pPr>
        <w:ind w:left="360" w:right="3319"/>
        <w:spacing w:after="0" w:line="254" w:lineRule="auto"/>
        <w:rPr>
          <w:sz w:val="20"/>
          <w:szCs w:val="20"/>
          <w:color w:val="auto"/>
        </w:rPr>
      </w:pPr>
      <w:r>
        <w:rPr>
          <w:rFonts w:ascii="Courier New" w:cs="Courier New" w:eastAsia="Courier New" w:hAnsi="Courier New"/>
          <w:sz w:val="14"/>
          <w:szCs w:val="14"/>
          <w:color w:val="auto"/>
        </w:rPr>
        <w:t>values and the impact of the adoption of SFAS 133 that were recorded in comprehensive income. The net derivative amounts included in OCI as of June 30, 2001 are expected to be reclassified into earnings through 2011.</w:t>
      </w:r>
    </w:p>
    <w:p>
      <w:pPr>
        <w:spacing w:after="0" w:line="1" w:lineRule="exact"/>
        <w:rPr>
          <w:sz w:val="20"/>
          <w:szCs w:val="20"/>
          <w:color w:val="auto"/>
        </w:rPr>
      </w:pPr>
    </w:p>
    <w:p>
      <w:pPr>
        <w:ind w:right="3239"/>
        <w:spacing w:after="0" w:line="346" w:lineRule="auto"/>
        <w:rPr>
          <w:sz w:val="20"/>
          <w:szCs w:val="20"/>
          <w:color w:val="auto"/>
        </w:rPr>
      </w:pPr>
      <w:r>
        <w:rPr>
          <w:rFonts w:ascii="Courier New" w:cs="Courier New" w:eastAsia="Courier New" w:hAnsi="Courier New"/>
          <w:sz w:val="14"/>
          <w:szCs w:val="14"/>
          <w:color w:val="auto"/>
        </w:rPr>
        <w:t>N/A - Not applicable, as SFAS 133 was adopted effective January 1, 2001. ================================================================================</w:t>
      </w:r>
    </w:p>
    <w:p>
      <w:pPr>
        <w:spacing w:after="0" w:line="18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705"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CAPITAL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discussion of the calculation of risk-based capital ratios, see Note 23 of</w:t>
      </w:r>
    </w:p>
    <w:p>
      <w:pPr>
        <w:spacing w:after="0"/>
        <w:rPr>
          <w:sz w:val="20"/>
          <w:szCs w:val="20"/>
          <w:color w:val="auto"/>
        </w:rPr>
      </w:pPr>
      <w:r>
        <w:rPr>
          <w:rFonts w:ascii="Courier New" w:cs="Courier New" w:eastAsia="Courier New" w:hAnsi="Courier New"/>
          <w:sz w:val="15"/>
          <w:szCs w:val="15"/>
          <w:color w:val="auto"/>
        </w:rPr>
        <w:t>JPMorgan Chase's 2000 Annual Report.</w:t>
      </w:r>
    </w:p>
    <w:p>
      <w:pPr>
        <w:spacing w:after="0" w:line="140"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The following table presents the risk-based capital ratios for JPMorgan Chase and its significant banking subsidiaries. At June 30, 2001, the Firm and each of its depository institutions, including those listed in the table below, were "well-capitalized" as defined by banking regulators.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SIGNIFICANT BANKING SUBSIDIARIES</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2001</w:t>
            </w:r>
          </w:p>
        </w:tc>
        <w:tc>
          <w:tcPr>
            <w:tcW w:w="1940" w:type="dxa"/>
            <w:vAlign w:val="bottom"/>
          </w:tcPr>
          <w:p>
            <w:pPr>
              <w:spacing w:after="0"/>
              <w:rPr>
                <w:sz w:val="14"/>
                <w:szCs w:val="14"/>
                <w:color w:val="auto"/>
              </w:rPr>
            </w:pPr>
          </w:p>
        </w:tc>
        <w:tc>
          <w:tcPr>
            <w:tcW w:w="450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580" w:type="dxa"/>
            <w:vAlign w:val="bottom"/>
            <w:vMerge w:val="continue"/>
          </w:tcPr>
          <w:p>
            <w:pPr>
              <w:spacing w:after="0"/>
              <w:rPr>
                <w:sz w:val="14"/>
                <w:szCs w:val="14"/>
                <w:color w:val="auto"/>
              </w:rPr>
            </w:pPr>
          </w:p>
        </w:tc>
        <w:tc>
          <w:tcPr>
            <w:tcW w:w="19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JPMORGAN CHASE (a)</w:t>
            </w:r>
          </w:p>
        </w:tc>
        <w:tc>
          <w:tcPr>
            <w:tcW w:w="38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THE CHASE</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MORGAN</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CHASE USA</w:t>
            </w:r>
          </w:p>
        </w:tc>
        <w:tc>
          <w:tcPr>
            <w:tcW w:w="0" w:type="dxa"/>
            <w:vAlign w:val="bottom"/>
          </w:tcPr>
          <w:p>
            <w:pPr>
              <w:spacing w:after="0"/>
              <w:rPr>
                <w:sz w:val="1"/>
                <w:szCs w:val="1"/>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except ratios)</w:t>
            </w:r>
          </w:p>
        </w:tc>
        <w:tc>
          <w:tcPr>
            <w:tcW w:w="1940" w:type="dxa"/>
            <w:vAlign w:val="bottom"/>
            <w:vMerge w:val="continue"/>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MANHATTAN BANK</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GUARANTY TRUST CO.</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Tier 1 Capital</w:t>
            </w:r>
          </w:p>
        </w:tc>
        <w:tc>
          <w:tcPr>
            <w:tcW w:w="19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$ 39,069</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21,804</w:t>
            </w:r>
          </w:p>
        </w:tc>
        <w:tc>
          <w:tcPr>
            <w:tcW w:w="1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$ 10,873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3,338</w:t>
            </w:r>
          </w:p>
        </w:tc>
        <w:tc>
          <w:tcPr>
            <w:tcW w:w="0" w:type="dxa"/>
            <w:vAlign w:val="bottom"/>
          </w:tcPr>
          <w:p>
            <w:pPr>
              <w:spacing w:after="0"/>
              <w:rPr>
                <w:sz w:val="1"/>
                <w:szCs w:val="1"/>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Capital</w:t>
            </w:r>
          </w:p>
        </w:tc>
        <w:tc>
          <w:tcPr>
            <w:tcW w:w="194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55,027</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29,814</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13,356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5,138</w:t>
            </w:r>
          </w:p>
        </w:tc>
        <w:tc>
          <w:tcPr>
            <w:tcW w:w="0" w:type="dxa"/>
            <w:vAlign w:val="bottom"/>
          </w:tcPr>
          <w:p>
            <w:pPr>
              <w:spacing w:after="0"/>
              <w:rPr>
                <w:sz w:val="1"/>
                <w:szCs w:val="1"/>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Risk-Weighted Assets (b)</w:t>
            </w:r>
          </w:p>
        </w:tc>
        <w:tc>
          <w:tcPr>
            <w:tcW w:w="194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451,191</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274,378</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117,104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43,709</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Adjusted Average Assets</w:t>
            </w:r>
          </w:p>
        </w:tc>
        <w:tc>
          <w:tcPr>
            <w:tcW w:w="19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727,078</w:t>
            </w:r>
          </w:p>
        </w:tc>
        <w:tc>
          <w:tcPr>
            <w:tcW w:w="380" w:type="dxa"/>
            <w:vAlign w:val="bottom"/>
          </w:tcPr>
          <w:p>
            <w:pPr>
              <w:spacing w:after="0"/>
              <w:rPr>
                <w:sz w:val="21"/>
                <w:szCs w:val="21"/>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406,428</w:t>
            </w:r>
          </w:p>
        </w:tc>
        <w:tc>
          <w:tcPr>
            <w:tcW w:w="1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173,306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46,812</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Tier 1 Capital Ratio</w:t>
            </w:r>
          </w:p>
        </w:tc>
        <w:tc>
          <w:tcPr>
            <w:tcW w:w="19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8.66%</w:t>
            </w:r>
          </w:p>
        </w:tc>
        <w:tc>
          <w:tcPr>
            <w:tcW w:w="380" w:type="dxa"/>
            <w:vAlign w:val="bottom"/>
          </w:tcPr>
          <w:p>
            <w:pPr>
              <w:spacing w:after="0"/>
              <w:rPr>
                <w:sz w:val="22"/>
                <w:szCs w:val="22"/>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7.95%</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9.28%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7.64%</w:t>
            </w:r>
          </w:p>
        </w:tc>
        <w:tc>
          <w:tcPr>
            <w:tcW w:w="0" w:type="dxa"/>
            <w:vAlign w:val="bottom"/>
          </w:tcPr>
          <w:p>
            <w:pPr>
              <w:spacing w:after="0"/>
              <w:rPr>
                <w:sz w:val="1"/>
                <w:szCs w:val="1"/>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Capital Ratio</w:t>
            </w:r>
          </w:p>
        </w:tc>
        <w:tc>
          <w:tcPr>
            <w:tcW w:w="194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12.20</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10.87</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11.41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11.76</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Tier 1 Leverage Ratio</w:t>
            </w:r>
          </w:p>
        </w:tc>
        <w:tc>
          <w:tcPr>
            <w:tcW w:w="19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5.37</w:t>
            </w:r>
          </w:p>
        </w:tc>
        <w:tc>
          <w:tcPr>
            <w:tcW w:w="380" w:type="dxa"/>
            <w:vAlign w:val="bottom"/>
          </w:tcPr>
          <w:p>
            <w:pPr>
              <w:spacing w:after="0"/>
              <w:rPr>
                <w:sz w:val="21"/>
                <w:szCs w:val="21"/>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5.36</w:t>
            </w:r>
          </w:p>
        </w:tc>
        <w:tc>
          <w:tcPr>
            <w:tcW w:w="1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6.27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7.13</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3759" w:hanging="350"/>
        <w:spacing w:after="0" w:line="246"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capital amounts for JPMorgan Chase's significant banking subsidiaries reflect intercompany transactions, whereas the respective amounts for JPMorgan Chase reflect the elimination of intercompany transactions.</w:t>
      </w:r>
    </w:p>
    <w:p>
      <w:pPr>
        <w:spacing w:after="0" w:line="2" w:lineRule="exact"/>
        <w:rPr>
          <w:rFonts w:ascii="Courier New" w:cs="Courier New" w:eastAsia="Courier New" w:hAnsi="Courier New"/>
          <w:sz w:val="15"/>
          <w:szCs w:val="15"/>
          <w:color w:val="auto"/>
        </w:rPr>
      </w:pPr>
    </w:p>
    <w:p>
      <w:pPr>
        <w:ind w:left="360" w:right="3399" w:hanging="350"/>
        <w:spacing w:after="0" w:line="272"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Risk-weighted assets include off-balance sheet risk-weighted assets in the amounts of $147,395 million, $87,525 million, $56,041 million and $3,565 million, respectively.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INTEREST INCOME AND INTEREST EXPENSE</w:t>
      </w:r>
    </w:p>
    <w:p>
      <w:pPr>
        <w:spacing w:after="0" w:line="24" w:lineRule="exact"/>
        <w:rPr>
          <w:sz w:val="20"/>
          <w:szCs w:val="20"/>
          <w:color w:val="auto"/>
        </w:rPr>
      </w:pPr>
    </w:p>
    <w:p>
      <w:pPr>
        <w:ind w:right="3759"/>
        <w:spacing w:after="0" w:line="307" w:lineRule="auto"/>
        <w:rPr>
          <w:sz w:val="20"/>
          <w:szCs w:val="20"/>
          <w:color w:val="auto"/>
        </w:rPr>
      </w:pPr>
      <w:r>
        <w:rPr>
          <w:rFonts w:ascii="Courier New" w:cs="Courier New" w:eastAsia="Courier New" w:hAnsi="Courier New"/>
          <w:sz w:val="15"/>
          <w:szCs w:val="15"/>
          <w:color w:val="auto"/>
        </w:rPr>
        <w:t>The following table details the components of interest income and interest expense.</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700" w:type="dxa"/>
            <w:vAlign w:val="bottom"/>
          </w:tcPr>
          <w:p>
            <w:pPr>
              <w:spacing w:after="0"/>
              <w:rPr>
                <w:sz w:val="14"/>
                <w:szCs w:val="14"/>
                <w:color w:val="auto"/>
              </w:rPr>
            </w:pPr>
          </w:p>
        </w:tc>
        <w:tc>
          <w:tcPr>
            <w:tcW w:w="258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SECOND QUARTER</w:t>
            </w:r>
          </w:p>
        </w:tc>
        <w:tc>
          <w:tcPr>
            <w:tcW w:w="160" w:type="dxa"/>
            <w:vAlign w:val="bottom"/>
          </w:tcPr>
          <w:p>
            <w:pPr>
              <w:spacing w:after="0"/>
              <w:rPr>
                <w:sz w:val="14"/>
                <w:szCs w:val="14"/>
                <w:color w:val="auto"/>
              </w:rPr>
            </w:pPr>
          </w:p>
        </w:tc>
        <w:tc>
          <w:tcPr>
            <w:tcW w:w="20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328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1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1"/>
                <w:szCs w:val="21"/>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4,090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$ 4,118</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8,059</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985</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1,082</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2,038</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2,234</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1,860</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1,753</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3,691</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3,270</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w:t>
            </w:r>
          </w:p>
        </w:tc>
        <w:tc>
          <w:tcPr>
            <w:tcW w:w="700" w:type="dxa"/>
            <w:vAlign w:val="bottom"/>
          </w:tcPr>
          <w:p>
            <w:pPr>
              <w:spacing w:after="0"/>
              <w:rPr>
                <w:sz w:val="14"/>
                <w:szCs w:val="14"/>
                <w:color w:val="auto"/>
              </w:rPr>
            </w:pPr>
          </w:p>
        </w:tc>
        <w:tc>
          <w:tcPr>
            <w:tcW w:w="11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1,076</w:t>
            </w:r>
          </w:p>
        </w:tc>
        <w:tc>
          <w:tcPr>
            <w:tcW w:w="14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1,201</w:t>
            </w:r>
          </w:p>
        </w:tc>
        <w:tc>
          <w:tcPr>
            <w:tcW w:w="160" w:type="dxa"/>
            <w:vAlign w:val="bottom"/>
          </w:tcPr>
          <w:p>
            <w:pPr>
              <w:spacing w:after="0"/>
              <w:rPr>
                <w:sz w:val="14"/>
                <w:szCs w:val="14"/>
                <w:color w:val="auto"/>
              </w:rPr>
            </w:pP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2,272</w:t>
            </w:r>
          </w:p>
        </w:tc>
        <w:tc>
          <w:tcPr>
            <w:tcW w:w="260" w:type="dxa"/>
            <w:vAlign w:val="bottom"/>
          </w:tcPr>
          <w:p>
            <w:pPr>
              <w:spacing w:after="0"/>
              <w:rPr>
                <w:sz w:val="14"/>
                <w:szCs w:val="14"/>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2,291</w:t>
            </w:r>
          </w:p>
        </w:tc>
        <w:tc>
          <w:tcPr>
            <w:tcW w:w="0" w:type="dxa"/>
            <w:vAlign w:val="bottom"/>
          </w:tcPr>
          <w:p>
            <w:pPr>
              <w:spacing w:after="0"/>
              <w:rPr>
                <w:sz w:val="1"/>
                <w:szCs w:val="1"/>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Purchased under Resale Agreements</w:t>
            </w:r>
          </w:p>
        </w:tc>
        <w:tc>
          <w:tcPr>
            <w:tcW w:w="7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347</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528</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840</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1,056</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111</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176</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 INCOME</w:t>
            </w:r>
          </w:p>
        </w:tc>
        <w:tc>
          <w:tcPr>
            <w:tcW w:w="18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78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8,469</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8,858</w:t>
            </w:r>
          </w:p>
        </w:tc>
        <w:tc>
          <w:tcPr>
            <w:tcW w:w="160" w:type="dxa"/>
            <w:vAlign w:val="bottom"/>
          </w:tcPr>
          <w:p>
            <w:pPr>
              <w:spacing w:after="0"/>
              <w:rPr>
                <w:sz w:val="21"/>
                <w:szCs w:val="21"/>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17,649</w:t>
            </w:r>
          </w:p>
        </w:tc>
        <w:tc>
          <w:tcPr>
            <w:tcW w:w="26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17,298</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c>
          <w:tcPr>
            <w:tcW w:w="11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2,122</w:t>
            </w:r>
          </w:p>
        </w:tc>
        <w:tc>
          <w:tcPr>
            <w:tcW w:w="14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2,644</w:t>
            </w:r>
          </w:p>
        </w:tc>
        <w:tc>
          <w:tcPr>
            <w:tcW w:w="160" w:type="dxa"/>
            <w:vAlign w:val="bottom"/>
          </w:tcPr>
          <w:p>
            <w:pPr>
              <w:spacing w:after="0"/>
              <w:rPr>
                <w:sz w:val="14"/>
                <w:szCs w:val="14"/>
                <w:color w:val="auto"/>
              </w:rPr>
            </w:pP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4,758</w:t>
            </w:r>
          </w:p>
        </w:tc>
        <w:tc>
          <w:tcPr>
            <w:tcW w:w="260" w:type="dxa"/>
            <w:vAlign w:val="bottom"/>
          </w:tcPr>
          <w:p>
            <w:pPr>
              <w:spacing w:after="0"/>
              <w:rPr>
                <w:sz w:val="14"/>
                <w:szCs w:val="14"/>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5,151</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7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and Other Liabilities</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2,932</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3,147</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6,314</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5,931</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634</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773</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1,378</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1,508</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 EXPENSE</w:t>
            </w:r>
          </w:p>
        </w:tc>
        <w:tc>
          <w:tcPr>
            <w:tcW w:w="18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5,688</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6,564</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12,450</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12,590</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w:t>
            </w:r>
          </w:p>
        </w:tc>
        <w:tc>
          <w:tcPr>
            <w:tcW w:w="18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2,781</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2,294</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5,199</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4,708</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525</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328</w:t>
            </w:r>
          </w:p>
        </w:tc>
        <w:tc>
          <w:tcPr>
            <w:tcW w:w="1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972</w:t>
            </w:r>
          </w:p>
        </w:tc>
        <w:tc>
          <w:tcPr>
            <w:tcW w:w="2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670</w:t>
            </w:r>
          </w:p>
        </w:tc>
        <w:tc>
          <w:tcPr>
            <w:tcW w:w="0" w:type="dxa"/>
            <w:vAlign w:val="bottom"/>
          </w:tcPr>
          <w:p>
            <w:pPr>
              <w:spacing w:after="0"/>
              <w:rPr>
                <w:sz w:val="1"/>
                <w:szCs w:val="1"/>
                <w:color w:val="auto"/>
              </w:rPr>
            </w:pPr>
          </w:p>
        </w:tc>
      </w:tr>
      <w:tr>
        <w:trPr>
          <w:trHeight w:val="245"/>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AFTER</w:t>
            </w:r>
          </w:p>
        </w:tc>
        <w:tc>
          <w:tcPr>
            <w:tcW w:w="18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2,256</w:t>
            </w:r>
          </w:p>
        </w:tc>
        <w:tc>
          <w:tcPr>
            <w:tcW w:w="14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$ 1,966</w:t>
            </w:r>
          </w:p>
        </w:tc>
        <w:tc>
          <w:tcPr>
            <w:tcW w:w="1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4,227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4,038</w:t>
            </w: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7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8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7060" w:type="dxa"/>
            <w:vAlign w:val="bottom"/>
            <w:gridSpan w:val="4"/>
          </w:tcPr>
          <w:p>
            <w:pPr>
              <w:spacing w:after="0"/>
              <w:rPr>
                <w:sz w:val="20"/>
                <w:szCs w:val="20"/>
                <w:color w:val="auto"/>
              </w:rPr>
            </w:pPr>
            <w:r>
              <w:rPr>
                <w:rFonts w:ascii="Courier New" w:cs="Courier New" w:eastAsia="Courier New" w:hAnsi="Courier New"/>
                <w:sz w:val="15"/>
                <w:szCs w:val="15"/>
                <w:color w:val="auto"/>
                <w:w w:val="97"/>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NOTE 13 - COMMITMENTS AND CONTINGENCIES</w:t>
            </w:r>
          </w:p>
        </w:tc>
        <w:tc>
          <w:tcPr>
            <w:tcW w:w="700" w:type="dxa"/>
            <w:vAlign w:val="bottom"/>
          </w:tcPr>
          <w:p>
            <w:pPr>
              <w:spacing w:after="0"/>
              <w:rPr>
                <w:sz w:val="22"/>
                <w:szCs w:val="22"/>
                <w:color w:val="auto"/>
              </w:rPr>
            </w:pPr>
          </w:p>
        </w:tc>
        <w:tc>
          <w:tcPr>
            <w:tcW w:w="25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Item 1 of this Form 10-Q.</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For a discussion of legal proceedings, see Part II,</w:t>
            </w:r>
          </w:p>
        </w:tc>
        <w:tc>
          <w:tcPr>
            <w:tcW w:w="25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39"/>
          </w:cols>
          <w:pgMar w:left="220" w:top="261" w:right="1440" w:bottom="380" w:gutter="0" w:footer="0" w:header="0"/>
        </w:sectPr>
      </w:pPr>
    </w:p>
    <w:p>
      <w:pPr>
        <w:spacing w:after="0" w:line="5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61" w:right="1440" w:bottom="38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45"/>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0"/>
                <w:szCs w:val="20"/>
                <w:color w:val="auto"/>
              </w:rPr>
            </w:pPr>
            <w:r>
              <w:rPr>
                <w:rFonts w:ascii="Courier New" w:cs="Courier New" w:eastAsia="Courier New" w:hAnsi="Courier New"/>
                <w:sz w:val="15"/>
                <w:szCs w:val="15"/>
                <w:color w:val="auto"/>
              </w:rPr>
              <w:t>Item 1 (continued)</w:t>
            </w:r>
          </w:p>
        </w:tc>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NOTE 14 - FAIR VALUE OF FINANCIAL INSTRUMENTS</w:t>
            </w:r>
          </w:p>
        </w:tc>
        <w:tc>
          <w:tcPr>
            <w:tcW w:w="1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For a discussion of JPMorgan Chase's fair value methodologies, see Note 28 of</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JPMorgan Chase's 2000 Annual Report. The following table presents the financial</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assets and liabilities valued under SFAS 107.</w:t>
            </w: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060" w:type="dxa"/>
            <w:vAlign w:val="bottom"/>
            <w:gridSpan w:val="4"/>
          </w:tcPr>
          <w:p>
            <w:pPr>
              <w:spacing w:after="0"/>
              <w:rPr>
                <w:sz w:val="20"/>
                <w:szCs w:val="20"/>
                <w:color w:val="auto"/>
              </w:rPr>
            </w:pPr>
            <w:r>
              <w:rPr>
                <w:rFonts w:ascii="Courier New" w:cs="Courier New" w:eastAsia="Courier New" w:hAnsi="Courier New"/>
                <w:sz w:val="15"/>
                <w:szCs w:val="15"/>
                <w:color w:val="auto"/>
                <w:w w:val="97"/>
              </w:rPr>
              <w: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 billions)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JUNE 30, 2001</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December 31, 2000</w:t>
            </w:r>
          </w:p>
        </w:tc>
        <w:tc>
          <w:tcPr>
            <w:tcW w:w="0" w:type="dxa"/>
            <w:vAlign w:val="bottom"/>
          </w:tcPr>
          <w:p>
            <w:pPr>
              <w:spacing w:after="0"/>
              <w:rPr>
                <w:sz w:val="1"/>
                <w:szCs w:val="1"/>
                <w:color w:val="auto"/>
              </w:rPr>
            </w:pPr>
          </w:p>
        </w:tc>
      </w:tr>
      <w:tr>
        <w:trPr>
          <w:trHeight w:val="168"/>
        </w:trPr>
        <w:tc>
          <w:tcPr>
            <w:tcW w:w="3420" w:type="dxa"/>
            <w:vAlign w:val="bottom"/>
            <w:vMerge w:val="restart"/>
          </w:tcPr>
          <w:p>
            <w:pPr>
              <w:ind w:left="2280"/>
              <w:spacing w:after="0"/>
              <w:rPr>
                <w:sz w:val="20"/>
                <w:szCs w:val="20"/>
                <w:color w:val="auto"/>
              </w:rPr>
            </w:pPr>
            <w:r>
              <w:rPr>
                <w:rFonts w:ascii="Courier New" w:cs="Courier New" w:eastAsia="Courier New" w:hAnsi="Courier New"/>
                <w:sz w:val="4"/>
                <w:szCs w:val="4"/>
                <w:color w:val="auto"/>
                <w:w w:val="94"/>
              </w:rPr>
              <w:t>----------------------------------------</w:t>
            </w:r>
            <w:r>
              <w:rPr>
                <w:rFonts w:ascii="Courier New" w:cs="Courier New" w:eastAsia="Courier New" w:hAnsi="Courier New"/>
                <w:sz w:val="7"/>
                <w:szCs w:val="7"/>
                <w:color w:val="auto"/>
                <w:w w:val="94"/>
                <w:vertAlign w:val="subscript"/>
              </w:rPr>
              <w:t>CARRYING</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ESTIMATED</w:t>
            </w:r>
          </w:p>
        </w:tc>
        <w:tc>
          <w:tcPr>
            <w:tcW w:w="13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APPRECIATION/</w:t>
            </w:r>
          </w:p>
        </w:tc>
        <w:tc>
          <w:tcPr>
            <w:tcW w:w="3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Carrying</w:t>
            </w:r>
          </w:p>
        </w:tc>
        <w:tc>
          <w:tcPr>
            <w:tcW w:w="24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Estimated  Appreciation/</w:t>
            </w:r>
          </w:p>
        </w:tc>
        <w:tc>
          <w:tcPr>
            <w:tcW w:w="0" w:type="dxa"/>
            <w:vAlign w:val="bottom"/>
          </w:tcPr>
          <w:p>
            <w:pPr>
              <w:spacing w:after="0"/>
              <w:rPr>
                <w:sz w:val="1"/>
                <w:szCs w:val="1"/>
                <w:color w:val="auto"/>
              </w:rPr>
            </w:pPr>
          </w:p>
        </w:tc>
      </w:tr>
      <w:tr>
        <w:trPr>
          <w:trHeight w:val="194"/>
        </w:trPr>
        <w:tc>
          <w:tcPr>
            <w:tcW w:w="3420" w:type="dxa"/>
            <w:vAlign w:val="bottom"/>
          </w:tcPr>
          <w:p>
            <w:pPr>
              <w:ind w:left="2460"/>
              <w:spacing w:after="0"/>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FAIR VALUE</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(DEPRECIATION)</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Value</w:t>
            </w:r>
          </w:p>
        </w:tc>
        <w:tc>
          <w:tcPr>
            <w:tcW w:w="2400" w:type="dxa"/>
            <w:vAlign w:val="bottom"/>
          </w:tcPr>
          <w:p>
            <w:pPr>
              <w:ind w:left="200"/>
              <w:spacing w:after="0"/>
              <w:rPr>
                <w:sz w:val="20"/>
                <w:szCs w:val="20"/>
                <w:color w:val="auto"/>
              </w:rPr>
            </w:pPr>
            <w:r>
              <w:rPr>
                <w:rFonts w:ascii="Courier New" w:cs="Courier New" w:eastAsia="Courier New" w:hAnsi="Courier New"/>
                <w:sz w:val="15"/>
                <w:szCs w:val="15"/>
                <w:color w:val="auto"/>
                <w:w w:val="96"/>
              </w:rPr>
              <w:t>Fair Value (Depreciation)</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Financial Assets</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689.5</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693.4</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3.9</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691.0</w:t>
            </w:r>
          </w:p>
        </w:tc>
        <w:tc>
          <w:tcPr>
            <w:tcW w:w="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$ 2.1</w:t>
            </w:r>
          </w:p>
        </w:tc>
        <w:tc>
          <w:tcPr>
            <w:tcW w:w="0" w:type="dxa"/>
            <w:vAlign w:val="bottom"/>
          </w:tcPr>
          <w:p>
            <w:pPr>
              <w:spacing w:after="0"/>
              <w:rPr>
                <w:sz w:val="1"/>
                <w:szCs w:val="1"/>
                <w:color w:val="auto"/>
              </w:rPr>
            </w:pPr>
          </w:p>
        </w:tc>
      </w:tr>
      <w:tr>
        <w:trPr>
          <w:trHeight w:val="245"/>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Total Financial</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320" w:type="dxa"/>
            <w:vAlign w:val="bottom"/>
            <w:vMerge w:val="continue"/>
          </w:tcPr>
          <w:p>
            <w:pPr>
              <w:spacing w:after="0"/>
              <w:rPr>
                <w:sz w:val="7"/>
                <w:szCs w:val="7"/>
                <w:color w:val="auto"/>
              </w:rPr>
            </w:pPr>
          </w:p>
        </w:tc>
        <w:tc>
          <w:tcPr>
            <w:tcW w:w="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668.9</w:t>
            </w:r>
          </w:p>
        </w:tc>
        <w:tc>
          <w:tcPr>
            <w:tcW w:w="3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668.8</w:t>
            </w:r>
          </w:p>
        </w:tc>
        <w:tc>
          <w:tcPr>
            <w:tcW w:w="520" w:type="dxa"/>
            <w:vAlign w:val="bottom"/>
          </w:tcPr>
          <w:p>
            <w:pPr>
              <w:spacing w:after="0"/>
              <w:rPr>
                <w:sz w:val="7"/>
                <w:szCs w:val="7"/>
                <w:color w:val="auto"/>
              </w:rPr>
            </w:pPr>
          </w:p>
        </w:tc>
        <w:tc>
          <w:tcPr>
            <w:tcW w:w="8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0.1</w:t>
            </w:r>
          </w:p>
        </w:tc>
        <w:tc>
          <w:tcPr>
            <w:tcW w:w="5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670.3</w:t>
            </w:r>
          </w:p>
        </w:tc>
        <w:tc>
          <w:tcPr>
            <w:tcW w:w="3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670.3</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1"/>
                <w:szCs w:val="21"/>
                <w:color w:val="auto"/>
              </w:rPr>
            </w:pP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320" w:type="dxa"/>
            <w:vAlign w:val="bottom"/>
          </w:tcPr>
          <w:p>
            <w:pPr>
              <w:spacing w:after="0"/>
              <w:rPr>
                <w:sz w:val="20"/>
                <w:szCs w:val="20"/>
                <w:color w:val="auto"/>
              </w:rPr>
            </w:pPr>
            <w:r>
              <w:rPr>
                <w:rFonts w:ascii="Courier New" w:cs="Courier New" w:eastAsia="Courier New" w:hAnsi="Courier New"/>
                <w:sz w:val="15"/>
                <w:szCs w:val="15"/>
                <w:color w:val="auto"/>
              </w:rPr>
              <w:t>Estimated Fair Value in</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4.0</w:t>
            </w: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$ 2.1</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Excess of Carrying Value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 ACCOUNTING DEVELOPMENTS</w:t>
      </w:r>
    </w:p>
    <w:p>
      <w:pPr>
        <w:spacing w:after="0" w:line="24" w:lineRule="exact"/>
        <w:rPr>
          <w:sz w:val="20"/>
          <w:szCs w:val="20"/>
          <w:color w:val="auto"/>
        </w:rPr>
      </w:pPr>
    </w:p>
    <w:p>
      <w:pPr>
        <w:ind w:right="3239"/>
        <w:spacing w:after="0" w:line="307" w:lineRule="auto"/>
        <w:rPr>
          <w:sz w:val="20"/>
          <w:szCs w:val="20"/>
          <w:color w:val="auto"/>
        </w:rPr>
      </w:pPr>
      <w:r>
        <w:rPr>
          <w:rFonts w:ascii="Courier New" w:cs="Courier New" w:eastAsia="Courier New" w:hAnsi="Courier New"/>
          <w:sz w:val="15"/>
          <w:szCs w:val="15"/>
          <w:color w:val="auto"/>
        </w:rPr>
        <w:t>For a discussion of JPMorgan Chase's recent accounting developments, see page 44 of this Form 10-Q.</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SEGMENT INFORMATION</w:t>
      </w:r>
    </w:p>
    <w:p>
      <w:pPr>
        <w:spacing w:after="0" w:line="24"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JPMorgan Chase is organized into five major businesses: Investment Bank, Investment Management &amp; Private Banking, Treasury &amp; Securities Services, JPMorgan Partners and Retail &amp; Middle Market Financial Services. These businesses are segmented based on the products and services provided, or the type of customer serviced, and reflect the manner in which financial information is currently evaluated by the Firm's management. For a further discussion concerning JPMorgan Chase's business segments, see Lines of Business Results in the Management's Discussion and Analysis ("MD&amp;A") section of this Form 10-Q on pages 17 through 25.</w:t>
      </w:r>
    </w:p>
    <w:p>
      <w:pPr>
        <w:spacing w:after="0" w:line="88"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Shareholder Value Added ("SVA") is JPMorgan Chase's primary performance measure of its businesses. SVA represents operating earnings excluding the amortization of goodwill and certain other intangibles (i.e., cash operating earnings) minus preferred dividends and an explicit charge for capital. The Firm implemented an integrated cost of capital during the first quarter of 2001. A 12% cost of capital has been used for all businesses except JPMorgan Partners. This business is charged a 15% cost of equity capital, which is equivalent to a representative after-tax hurdle rate for private equity investments. The effective cost of equity capital used in the SVA framework for JPMorgan Chase overall is 12%. All prior periods have been restated. See Management Performance Measurements in the MD&amp;A on page 25 and Note 29 of JPMorgan Chase's 2000 Annual Report for a further discussion of performance measurements and policies for cost allocation.</w:t>
      </w:r>
    </w:p>
    <w:p>
      <w:pPr>
        <w:spacing w:after="0" w:line="77"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The table below presents a reconciliation of the combined segment information to the Firm's reported net income as included in the Consolidated Statement of Income.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5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SECOND QUARTER</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2"/>
                <w:szCs w:val="2"/>
                <w:color w:val="auto"/>
              </w:rPr>
              <w:t>---------------------------</w:t>
            </w:r>
          </w:p>
        </w:tc>
        <w:tc>
          <w:tcPr>
            <w:tcW w:w="8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2001</w:t>
            </w:r>
          </w:p>
        </w:tc>
        <w:tc>
          <w:tcPr>
            <w:tcW w:w="580" w:type="dxa"/>
            <w:vAlign w:val="bottom"/>
          </w:tcPr>
          <w:p>
            <w:pPr>
              <w:spacing w:after="0"/>
              <w:rPr>
                <w:sz w:val="14"/>
                <w:szCs w:val="14"/>
                <w:color w:val="auto"/>
              </w:rPr>
            </w:pPr>
          </w:p>
        </w:tc>
        <w:tc>
          <w:tcPr>
            <w:tcW w:w="8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2000</w:t>
            </w:r>
          </w:p>
        </w:tc>
        <w:tc>
          <w:tcPr>
            <w:tcW w:w="2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2000</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Courier New" w:cs="Courier New" w:eastAsia="Courier New" w:hAnsi="Courier New"/>
                <w:sz w:val="15"/>
                <w:szCs w:val="15"/>
                <w:color w:val="auto"/>
              </w:rPr>
              <w:t>SEGMENTS' CASH OPERATING EARNINGS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899</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1,890</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4,039</w:t>
            </w:r>
          </w:p>
        </w:tc>
        <w:tc>
          <w:tcPr>
            <w:tcW w:w="0" w:type="dxa"/>
            <w:vAlign w:val="bottom"/>
          </w:tcPr>
          <w:p>
            <w:pPr>
              <w:spacing w:after="0"/>
              <w:rPr>
                <w:sz w:val="1"/>
                <w:szCs w:val="1"/>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Corporate/Reconciling Items</w:t>
            </w:r>
          </w:p>
        </w:tc>
        <w:tc>
          <w:tcPr>
            <w:tcW w:w="5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5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68"/>
        </w:trPr>
        <w:tc>
          <w:tcPr>
            <w:tcW w:w="4040" w:type="dxa"/>
            <w:vAlign w:val="bottom"/>
            <w:vMerge w:val="restart"/>
          </w:tcPr>
          <w:p>
            <w:pPr>
              <w:spacing w:after="0"/>
              <w:rPr>
                <w:sz w:val="20"/>
                <w:szCs w:val="20"/>
                <w:color w:val="auto"/>
              </w:rPr>
            </w:pPr>
            <w:r>
              <w:rPr>
                <w:rFonts w:ascii="Courier New" w:cs="Courier New" w:eastAsia="Courier New" w:hAnsi="Courier New"/>
                <w:sz w:val="15"/>
                <w:szCs w:val="15"/>
                <w:color w:val="auto"/>
              </w:rPr>
              <w:t>CONSOLIDATED CASH OPERATING EARNINGS</w:t>
            </w:r>
          </w:p>
        </w:tc>
        <w:tc>
          <w:tcPr>
            <w:tcW w:w="520" w:type="dxa"/>
            <w:vAlign w:val="bottom"/>
          </w:tcPr>
          <w:p>
            <w:pPr>
              <w:ind w:left="260"/>
              <w:spacing w:after="0"/>
              <w:rPr>
                <w:sz w:val="20"/>
                <w:szCs w:val="20"/>
                <w:color w:val="auto"/>
              </w:rPr>
            </w:pPr>
            <w:r>
              <w:rPr>
                <w:rFonts w:ascii="Courier New" w:cs="Courier New" w:eastAsia="Courier New" w:hAnsi="Courier New"/>
                <w:sz w:val="7"/>
                <w:szCs w:val="7"/>
                <w:color w:val="auto"/>
                <w:w w:val="71"/>
              </w:rPr>
              <w:t>--------</w:t>
            </w:r>
          </w:p>
        </w:tc>
        <w:tc>
          <w:tcPr>
            <w:tcW w:w="8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873</w:t>
            </w: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1,849</w:t>
            </w:r>
          </w:p>
        </w:tc>
        <w:tc>
          <w:tcPr>
            <w:tcW w:w="44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2,486</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3,930</w:t>
            </w:r>
          </w:p>
        </w:tc>
        <w:tc>
          <w:tcPr>
            <w:tcW w:w="0" w:type="dxa"/>
            <w:vAlign w:val="bottom"/>
          </w:tcPr>
          <w:p>
            <w:pPr>
              <w:spacing w:after="0"/>
              <w:rPr>
                <w:sz w:val="1"/>
                <w:szCs w:val="1"/>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5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w:t>
            </w:r>
          </w:p>
        </w:tc>
        <w:tc>
          <w:tcPr>
            <w:tcW w:w="5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68"/>
        </w:trPr>
        <w:tc>
          <w:tcPr>
            <w:tcW w:w="4040" w:type="dxa"/>
            <w:vAlign w:val="bottom"/>
            <w:vMerge w:val="restart"/>
          </w:tcPr>
          <w:p>
            <w:pPr>
              <w:spacing w:after="0"/>
              <w:rPr>
                <w:sz w:val="20"/>
                <w:szCs w:val="20"/>
                <w:color w:val="auto"/>
              </w:rPr>
            </w:pPr>
            <w:r>
              <w:rPr>
                <w:rFonts w:ascii="Courier New" w:cs="Courier New" w:eastAsia="Courier New" w:hAnsi="Courier New"/>
                <w:sz w:val="15"/>
                <w:szCs w:val="15"/>
                <w:color w:val="auto"/>
              </w:rPr>
              <w:t>CONSOLIDATED OPERATING EARNINGS</w:t>
            </w:r>
          </w:p>
        </w:tc>
        <w:tc>
          <w:tcPr>
            <w:tcW w:w="520" w:type="dxa"/>
            <w:vAlign w:val="bottom"/>
          </w:tcPr>
          <w:p>
            <w:pPr>
              <w:ind w:left="260"/>
              <w:spacing w:after="0"/>
              <w:rPr>
                <w:sz w:val="20"/>
                <w:szCs w:val="20"/>
                <w:color w:val="auto"/>
              </w:rPr>
            </w:pPr>
            <w:r>
              <w:rPr>
                <w:rFonts w:ascii="Courier New" w:cs="Courier New" w:eastAsia="Courier New" w:hAnsi="Courier New"/>
                <w:sz w:val="7"/>
                <w:szCs w:val="7"/>
                <w:color w:val="auto"/>
                <w:w w:val="71"/>
              </w:rPr>
              <w:t>--------</w:t>
            </w:r>
          </w:p>
        </w:tc>
        <w:tc>
          <w:tcPr>
            <w:tcW w:w="8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690</w:t>
            </w: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1,757</w:t>
            </w:r>
          </w:p>
        </w:tc>
        <w:tc>
          <w:tcPr>
            <w:tcW w:w="44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2,126</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3,745</w:t>
            </w:r>
          </w:p>
        </w:tc>
        <w:tc>
          <w:tcPr>
            <w:tcW w:w="0" w:type="dxa"/>
            <w:vAlign w:val="bottom"/>
          </w:tcPr>
          <w:p>
            <w:pPr>
              <w:spacing w:after="0"/>
              <w:rPr>
                <w:sz w:val="1"/>
                <w:szCs w:val="1"/>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Items and Restructuring Costs</w:t>
            </w:r>
          </w:p>
        </w:tc>
        <w:tc>
          <w:tcPr>
            <w:tcW w:w="5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(312)</w:t>
            </w:r>
          </w:p>
        </w:tc>
        <w:tc>
          <w:tcPr>
            <w:tcW w:w="5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c>
          <w:tcPr>
            <w:tcW w:w="0" w:type="dxa"/>
            <w:vAlign w:val="bottom"/>
          </w:tcPr>
          <w:p>
            <w:pPr>
              <w:spacing w:after="0"/>
              <w:rPr>
                <w:sz w:val="1"/>
                <w:szCs w:val="1"/>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Effect of Change in Accounting Principle</w:t>
            </w:r>
          </w:p>
        </w:tc>
        <w:tc>
          <w:tcPr>
            <w:tcW w:w="5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40" w:type="dxa"/>
            <w:vAlign w:val="bottom"/>
            <w:vMerge w:val="restart"/>
          </w:tcPr>
          <w:p>
            <w:pPr>
              <w:spacing w:after="0"/>
              <w:rPr>
                <w:sz w:val="20"/>
                <w:szCs w:val="20"/>
                <w:color w:val="auto"/>
              </w:rPr>
            </w:pPr>
            <w:r>
              <w:rPr>
                <w:rFonts w:ascii="Courier New" w:cs="Courier New" w:eastAsia="Courier New" w:hAnsi="Courier New"/>
                <w:sz w:val="15"/>
                <w:szCs w:val="15"/>
                <w:color w:val="auto"/>
              </w:rPr>
              <w:t>CONSOLIDATED NET INCOME</w:t>
            </w:r>
          </w:p>
        </w:tc>
        <w:tc>
          <w:tcPr>
            <w:tcW w:w="520" w:type="dxa"/>
            <w:vAlign w:val="bottom"/>
            <w:vMerge w:val="restart"/>
          </w:tcPr>
          <w:p>
            <w:pPr>
              <w:ind w:left="2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378</w:t>
            </w: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1,633</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3,621</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3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61" w:right="1440" w:bottom="368"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provides the Firm's segment results.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INVESTMENT</w:t>
            </w:r>
          </w:p>
        </w:tc>
        <w:tc>
          <w:tcPr>
            <w:tcW w:w="1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TREASURY &amp;</w:t>
            </w:r>
          </w:p>
        </w:tc>
        <w:tc>
          <w:tcPr>
            <w:tcW w:w="96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RETAIL &amp;</w:t>
            </w:r>
          </w:p>
        </w:tc>
        <w:tc>
          <w:tcPr>
            <w:tcW w:w="11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CORPORATE/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vMerge w:val="restart"/>
          </w:tcPr>
          <w:p>
            <w:pPr>
              <w:ind w:left="2280"/>
              <w:spacing w:after="0"/>
              <w:rPr>
                <w:sz w:val="20"/>
                <w:szCs w:val="20"/>
                <w:color w:val="auto"/>
              </w:rPr>
            </w:pPr>
            <w:r>
              <w:rPr>
                <w:rFonts w:ascii="Courier New" w:cs="Courier New" w:eastAsia="Courier New" w:hAnsi="Courier New"/>
                <w:sz w:val="15"/>
                <w:szCs w:val="15"/>
                <w:color w:val="auto"/>
              </w:rPr>
              <w:t>INVESTMENT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MANAGEMENT</w:t>
            </w:r>
          </w:p>
        </w:tc>
        <w:tc>
          <w:tcPr>
            <w:tcW w:w="1140" w:type="dxa"/>
            <w:vAlign w:val="bottom"/>
            <w:vMerge w:val="continue"/>
          </w:tcPr>
          <w:p>
            <w:pPr>
              <w:spacing w:after="0"/>
              <w:rPr>
                <w:sz w:val="14"/>
                <w:szCs w:val="14"/>
                <w:color w:val="auto"/>
              </w:rPr>
            </w:pPr>
          </w:p>
        </w:tc>
        <w:tc>
          <w:tcPr>
            <w:tcW w:w="9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JPMORGAN</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MIDDLE MARKET</w:t>
            </w:r>
          </w:p>
        </w:tc>
        <w:tc>
          <w:tcPr>
            <w:tcW w:w="11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vMerge w:val="continue"/>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&amp; PRIVATE</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960" w:type="dxa"/>
            <w:vAlign w:val="bottom"/>
            <w:vMerge w:val="continue"/>
          </w:tcPr>
          <w:p>
            <w:pPr>
              <w:spacing w:after="0"/>
              <w:rPr>
                <w:sz w:val="14"/>
                <w:szCs w:val="14"/>
                <w:color w:val="auto"/>
              </w:rPr>
            </w:pP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FINANCIAL</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RECONCILING</w:t>
            </w:r>
          </w:p>
        </w:tc>
        <w:tc>
          <w:tcPr>
            <w:tcW w:w="52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 millions, except ratios) BANK</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BANKING</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SERVICES</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PARTNERS</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SERVICES</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ITEMS (a)</w:t>
            </w: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SECOND QUARTER 2001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3,775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788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909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(894)</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2,642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(76)</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7,144</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 (b)</w:t>
            </w:r>
          </w:p>
        </w:tc>
        <w:tc>
          <w:tcPr>
            <w:tcW w:w="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 (b)</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Earnings</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(618)</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Operating Earnings (c)</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790</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(613)</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873</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Managed Assets (d)</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510,954</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33,495</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18,612</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11,683</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165,177</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12,573</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752,494</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SVA</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(857)</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Common</w:t>
            </w:r>
          </w:p>
        </w:tc>
        <w:tc>
          <w:tcPr>
            <w:tcW w:w="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17.1%</w:t>
            </w:r>
          </w:p>
        </w:tc>
        <w:tc>
          <w:tcPr>
            <w:tcW w:w="26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22.2%</w:t>
            </w:r>
          </w:p>
        </w:tc>
        <w:tc>
          <w:tcPr>
            <w:tcW w:w="300" w:type="dxa"/>
            <w:vAlign w:val="bottom"/>
          </w:tcPr>
          <w:p>
            <w:pPr>
              <w:spacing w:after="0"/>
              <w:rPr>
                <w:sz w:val="14"/>
                <w:szCs w:val="14"/>
                <w:color w:val="auto"/>
              </w:rPr>
            </w:pPr>
          </w:p>
        </w:tc>
        <w:tc>
          <w:tcPr>
            <w:tcW w:w="118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NM</w:t>
            </w:r>
          </w:p>
        </w:tc>
        <w:tc>
          <w:tcPr>
            <w:tcW w:w="8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20.8%</w:t>
            </w:r>
          </w:p>
        </w:tc>
        <w:tc>
          <w:tcPr>
            <w:tcW w:w="220" w:type="dxa"/>
            <w:vAlign w:val="bottom"/>
          </w:tcPr>
          <w:p>
            <w:pPr>
              <w:spacing w:after="0"/>
              <w:rPr>
                <w:sz w:val="14"/>
                <w:szCs w:val="14"/>
                <w:color w:val="auto"/>
              </w:rPr>
            </w:pP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NM</w:t>
            </w:r>
          </w:p>
        </w:tc>
        <w:tc>
          <w:tcPr>
            <w:tcW w:w="1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(e)</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7260" w:type="dxa"/>
            <w:vAlign w:val="bottom"/>
            <w:gridSpan w:val="14"/>
          </w:tcPr>
          <w:p>
            <w:pP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SECOND QUARTER 2000</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3,899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749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899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390</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2,513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(168)</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8,282</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 (b)</w:t>
            </w:r>
          </w:p>
        </w:tc>
        <w:tc>
          <w:tcPr>
            <w:tcW w:w="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 (b)</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Earnings</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919</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201</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1,757</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Operating Earnings (c)</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936</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203</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1,849</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Managed Assets (d)</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468,645</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27,862</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16,094</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13,397</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144,460</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16,617</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687,075</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SVA</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445</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Common</w:t>
            </w:r>
          </w:p>
        </w:tc>
        <w:tc>
          <w:tcPr>
            <w:tcW w:w="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23.1%</w:t>
            </w:r>
          </w:p>
        </w:tc>
        <w:tc>
          <w:tcPr>
            <w:tcW w:w="26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20.5%</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23.9%</w:t>
            </w:r>
          </w:p>
        </w:tc>
        <w:tc>
          <w:tcPr>
            <w:tcW w:w="300" w:type="dxa"/>
            <w:vAlign w:val="bottom"/>
          </w:tcPr>
          <w:p>
            <w:pPr>
              <w:spacing w:after="0"/>
              <w:rPr>
                <w:sz w:val="14"/>
                <w:szCs w:val="14"/>
                <w:color w:val="auto"/>
              </w:rPr>
            </w:pP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10.8%</w:t>
            </w:r>
          </w:p>
        </w:tc>
        <w:tc>
          <w:tcPr>
            <w:tcW w:w="8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21.7%</w:t>
            </w:r>
          </w:p>
        </w:tc>
        <w:tc>
          <w:tcPr>
            <w:tcW w:w="220" w:type="dxa"/>
            <w:vAlign w:val="bottom"/>
          </w:tcPr>
          <w:p>
            <w:pPr>
              <w:spacing w:after="0"/>
              <w:rPr>
                <w:sz w:val="14"/>
                <w:szCs w:val="14"/>
                <w:color w:val="auto"/>
              </w:rPr>
            </w:pP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NM</w:t>
            </w:r>
          </w:p>
        </w:tc>
        <w:tc>
          <w:tcPr>
            <w:tcW w:w="1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245"/>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Equity (e)</w:t>
            </w:r>
          </w:p>
        </w:tc>
        <w:tc>
          <w:tcPr>
            <w:tcW w:w="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SIX MONTHS 2001</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8,213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1,595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1,816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(837)</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5,201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(350)</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15,638</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 (b)</w:t>
            </w:r>
          </w:p>
        </w:tc>
        <w:tc>
          <w:tcPr>
            <w:tcW w:w="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 (b)</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Earnings (f)</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1,769</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(643)</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811</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2,126</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Operating</w:t>
            </w:r>
          </w:p>
        </w:tc>
        <w:tc>
          <w:tcPr>
            <w:tcW w:w="8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1,849</w:t>
            </w:r>
          </w:p>
        </w:tc>
        <w:tc>
          <w:tcPr>
            <w:tcW w:w="26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216</w:t>
            </w:r>
          </w:p>
        </w:tc>
        <w:tc>
          <w:tcPr>
            <w:tcW w:w="260" w:type="dxa"/>
            <w:vAlign w:val="bottom"/>
          </w:tcPr>
          <w:p>
            <w:pPr>
              <w:spacing w:after="0"/>
              <w:rPr>
                <w:sz w:val="14"/>
                <w:szCs w:val="14"/>
                <w:color w:val="auto"/>
              </w:rPr>
            </w:pP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346</w:t>
            </w:r>
          </w:p>
        </w:tc>
        <w:tc>
          <w:tcPr>
            <w:tcW w:w="300" w:type="dxa"/>
            <w:vAlign w:val="bottom"/>
          </w:tcPr>
          <w:p>
            <w:pPr>
              <w:spacing w:after="0"/>
              <w:rPr>
                <w:sz w:val="14"/>
                <w:szCs w:val="14"/>
                <w:color w:val="auto"/>
              </w:rPr>
            </w:pP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(633)</w:t>
            </w:r>
          </w:p>
        </w:tc>
        <w:tc>
          <w:tcPr>
            <w:tcW w:w="8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880</w:t>
            </w: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(172)</w:t>
            </w:r>
          </w:p>
        </w:tc>
        <w:tc>
          <w:tcPr>
            <w:tcW w:w="12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2,486</w:t>
            </w:r>
          </w:p>
        </w:tc>
        <w:tc>
          <w:tcPr>
            <w:tcW w:w="0" w:type="dxa"/>
            <w:vAlign w:val="bottom"/>
          </w:tcPr>
          <w:p>
            <w:pPr>
              <w:spacing w:after="0"/>
              <w:rPr>
                <w:sz w:val="1"/>
                <w:szCs w:val="1"/>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(c)(f)</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Managed Assets (d)</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511,938</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34,364</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17,900</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12,415</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161,353</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12,128</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750,098</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SVA</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(1,130)</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Common</w:t>
            </w:r>
          </w:p>
        </w:tc>
        <w:tc>
          <w:tcPr>
            <w:tcW w:w="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19.7%</w:t>
            </w:r>
          </w:p>
        </w:tc>
        <w:tc>
          <w:tcPr>
            <w:tcW w:w="26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23.6%</w:t>
            </w:r>
          </w:p>
        </w:tc>
        <w:tc>
          <w:tcPr>
            <w:tcW w:w="300" w:type="dxa"/>
            <w:vAlign w:val="bottom"/>
          </w:tcPr>
          <w:p>
            <w:pPr>
              <w:spacing w:after="0"/>
              <w:rPr>
                <w:sz w:val="14"/>
                <w:szCs w:val="14"/>
                <w:color w:val="auto"/>
              </w:rPr>
            </w:pPr>
          </w:p>
        </w:tc>
        <w:tc>
          <w:tcPr>
            <w:tcW w:w="118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NM</w:t>
            </w:r>
          </w:p>
        </w:tc>
        <w:tc>
          <w:tcPr>
            <w:tcW w:w="8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21.3%</w:t>
            </w:r>
          </w:p>
        </w:tc>
        <w:tc>
          <w:tcPr>
            <w:tcW w:w="220" w:type="dxa"/>
            <w:vAlign w:val="bottom"/>
          </w:tcPr>
          <w:p>
            <w:pPr>
              <w:spacing w:after="0"/>
              <w:rPr>
                <w:sz w:val="14"/>
                <w:szCs w:val="14"/>
                <w:color w:val="auto"/>
              </w:rPr>
            </w:pP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NM</w:t>
            </w:r>
          </w:p>
        </w:tc>
        <w:tc>
          <w:tcPr>
            <w:tcW w:w="1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(e)</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7260" w:type="dxa"/>
            <w:vAlign w:val="bottom"/>
            <w:gridSpan w:val="14"/>
          </w:tcPr>
          <w:p>
            <w:pP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SIX MONTHS 2000</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8,394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1,554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1,768</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991</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4,909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(311)</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17,305</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 (b)</w:t>
            </w:r>
          </w:p>
        </w:tc>
        <w:tc>
          <w:tcPr>
            <w:tcW w:w="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 (b)</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Earnings</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2,090</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507</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3,745</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Operating Earnings (c)</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2,124</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511</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3,930</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Managed Assets (d)</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464,260</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26,740</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16,101</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13,257</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142,940</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15,152</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678,450</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SVA</w:t>
            </w:r>
          </w:p>
        </w:tc>
        <w:tc>
          <w:tcPr>
            <w:tcW w:w="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1,127</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1,881</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Common</w:t>
            </w:r>
          </w:p>
        </w:tc>
        <w:tc>
          <w:tcPr>
            <w:tcW w:w="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25.9%</w:t>
            </w:r>
          </w:p>
        </w:tc>
        <w:tc>
          <w:tcPr>
            <w:tcW w:w="26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22.2%</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22.8%</w:t>
            </w:r>
          </w:p>
        </w:tc>
        <w:tc>
          <w:tcPr>
            <w:tcW w:w="300" w:type="dxa"/>
            <w:vAlign w:val="bottom"/>
          </w:tcPr>
          <w:p>
            <w:pPr>
              <w:spacing w:after="0"/>
              <w:rPr>
                <w:sz w:val="14"/>
                <w:szCs w:val="14"/>
                <w:color w:val="auto"/>
              </w:rPr>
            </w:pP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13.8%</w:t>
            </w:r>
          </w:p>
        </w:tc>
        <w:tc>
          <w:tcPr>
            <w:tcW w:w="8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18.9%</w:t>
            </w:r>
          </w:p>
        </w:tc>
        <w:tc>
          <w:tcPr>
            <w:tcW w:w="220" w:type="dxa"/>
            <w:vAlign w:val="bottom"/>
          </w:tcPr>
          <w:p>
            <w:pPr>
              <w:spacing w:after="0"/>
              <w:rPr>
                <w:sz w:val="14"/>
                <w:szCs w:val="14"/>
                <w:color w:val="auto"/>
              </w:rPr>
            </w:pP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NM</w:t>
            </w:r>
          </w:p>
        </w:tc>
        <w:tc>
          <w:tcPr>
            <w:tcW w:w="1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23.3%</w:t>
            </w:r>
          </w:p>
        </w:tc>
        <w:tc>
          <w:tcPr>
            <w:tcW w:w="0" w:type="dxa"/>
            <w:vAlign w:val="bottom"/>
          </w:tcPr>
          <w:p>
            <w:pPr>
              <w:spacing w:after="0"/>
              <w:rPr>
                <w:sz w:val="1"/>
                <w:szCs w:val="1"/>
                <w:color w:val="auto"/>
              </w:rPr>
            </w:pPr>
          </w:p>
        </w:tc>
      </w:tr>
      <w:tr>
        <w:trPr>
          <w:trHeight w:val="245"/>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Equity (e)</w:t>
            </w:r>
          </w:p>
        </w:tc>
        <w:tc>
          <w:tcPr>
            <w:tcW w:w="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7800" w:type="dxa"/>
            <w:vAlign w:val="bottom"/>
            <w:gridSpan w:val="11"/>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9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7"/>
              </w:rPr>
              <w:t>(a) Corporate/Reconciling Items include LabMorgan, Support Units, Corporate and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gridSpan w:val="6"/>
          </w:tcPr>
          <w:p>
            <w:pPr>
              <w:ind w:left="360"/>
              <w:spacing w:after="0" w:line="168" w:lineRule="exact"/>
              <w:rPr>
                <w:sz w:val="20"/>
                <w:szCs w:val="20"/>
                <w:color w:val="auto"/>
              </w:rPr>
            </w:pPr>
            <w:r>
              <w:rPr>
                <w:rFonts w:ascii="Courier New" w:cs="Courier New" w:eastAsia="Courier New" w:hAnsi="Courier New"/>
                <w:sz w:val="15"/>
                <w:szCs w:val="15"/>
                <w:color w:val="auto"/>
                <w:w w:val="96"/>
              </w:rPr>
              <w:t>the net effect of management accounting policies.</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6"/>
              </w:rPr>
              <w:t>(b) Operating Revenue includes Intersegment Revenue, which includes intercompany</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gridSpan w:val="9"/>
          </w:tcPr>
          <w:p>
            <w:pPr>
              <w:ind w:left="360"/>
              <w:spacing w:after="0" w:line="168" w:lineRule="exact"/>
              <w:rPr>
                <w:sz w:val="20"/>
                <w:szCs w:val="20"/>
                <w:color w:val="auto"/>
              </w:rPr>
            </w:pPr>
            <w:r>
              <w:rPr>
                <w:rFonts w:ascii="Courier New" w:cs="Courier New" w:eastAsia="Courier New" w:hAnsi="Courier New"/>
                <w:sz w:val="15"/>
                <w:szCs w:val="15"/>
                <w:color w:val="auto"/>
              </w:rPr>
              <w:t>revenue and revenue sharing agreements, net of intersegment expenses.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gridSpan w:val="9"/>
          </w:tcPr>
          <w:p>
            <w:pPr>
              <w:ind w:left="360"/>
              <w:spacing w:after="0" w:line="168" w:lineRule="exact"/>
              <w:rPr>
                <w:sz w:val="20"/>
                <w:szCs w:val="20"/>
                <w:color w:val="auto"/>
              </w:rPr>
            </w:pPr>
            <w:r>
              <w:rPr>
                <w:rFonts w:ascii="Courier New" w:cs="Courier New" w:eastAsia="Courier New" w:hAnsi="Courier New"/>
                <w:sz w:val="15"/>
                <w:szCs w:val="15"/>
                <w:color w:val="auto"/>
              </w:rPr>
              <w:t>Transactions between business segments are primarily conducted at fair</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value.</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8"/>
              </w:rPr>
              <w:t>(c) Cash Operating Earnings exclude the impact of restructuring costs, special</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gridSpan w:val="9"/>
          </w:tcPr>
          <w:p>
            <w:pPr>
              <w:ind w:left="360"/>
              <w:spacing w:after="0" w:line="168" w:lineRule="exact"/>
              <w:rPr>
                <w:sz w:val="20"/>
                <w:szCs w:val="20"/>
                <w:color w:val="auto"/>
              </w:rPr>
            </w:pPr>
            <w:r>
              <w:rPr>
                <w:rFonts w:ascii="Courier New" w:cs="Courier New" w:eastAsia="Courier New" w:hAnsi="Courier New"/>
                <w:sz w:val="15"/>
                <w:szCs w:val="15"/>
                <w:color w:val="auto"/>
              </w:rPr>
              <w:t>items, and amortization of goodwill and certain other intangibles.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(d) Excludes the impact of credit card securitizations.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 Based on annualized amounts.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8"/>
              </w:rPr>
              <w:t>(f) Excludes the after-tax impact of SFAS 133 cumulative transition adjustment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gridSpan w:val="9"/>
          </w:tcPr>
          <w:p>
            <w:pPr>
              <w:ind w:left="360"/>
              <w:spacing w:after="0" w:line="168" w:lineRule="exact"/>
              <w:rPr>
                <w:sz w:val="20"/>
                <w:szCs w:val="20"/>
                <w:color w:val="auto"/>
              </w:rPr>
            </w:pPr>
            <w:r>
              <w:rPr>
                <w:rFonts w:ascii="Courier New" w:cs="Courier New" w:eastAsia="Courier New" w:hAnsi="Courier New"/>
                <w:sz w:val="15"/>
                <w:szCs w:val="15"/>
                <w:color w:val="auto"/>
              </w:rPr>
              <w:t>for the Investment Bank $(19) million, Retail &amp; Middle Market Financial</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Services $(3) million and Corporate $</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(3) million.</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5"/>
                <w:szCs w:val="15"/>
                <w:color w:val="auto"/>
              </w:rPr>
              <w:t>NM - Not meaningful.</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ind w:right="332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340"/>
          </w:cols>
          <w:pgMar w:left="220" w:top="261" w:right="1339"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w:t>
      </w:r>
    </w:p>
    <w:p>
      <w:pPr>
        <w:spacing w:after="0" w:line="30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OF FINANCIAL CONDITION AND RESULTS OF OPERATIONS</w:t>
      </w:r>
    </w:p>
    <w:p>
      <w:pPr>
        <w:jc w:val="center"/>
        <w:ind w:right="3219"/>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ind w:right="3939"/>
        <w:spacing w:after="0" w:line="381" w:lineRule="auto"/>
        <w:rPr>
          <w:sz w:val="20"/>
          <w:szCs w:val="20"/>
          <w:color w:val="auto"/>
        </w:rPr>
      </w:pPr>
      <w:r>
        <w:rPr>
          <w:rFonts w:ascii="Courier New" w:cs="Courier New" w:eastAsia="Courier New" w:hAnsi="Courier New"/>
          <w:sz w:val="14"/>
          <w:szCs w:val="14"/>
          <w:color w:val="auto"/>
        </w:rPr>
        <w:t>Results for all periods give effect to the merger of The Chase Manhattan Corporation and J.P. Morgan &amp; Co. Incorporated on December 31, 2000.</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FINANCIAL RESULTS: Reported net income, which includes merger and restructuring costs, was $378 million, or $0.18 per share, in the second quarter of 2001. This compares with $1,199 million, or $0.58 per share, in the first quarter of 2001 and $1,633 million, or $0.83 per share, in the second quarter of 2000. For the first six months of 2001, reported net income was $1,577 million, or $0.76 per share, compared with $3,621 million, or $1.84 per share, in the same period last year.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SECOND QUARTER</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 except per share</w:t>
            </w:r>
          </w:p>
        </w:tc>
        <w:tc>
          <w:tcPr>
            <w:tcW w:w="2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12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Over(Under)</w:t>
            </w: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3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1220" w:type="dxa"/>
            <w:vAlign w:val="bottom"/>
            <w:vMerge w:val="continue"/>
          </w:tcPr>
          <w:p>
            <w:pPr>
              <w:spacing w:after="0"/>
              <w:rPr>
                <w:sz w:val="14"/>
                <w:szCs w:val="14"/>
                <w:color w:val="auto"/>
              </w:rPr>
            </w:pP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Over(Under)</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ratio data)</w:t>
            </w: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REPORTED BASIS</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6,871</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7,899</w:t>
            </w:r>
          </w:p>
        </w:tc>
        <w:tc>
          <w:tcPr>
            <w:tcW w:w="12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(13)%</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15,124</w:t>
            </w:r>
          </w:p>
        </w:tc>
        <w:tc>
          <w:tcPr>
            <w:tcW w:w="10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$ 16,668</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1,633</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(77)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 Share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0.83</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(78)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19.1%</w:t>
            </w:r>
          </w:p>
        </w:tc>
        <w:tc>
          <w:tcPr>
            <w:tcW w:w="12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(1,560)bp</w:t>
            </w:r>
          </w:p>
        </w:tc>
        <w:tc>
          <w:tcPr>
            <w:tcW w:w="1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(1,390)bp</w:t>
            </w:r>
          </w:p>
        </w:tc>
        <w:tc>
          <w:tcPr>
            <w:tcW w:w="0" w:type="dxa"/>
            <w:vAlign w:val="bottom"/>
          </w:tcPr>
          <w:p>
            <w:pPr>
              <w:spacing w:after="0"/>
              <w:rPr>
                <w:sz w:val="1"/>
                <w:szCs w:val="1"/>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Equity ("ROCE")</w:t>
            </w: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Capital Ratio</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Capital Ratio</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94"/>
        </w:trPr>
        <w:tc>
          <w:tcPr>
            <w:tcW w:w="2800" w:type="dxa"/>
            <w:vAlign w:val="bottom"/>
          </w:tcPr>
          <w:p>
            <w:pPr>
              <w:spacing w:after="0"/>
              <w:rPr>
                <w:sz w:val="20"/>
                <w:szCs w:val="20"/>
                <w:color w:val="auto"/>
              </w:rPr>
            </w:pPr>
            <w:r>
              <w:rPr>
                <w:rFonts w:ascii="Courier New" w:cs="Courier New" w:eastAsia="Courier New" w:hAnsi="Courier New"/>
                <w:sz w:val="15"/>
                <w:szCs w:val="15"/>
                <w:color w:val="auto"/>
              </w:rPr>
              <w:t>Tier 1 Leverage</w:t>
            </w: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bp - Denotes basis points; 100 bp equals 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5"/>
          <w:szCs w:val="15"/>
          <w:color w:val="auto"/>
        </w:rPr>
        <w:t>In addition to disclosing its results on a reported basis, JPMorgan Chase reviews and discloses the financial performance of the Firm on an operating basis. In the view of JPMorgan Chase's management, "operating basis" excludes the impact of credit card securitizations, merger and restructuring costs, special items and the net effect of a change in accounting principle. Management's Discussion and Analysis ("MD&amp;A") in this Form 10-Q discusses the Firm's performance on an operating basis unless otherwise noted. For a reconciliation between reported results and results on an operating basis, see page 26.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SECOND QUARTER</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SIX MONTHS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 except per share</w:t>
            </w:r>
          </w:p>
        </w:tc>
        <w:tc>
          <w:tcPr>
            <w:tcW w:w="1000" w:type="dxa"/>
            <w:vAlign w:val="bottom"/>
            <w:gridSpan w:val="2"/>
          </w:tcPr>
          <w:p>
            <w:pPr>
              <w:ind w:left="80"/>
              <w:spacing w:after="0"/>
              <w:rPr>
                <w:sz w:val="20"/>
                <w:szCs w:val="20"/>
                <w:color w:val="auto"/>
              </w:rPr>
            </w:pPr>
            <w:r>
              <w:rPr>
                <w:rFonts w:ascii="Courier New" w:cs="Courier New" w:eastAsia="Courier New" w:hAnsi="Courier New"/>
                <w:sz w:val="5"/>
                <w:szCs w:val="5"/>
                <w:color w:val="auto"/>
                <w:w w:val="83"/>
              </w:rPr>
              <w:t>------------------------------------</w:t>
            </w:r>
          </w:p>
        </w:tc>
        <w:tc>
          <w:tcPr>
            <w:tcW w:w="126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4"/>
              </w:rPr>
              <w:t>Over(Under)</w:t>
            </w:r>
          </w:p>
        </w:tc>
        <w:tc>
          <w:tcPr>
            <w:tcW w:w="298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88"/>
              </w:rPr>
              <w:t>2001</w:t>
            </w:r>
          </w:p>
        </w:tc>
        <w:tc>
          <w:tcPr>
            <w:tcW w:w="12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6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Over(Under)</w:t>
            </w:r>
          </w:p>
        </w:tc>
        <w:tc>
          <w:tcPr>
            <w:tcW w:w="0" w:type="dxa"/>
            <w:vAlign w:val="bottom"/>
          </w:tcPr>
          <w:p>
            <w:pPr>
              <w:spacing w:after="0"/>
              <w:rPr>
                <w:sz w:val="1"/>
                <w:szCs w:val="1"/>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ratio data)</w:t>
            </w: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080" w:type="dxa"/>
            <w:vAlign w:val="bottom"/>
          </w:tcPr>
          <w:p>
            <w:pPr>
              <w:spacing w:after="0"/>
              <w:rPr>
                <w:sz w:val="21"/>
                <w:szCs w:val="21"/>
                <w:color w:val="auto"/>
              </w:rPr>
            </w:pPr>
          </w:p>
        </w:tc>
        <w:tc>
          <w:tcPr>
            <w:tcW w:w="10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BASIS (a)</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7,144</w:t>
            </w:r>
          </w:p>
        </w:tc>
        <w:tc>
          <w:tcPr>
            <w:tcW w:w="12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$ 8,282</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(14)%</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15,638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17,305</w:t>
            </w:r>
          </w:p>
        </w:tc>
        <w:tc>
          <w:tcPr>
            <w:tcW w:w="9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1,757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2,126</w:t>
            </w:r>
          </w:p>
        </w:tc>
        <w:tc>
          <w:tcPr>
            <w:tcW w:w="2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Earnings per Share ("EPS")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0.33</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0.89</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w:t>
            </w:r>
          </w:p>
        </w:tc>
        <w:tc>
          <w:tcPr>
            <w:tcW w:w="2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ROCE</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(1,410)bp</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(1,210)bp</w:t>
            </w:r>
          </w:p>
        </w:tc>
        <w:tc>
          <w:tcPr>
            <w:tcW w:w="0" w:type="dxa"/>
            <w:vAlign w:val="bottom"/>
          </w:tcPr>
          <w:p>
            <w:pPr>
              <w:spacing w:after="0"/>
              <w:rPr>
                <w:sz w:val="1"/>
                <w:szCs w:val="1"/>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Operating Earnings (b)</w:t>
            </w:r>
          </w:p>
        </w:tc>
        <w:tc>
          <w:tcPr>
            <w:tcW w:w="26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873</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$ 1,849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w:t>
            </w:r>
          </w:p>
        </w:tc>
        <w:tc>
          <w:tcPr>
            <w:tcW w:w="36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2,486</w:t>
            </w:r>
          </w:p>
        </w:tc>
        <w:tc>
          <w:tcPr>
            <w:tcW w:w="260" w:type="dxa"/>
            <w:vAlign w:val="bottom"/>
            <w:vMerge w:val="continue"/>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3,930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Cash EPS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0.42</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0.94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w:t>
            </w:r>
          </w:p>
        </w:tc>
        <w:tc>
          <w:tcPr>
            <w:tcW w:w="2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Cash ROCE</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(1,350)bp</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(1,140)bp</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88" w:lineRule="exact"/>
        <w:rPr>
          <w:sz w:val="20"/>
          <w:szCs w:val="20"/>
          <w:color w:val="auto"/>
        </w:rPr>
      </w:pPr>
    </w:p>
    <w:p>
      <w:pPr>
        <w:ind w:left="360" w:right="3399" w:hanging="350"/>
        <w:spacing w:after="0" w:line="249"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basis excludes the impact of credit card securitizations, merger and restructuring costs, special items and the net effect of a change in accounting principle.</w:t>
      </w:r>
    </w:p>
    <w:p>
      <w:pPr>
        <w:spacing w:after="0" w:line="1" w:lineRule="exact"/>
        <w:rPr>
          <w:rFonts w:ascii="Courier New" w:cs="Courier New" w:eastAsia="Courier New" w:hAnsi="Courier New"/>
          <w:sz w:val="15"/>
          <w:szCs w:val="15"/>
          <w:color w:val="auto"/>
        </w:rPr>
      </w:pPr>
    </w:p>
    <w:p>
      <w:pPr>
        <w:ind w:left="360" w:right="3759" w:hanging="350"/>
        <w:spacing w:after="0" w:line="272"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operating earnings also exclude the impact of the amortization of goodwill and certain other intangibles. For a further discussion, see Glossary of Terms on page 50.</w:t>
      </w:r>
    </w:p>
    <w:p>
      <w:pPr>
        <w:spacing w:after="0" w:line="6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61" w:right="1440" w:bottom="873"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On an operating basis, JPMorgan Chase's diluted earnings per share for the second quarter of 2001 were $0.33, compared with $0.70 in the first quarter of 2001 and $0.89 in the second quarter of 2000. Operating earnings were $690 million in the 2001 second quarter, compared with $1,436 million in the first quarter of 2001 and $1,757 million one year ago. For the first half of 2001, operating earnings were $2,126 million, or $1.03 per share, as against $3,745 million, or $1.90 per share, in last year's same period.</w:t>
      </w:r>
    </w:p>
    <w:p>
      <w:pPr>
        <w:spacing w:after="0" w:line="82"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Management also tracks the operating performance of JPMorgan Chase excluding JPMorgan Partners' ("JPMP") results. Over the past few years, volatile stock markets and financing environments have yielded significant fluctuations in the values of the securities held by JPMorgan Partners, resulting in unrealized and realized valuation adjustments for various periods that have significantly affected, both favorably and unfavorably, the Firm's operating results. Excluding the results of JPMorgan Partners, operating earnings were $1,308 million in the second quarter of 2001, compared with $1,461 million in the first quarter of 2001 and $1,556 million in the 2000 second quarter. Operating earnings excluding JPMP for the first six months of 2001 were $2,769 million, compared with $3,239 million in the first half of 2000.</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SECOND QUARTER</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SIX MONTHS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(in millions, except per share</w:t>
            </w:r>
          </w:p>
        </w:tc>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6"/>
              </w:rPr>
              <w:t>-----------------------------------</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4"/>
              </w:rPr>
              <w:t>Over(Under)</w:t>
            </w:r>
          </w:p>
        </w:tc>
        <w:tc>
          <w:tcPr>
            <w:tcW w:w="2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80" w:type="dxa"/>
            <w:vAlign w:val="bottom"/>
            <w:vMerge w:val="continue"/>
          </w:tcPr>
          <w:p>
            <w:pPr>
              <w:spacing w:after="0"/>
              <w:rPr>
                <w:sz w:val="14"/>
                <w:szCs w:val="14"/>
                <w:color w:val="auto"/>
              </w:rPr>
            </w:pP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Over(Under)</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ratio data)</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OPERATING BASIS</w:t>
            </w: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(EXCLUDING JPMORGAN PARTNERS)</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8,038</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$ 7,892</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w:t>
            </w:r>
          </w:p>
        </w:tc>
        <w:tc>
          <w:tcPr>
            <w:tcW w:w="10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16,475</w:t>
            </w:r>
          </w:p>
        </w:tc>
        <w:tc>
          <w:tcPr>
            <w:tcW w:w="9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$ 16,314</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1,308</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1,556</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0.79</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Operating Earnings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1,486</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1,646</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3,119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Cash EPS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0.72</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0.84</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Cash ROCE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(800)bp</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(810)bp</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bp - Denotes basis points; 100 bp equals 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239"/>
        <w:spacing w:after="0" w:line="276" w:lineRule="auto"/>
        <w:rPr>
          <w:sz w:val="20"/>
          <w:szCs w:val="20"/>
          <w:color w:val="auto"/>
        </w:rPr>
      </w:pPr>
      <w:r>
        <w:rPr>
          <w:rFonts w:ascii="Courier New" w:cs="Courier New" w:eastAsia="Courier New" w:hAnsi="Courier New"/>
          <w:sz w:val="14"/>
          <w:szCs w:val="14"/>
          <w:color w:val="auto"/>
        </w:rPr>
        <w:t>The contribution of JPMP to operating earnings per share was a loss of $0.31 in the second quarter of 2001, compared with a $0.01 loss in the first quarter of 2001 and income of $0.10 in the second quarter of 2000. Excluding the results of JPMP, operating earnings per share were $0.64 in the second quarter of 2001. This compares with $0.71 in the first quarter of 2001 and $0.79 in the second quarter of 2000. The annualized cash operating return on common equity for the second quarter of 2001 was 16.7% excluding the results of JPMorgan Partners.</w:t>
      </w:r>
    </w:p>
    <w:p>
      <w:pPr>
        <w:spacing w:after="0" w:line="69"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The impact of the amortization of intangibles was $0.09 per share in the second quarter of 2001, $0.08 per share in the first quarter of 2001 and $0.05 per share one year ago.</w:t>
      </w:r>
    </w:p>
    <w:p>
      <w:pPr>
        <w:spacing w:after="0" w:line="57"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For a reconciliation of diluted EPS from reported net income to cash operating earnings (excluding JPMP), see the table below.</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SECOND QUARTER</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SIX MONTHS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660" w:type="dxa"/>
            <w:vAlign w:val="bottom"/>
          </w:tcPr>
          <w:p>
            <w:pPr>
              <w:ind w:left="400"/>
              <w:spacing w:after="0"/>
              <w:rPr>
                <w:sz w:val="20"/>
                <w:szCs w:val="20"/>
                <w:color w:val="auto"/>
              </w:rPr>
            </w:pPr>
            <w:r>
              <w:rPr>
                <w:rFonts w:ascii="Courier New" w:cs="Courier New" w:eastAsia="Courier New" w:hAnsi="Courier New"/>
                <w:sz w:val="2"/>
                <w:szCs w:val="2"/>
                <w:color w:val="auto"/>
                <w:w w:val="76"/>
              </w:rPr>
              <w:t>--------------------------</w:t>
            </w:r>
          </w:p>
        </w:tc>
        <w:tc>
          <w:tcPr>
            <w:tcW w:w="9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w w:val="88"/>
              </w:rPr>
              <w:t>2001</w:t>
            </w:r>
          </w:p>
        </w:tc>
        <w:tc>
          <w:tcPr>
            <w:tcW w:w="560" w:type="dxa"/>
            <w:vAlign w:val="bottom"/>
          </w:tcPr>
          <w:p>
            <w:pPr>
              <w:spacing w:after="0"/>
              <w:rPr>
                <w:sz w:val="14"/>
                <w:szCs w:val="14"/>
                <w:color w:val="auto"/>
              </w:rPr>
            </w:pPr>
          </w:p>
        </w:tc>
        <w:tc>
          <w:tcPr>
            <w:tcW w:w="8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4"/>
              </w:rPr>
              <w:t>2000</w:t>
            </w:r>
          </w:p>
        </w:tc>
        <w:tc>
          <w:tcPr>
            <w:tcW w:w="252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2000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15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6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0.18</w:t>
            </w:r>
          </w:p>
        </w:tc>
        <w:tc>
          <w:tcPr>
            <w:tcW w:w="5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0.83</w:t>
            </w:r>
          </w:p>
        </w:tc>
        <w:tc>
          <w:tcPr>
            <w:tcW w:w="3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0.76</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REPORTED NET INCOME</w:t>
            </w: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Items</w:t>
            </w:r>
          </w:p>
        </w:tc>
        <w:tc>
          <w:tcPr>
            <w:tcW w:w="6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0.15</w:t>
            </w:r>
          </w:p>
        </w:tc>
        <w:tc>
          <w:tcPr>
            <w:tcW w:w="56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0.06</w:t>
            </w:r>
          </w:p>
        </w:tc>
        <w:tc>
          <w:tcPr>
            <w:tcW w:w="3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0.27</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EARNINGS</w:t>
            </w:r>
          </w:p>
        </w:tc>
        <w:tc>
          <w:tcPr>
            <w:tcW w:w="660" w:type="dxa"/>
            <w:vAlign w:val="bottom"/>
          </w:tcPr>
          <w:p>
            <w:pPr>
              <w:ind w:left="400"/>
              <w:spacing w:after="0"/>
              <w:rPr>
                <w:sz w:val="20"/>
                <w:szCs w:val="20"/>
                <w:color w:val="auto"/>
              </w:rPr>
            </w:pPr>
            <w:r>
              <w:rPr>
                <w:rFonts w:ascii="Courier New" w:cs="Courier New" w:eastAsia="Courier New" w:hAnsi="Courier New"/>
                <w:sz w:val="7"/>
                <w:szCs w:val="7"/>
                <w:color w:val="auto"/>
                <w:w w:val="71"/>
              </w:rPr>
              <w:t>--------</w:t>
            </w: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0.33</w:t>
            </w:r>
          </w:p>
        </w:tc>
        <w:tc>
          <w:tcPr>
            <w:tcW w:w="13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0.89</w:t>
            </w:r>
          </w:p>
        </w:tc>
        <w:tc>
          <w:tcPr>
            <w:tcW w:w="3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JPMorgan Partners</w:t>
            </w:r>
          </w:p>
        </w:tc>
        <w:tc>
          <w:tcPr>
            <w:tcW w:w="6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(0.31)</w:t>
            </w:r>
          </w:p>
        </w:tc>
        <w:tc>
          <w:tcPr>
            <w:tcW w:w="56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0.10</w:t>
            </w:r>
          </w:p>
        </w:tc>
        <w:tc>
          <w:tcPr>
            <w:tcW w:w="3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(0.32)</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EARNINGS (EXCLUDING JPMP)</w:t>
            </w:r>
          </w:p>
        </w:tc>
        <w:tc>
          <w:tcPr>
            <w:tcW w:w="660" w:type="dxa"/>
            <w:vAlign w:val="bottom"/>
          </w:tcPr>
          <w:p>
            <w:pPr>
              <w:ind w:left="400"/>
              <w:spacing w:after="0"/>
              <w:rPr>
                <w:sz w:val="20"/>
                <w:szCs w:val="20"/>
                <w:color w:val="auto"/>
              </w:rPr>
            </w:pPr>
            <w:r>
              <w:rPr>
                <w:rFonts w:ascii="Courier New" w:cs="Courier New" w:eastAsia="Courier New" w:hAnsi="Courier New"/>
                <w:sz w:val="7"/>
                <w:szCs w:val="7"/>
                <w:color w:val="auto"/>
                <w:w w:val="71"/>
              </w:rPr>
              <w:t>--------</w:t>
            </w: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0.64</w:t>
            </w:r>
          </w:p>
        </w:tc>
        <w:tc>
          <w:tcPr>
            <w:tcW w:w="13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0.79</w:t>
            </w:r>
          </w:p>
        </w:tc>
        <w:tc>
          <w:tcPr>
            <w:tcW w:w="3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(a)</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Amortization of Intangibles</w:t>
            </w:r>
          </w:p>
        </w:tc>
        <w:tc>
          <w:tcPr>
            <w:tcW w:w="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0.08(a)</w:t>
            </w:r>
          </w:p>
        </w:tc>
        <w:tc>
          <w:tcPr>
            <w:tcW w:w="56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0.05</w:t>
            </w:r>
          </w:p>
        </w:tc>
        <w:tc>
          <w:tcPr>
            <w:tcW w:w="3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0.17</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CASH OPERATING EARNINGS (EXCLUDING JPMP)</w:t>
            </w:r>
          </w:p>
        </w:tc>
        <w:tc>
          <w:tcPr>
            <w:tcW w:w="660" w:type="dxa"/>
            <w:vAlign w:val="bottom"/>
            <w:vMerge w:val="restart"/>
          </w:tcPr>
          <w:p>
            <w:pPr>
              <w:ind w:left="40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0.72</w:t>
            </w:r>
          </w:p>
        </w:tc>
        <w:tc>
          <w:tcPr>
            <w:tcW w:w="13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0.84</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15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hanging="350"/>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of intangibles excludes $0.01 related to JPMP.</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61" w:right="1440" w:bottom="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SECOND QUARTER 2001 OPERATING RESULTS:</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Weak global market conditions adversely affected the results of the 2001 second quarter. The decline in operating income was driven primarily by losses at JPMorgan Partners. (All periods in 2000 give pro forma effect to the purchase of Robert Fleming Holdings Limited ("Flemings"), which is treated as if it had occurred at the beginning of that year.)</w:t>
      </w:r>
    </w:p>
    <w:p>
      <w:pPr>
        <w:spacing w:after="0" w:line="75" w:lineRule="exact"/>
        <w:rPr>
          <w:sz w:val="20"/>
          <w:szCs w:val="20"/>
          <w:color w:val="auto"/>
        </w:rPr>
      </w:pPr>
    </w:p>
    <w:p>
      <w:pPr>
        <w:ind w:left="880" w:right="3239" w:hanging="346"/>
        <w:spacing w:after="0" w:line="267"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JPMorgan Partners were negatively affected by $1.02 billion of write-downs and write-offs, particularly from telecommunications investments in the privately held portion of the portfolio.</w:t>
      </w:r>
    </w:p>
    <w:p>
      <w:pPr>
        <w:spacing w:after="0" w:line="1" w:lineRule="exact"/>
        <w:rPr>
          <w:rFonts w:ascii="Courier New" w:cs="Courier New" w:eastAsia="Courier New" w:hAnsi="Courier New"/>
          <w:sz w:val="14"/>
          <w:szCs w:val="14"/>
          <w:color w:val="auto"/>
        </w:rPr>
      </w:pPr>
    </w:p>
    <w:p>
      <w:pPr>
        <w:ind w:left="880" w:right="3499" w:hanging="346"/>
        <w:spacing w:after="0" w:line="237"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operating expenses declined by 6%, or $315 million, from the first quarter of 2001 and declined by 4% from the second quarter of 2000.</w:t>
      </w:r>
    </w:p>
    <w:p>
      <w:pPr>
        <w:spacing w:after="0" w:line="1" w:lineRule="exact"/>
        <w:rPr>
          <w:rFonts w:ascii="Courier New" w:cs="Courier New" w:eastAsia="Courier New" w:hAnsi="Courier New"/>
          <w:sz w:val="15"/>
          <w:szCs w:val="15"/>
          <w:color w:val="auto"/>
        </w:rPr>
      </w:pPr>
    </w:p>
    <w:p>
      <w:pPr>
        <w:ind w:left="880" w:right="4099" w:hanging="346"/>
        <w:spacing w:after="0" w:line="237"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banking fees were down 1% from the first quarter, reflecting market share gains in a weaker market.</w:t>
      </w:r>
    </w:p>
    <w:p>
      <w:pPr>
        <w:ind w:left="880" w:right="3499" w:hanging="346"/>
        <w:spacing w:after="0" w:line="237"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&amp; Securities Services and Retail &amp; Middle Market Financial Services posted solid results, with cash ROE in excess of 20% for each.</w:t>
      </w:r>
    </w:p>
    <w:p>
      <w:pPr>
        <w:spacing w:after="0" w:line="1" w:lineRule="exact"/>
        <w:rPr>
          <w:rFonts w:ascii="Courier New" w:cs="Courier New" w:eastAsia="Courier New" w:hAnsi="Courier New"/>
          <w:sz w:val="15"/>
          <w:szCs w:val="15"/>
          <w:color w:val="auto"/>
        </w:rPr>
      </w:pPr>
    </w:p>
    <w:p>
      <w:pPr>
        <w:ind w:left="880" w:right="3239" w:hanging="346"/>
        <w:spacing w:after="0" w:line="25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Management &amp; Private Banking expense initiatives led to 18% growth in cash operating earnings from a weak first quarter. Assets under management, associated management fees and cash operating earnings declined versus one year ago as a consequence of the weaker market conditions.</w:t>
      </w:r>
    </w:p>
    <w:p>
      <w:pPr>
        <w:spacing w:after="0" w:line="80"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Despite the poor performance in second quarter of 2001, management of JPMorgan Chase continues to believe in the long-term value of the Firm's business model, which combines the best of an investment bank and a commercial bank. In a difficult business environment, the Firm maintained during the first six months of 2001, its position as No. 1 arranger of leveraged and syndicated loans and as No. 2 arranger of U.S. high-grade bonds. The Firm improved its global announced mergers and acquisitions ("M&amp;A") ranking to No. 5, as compared with No. 7 during the same period one year ago. Management reiterated its commitment to capital discipline, as evidenced by the common stock repurchase authorization discussed more fully below, and to continued expense discipline. JPMorgan Chase continues to target cash operating expenses for full-year 2001 to be lower than cash operating expenses for full-year 2000.</w:t>
      </w:r>
    </w:p>
    <w:p>
      <w:pPr>
        <w:spacing w:after="0" w:line="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Nonperforming assets were $2.50 billion at June 30, 2001, compared with $2.23 billion and $2.04 billion at March 31, 2001 and June 30, 2000, respectively. The increase from March 31 primarily relates to U.S. commercial and industrial loans. Net charge-offs on a managed basis (i.e., treating securitized credit card receivables as if owned by JPMC) were $798 million in the 2001 second quarter, up from $688 million in the first quarter of 2001 and $577 million in the second quarter of 2000.</w:t>
      </w:r>
    </w:p>
    <w:p>
      <w:pPr>
        <w:spacing w:after="0" w:line="82"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Total assets as of June 30, 2001 were $713 billion, compared with $714 billion as of March 31, 2001 and $662 billion one year ago. JPMorgan Chase's Tier One capital ratio was 8.7% at June 30, 2001 and at March 31, 2001 and 8.6% one year ago.</w:t>
      </w:r>
    </w:p>
    <w:p>
      <w:pPr>
        <w:spacing w:after="0" w:line="68" w:lineRule="exact"/>
        <w:rPr>
          <w:sz w:val="20"/>
          <w:szCs w:val="20"/>
          <w:color w:val="auto"/>
        </w:rPr>
      </w:pPr>
    </w:p>
    <w:p>
      <w:pPr>
        <w:ind w:right="3399"/>
        <w:spacing w:after="0" w:line="287" w:lineRule="auto"/>
        <w:rPr>
          <w:sz w:val="20"/>
          <w:szCs w:val="20"/>
          <w:color w:val="auto"/>
        </w:rPr>
      </w:pPr>
      <w:r>
        <w:rPr>
          <w:rFonts w:ascii="Courier New" w:cs="Courier New" w:eastAsia="Courier New" w:hAnsi="Courier New"/>
          <w:sz w:val="14"/>
          <w:szCs w:val="14"/>
          <w:color w:val="auto"/>
        </w:rPr>
        <w:t>JPMorgan Chase's second quarter 2001 special items were $478 million (pre-tax) of merger and restructuring costs. Special items in the second quarter of 2000 included a $141 million loss resulting from the economic hedge of the purchase price of Flemings prior to its acquisition and $50 million of restructuring costs associated with previously announced relocation initiatives.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REPURCHASE AUTHORIZATION:</w:t>
      </w:r>
    </w:p>
    <w:p>
      <w:pPr>
        <w:spacing w:after="0" w:line="2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The Board of Directors of J.P. Morgan Chase &amp; Co. has authorized, effective July 19, 2001, the repurchase of up to $6 billion of JPMorgan Chase's common stock in the open market or through negotiated transactions. This authorization is in addition to any amounts necessary to provide for issuances under JPMorgan Chase's dividend reinvestment plan and its various stock-based director and employee benefits plans.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UPDATE:</w:t>
      </w:r>
    </w:p>
    <w:p>
      <w:pPr>
        <w:spacing w:after="0" w:line="24" w:lineRule="exact"/>
        <w:rPr>
          <w:sz w:val="20"/>
          <w:szCs w:val="20"/>
          <w:color w:val="auto"/>
        </w:rPr>
      </w:pPr>
    </w:p>
    <w:p>
      <w:pPr>
        <w:ind w:left="880" w:right="3399" w:hanging="346"/>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of Chase Securities Inc. and J.P. Morgan Securities Inc. occurred on May 1, 2001. The merger of The Chase Manhattan Bank and Morgan Guaranty Trust Company of New York currently is scheduled to occur in October 2001.</w:t>
      </w:r>
    </w:p>
    <w:p>
      <w:pPr>
        <w:spacing w:after="0" w:line="1" w:lineRule="exact"/>
        <w:rPr>
          <w:rFonts w:ascii="Courier New" w:cs="Courier New" w:eastAsia="Courier New" w:hAnsi="Courier New"/>
          <w:sz w:val="15"/>
          <w:szCs w:val="15"/>
          <w:color w:val="auto"/>
        </w:rPr>
      </w:pPr>
    </w:p>
    <w:p>
      <w:pPr>
        <w:ind w:left="880" w:right="3239" w:hanging="346"/>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JPMC management anticipates that revenue synergies from the merger for full-year 2001 are likely to be lower than previously estimated because of weak market conditions. The level of M&amp;A and equity underwriting activity are not expected to improve in the second half of 2001.</w:t>
      </w:r>
    </w:p>
    <w:p>
      <w:pPr>
        <w:spacing w:after="0" w:line="2" w:lineRule="exact"/>
        <w:rPr>
          <w:rFonts w:ascii="Courier New" w:cs="Courier New" w:eastAsia="Courier New" w:hAnsi="Courier New"/>
          <w:sz w:val="15"/>
          <w:szCs w:val="15"/>
          <w:color w:val="auto"/>
        </w:rPr>
      </w:pPr>
    </w:p>
    <w:p>
      <w:pPr>
        <w:ind w:left="880" w:right="3839" w:hanging="346"/>
        <w:spacing w:after="0" w:line="254" w:lineRule="auto"/>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expense savings are expected to be larger than originally estimated for 2001 and in excess of the original three</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year target of $2 billion.</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6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BUSINESS RESULTS</w:t>
      </w: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table below provides summary financial information on a cash operating basis for the five major business segments. All periods below have been restated on a comparable basis to reflect the changes in capital allocation adopted in the first quarter of 2001; restatements may occur in future periods to reflect further alignment of management accounting policies or changes in organizational structures between businesses.</w:t>
      </w:r>
    </w:p>
    <w:p>
      <w:pPr>
        <w:spacing w:after="0" w:line="81"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Shareholder Value Added ("SVA") is JPMorgan Chase's primary performance measure of its businesses. SVA represents operating earnings excluding the amortization of goodwill and certain other intangibles (i.e., cash operating earnings) minus preferred dividends and an explicit charge for capital. During the first quarter of 2001, JPMorgan Chase adopted a new framework for capital allocation and for business performance measurement across the Firm. The SVA framework now utilizes a 12% cost of equity capital for each business, with the exception of JPMorgan Partners. That business is charged a 15% cost of equity capital, which is equivalent to a representative after-tax hurdle rate for private equity investments. The effective cost of equity capital used in the SVA framework for JPMorgan Chase overall is 12%. For a discussion of each business profile, see pages 28-36 of the JPMorgan Chase 2000 Annual Report.</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8"/>
              </w:rPr>
              <w:t>SECOND QUARTER</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5"/>
                <w:szCs w:val="5"/>
                <w:color w:val="auto"/>
                <w:w w:val="74"/>
              </w:rPr>
              <w:t>----------------------------------------</w:t>
            </w: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0" w:type="dxa"/>
            <w:vAlign w:val="bottom"/>
            <w:gridSpan w:val="3"/>
          </w:tcPr>
          <w:p>
            <w:pPr>
              <w:jc w:val="right"/>
              <w:ind w:right="1027"/>
              <w:spacing w:after="0"/>
              <w:rPr>
                <w:sz w:val="20"/>
                <w:szCs w:val="20"/>
                <w:color w:val="auto"/>
              </w:rPr>
            </w:pPr>
            <w:r>
              <w:rPr>
                <w:rFonts w:ascii="Courier New" w:cs="Courier New" w:eastAsia="Courier New" w:hAnsi="Courier New"/>
                <w:sz w:val="15"/>
                <w:szCs w:val="15"/>
                <w:color w:val="auto"/>
              </w:rPr>
              <w:t>Over (Under)</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Over (Under)</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Courier New" w:cs="Courier New" w:eastAsia="Courier New" w:hAnsi="Courier New"/>
                <w:sz w:val="12"/>
                <w:szCs w:val="12"/>
                <w:color w:val="auto"/>
                <w:w w:val="76"/>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Pro Forma (a)</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4"/>
              </w:rPr>
              <w:t>2001</w:t>
            </w: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2Q 2000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1"/>
              </w:rPr>
              <w:t>1Q 2001</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Pro Forma (a)</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2Q 2000</w:t>
            </w: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0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$ 3,775</w:t>
            </w:r>
          </w:p>
        </w:tc>
        <w:tc>
          <w:tcPr>
            <w:tcW w:w="9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(3)%</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w:t>
            </w:r>
          </w:p>
        </w:tc>
        <w:tc>
          <w:tcPr>
            <w:tcW w:w="12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8,213</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w:t>
            </w:r>
          </w:p>
        </w:tc>
        <w:tc>
          <w:tcPr>
            <w:tcW w:w="11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Bank</w:t>
            </w:r>
          </w:p>
        </w:tc>
        <w:tc>
          <w:tcPr>
            <w:tcW w:w="10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Management &amp; Private</w:t>
            </w:r>
          </w:p>
        </w:tc>
        <w:tc>
          <w:tcPr>
            <w:tcW w:w="480" w:type="dxa"/>
            <w:vAlign w:val="bottom"/>
          </w:tcPr>
          <w:p>
            <w:pPr>
              <w:spacing w:after="0"/>
              <w:rPr>
                <w:sz w:val="14"/>
                <w:szCs w:val="14"/>
                <w:color w:val="auto"/>
              </w:rPr>
            </w:pP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788</w:t>
            </w:r>
          </w:p>
        </w:tc>
        <w:tc>
          <w:tcPr>
            <w:tcW w:w="92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5</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2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1,595</w:t>
            </w: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Banking</w:t>
            </w: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&amp; Securities Services</w:t>
            </w:r>
          </w:p>
        </w:tc>
        <w:tc>
          <w:tcPr>
            <w:tcW w:w="48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909</w:t>
            </w:r>
          </w:p>
        </w:tc>
        <w:tc>
          <w:tcPr>
            <w:tcW w:w="92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1,816</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&amp; Middle Market Financial</w:t>
            </w:r>
          </w:p>
        </w:tc>
        <w:tc>
          <w:tcPr>
            <w:tcW w:w="480" w:type="dxa"/>
            <w:vAlign w:val="bottom"/>
          </w:tcPr>
          <w:p>
            <w:pPr>
              <w:spacing w:after="0"/>
              <w:rPr>
                <w:sz w:val="14"/>
                <w:szCs w:val="14"/>
                <w:color w:val="auto"/>
              </w:rPr>
            </w:pP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2,642</w:t>
            </w:r>
          </w:p>
        </w:tc>
        <w:tc>
          <w:tcPr>
            <w:tcW w:w="92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5</w:t>
            </w:r>
          </w:p>
        </w:tc>
        <w:tc>
          <w:tcPr>
            <w:tcW w:w="6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22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5,201</w:t>
            </w: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w:t>
            </w:r>
          </w:p>
        </w:tc>
        <w:tc>
          <w:tcPr>
            <w:tcW w:w="11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Services</w:t>
            </w: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(b)</w:t>
            </w:r>
          </w:p>
        </w:tc>
        <w:tc>
          <w:tcPr>
            <w:tcW w:w="4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92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NM</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NM</w:t>
            </w: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c>
          <w:tcPr>
            <w:tcW w:w="11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REVENUE EXCLUDING JPMP</w:t>
            </w:r>
          </w:p>
        </w:tc>
        <w:tc>
          <w:tcPr>
            <w:tcW w:w="480" w:type="dxa"/>
            <w:vAlign w:val="bottom"/>
          </w:tcPr>
          <w:p>
            <w:pPr>
              <w:ind w:left="320"/>
              <w:spacing w:after="0"/>
              <w:rPr>
                <w:sz w:val="20"/>
                <w:szCs w:val="20"/>
                <w:color w:val="auto"/>
              </w:rPr>
            </w:pPr>
            <w:r>
              <w:rPr>
                <w:rFonts w:ascii="Courier New" w:cs="Courier New" w:eastAsia="Courier New" w:hAnsi="Courier New"/>
                <w:sz w:val="4"/>
                <w:szCs w:val="4"/>
                <w:color w:val="auto"/>
                <w:w w:val="83"/>
              </w:rPr>
              <w:t>-------</w:t>
            </w: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8,038</w:t>
            </w:r>
          </w:p>
        </w:tc>
        <w:tc>
          <w:tcPr>
            <w:tcW w:w="92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2</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12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(4)</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16,475</w:t>
            </w: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JPMorgan Partners</w:t>
            </w:r>
          </w:p>
        </w:tc>
        <w:tc>
          <w:tcPr>
            <w:tcW w:w="4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(894)</w:t>
            </w:r>
          </w:p>
        </w:tc>
        <w:tc>
          <w:tcPr>
            <w:tcW w:w="92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NM</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NM</w:t>
            </w: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(837)</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c>
          <w:tcPr>
            <w:tcW w:w="11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REVENUE INCLUDING JPMP</w:t>
            </w:r>
          </w:p>
        </w:tc>
        <w:tc>
          <w:tcPr>
            <w:tcW w:w="1060" w:type="dxa"/>
            <w:vAlign w:val="bottom"/>
            <w:gridSpan w:val="2"/>
            <w:vMerge w:val="restart"/>
          </w:tcPr>
          <w:p>
            <w:pPr>
              <w:jc w:val="right"/>
              <w:ind w:right="67"/>
              <w:spacing w:after="0"/>
              <w:rPr>
                <w:sz w:val="20"/>
                <w:szCs w:val="20"/>
                <w:color w:val="auto"/>
              </w:rPr>
            </w:pPr>
            <w:r>
              <w:rPr>
                <w:rFonts w:ascii="Courier New" w:cs="Courier New" w:eastAsia="Courier New" w:hAnsi="Courier New"/>
                <w:sz w:val="28"/>
                <w:szCs w:val="28"/>
                <w:color w:val="auto"/>
                <w:w w:val="71"/>
                <w:vertAlign w:val="subscript"/>
              </w:rPr>
              <w:t>$</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7,144</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(14)</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12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(18)</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$ 15,638</w:t>
            </w: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CASH OPERATING EARNINGS</w:t>
            </w: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790</w:t>
            </w:r>
          </w:p>
        </w:tc>
        <w:tc>
          <w:tcPr>
            <w:tcW w:w="9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(16)%</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(25)%</w:t>
            </w:r>
          </w:p>
        </w:tc>
        <w:tc>
          <w:tcPr>
            <w:tcW w:w="12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1,849</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w:t>
            </w:r>
          </w:p>
        </w:tc>
        <w:tc>
          <w:tcPr>
            <w:tcW w:w="11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Bank</w:t>
            </w: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Management &amp; Private</w:t>
            </w:r>
          </w:p>
        </w:tc>
        <w:tc>
          <w:tcPr>
            <w:tcW w:w="480" w:type="dxa"/>
            <w:vAlign w:val="bottom"/>
          </w:tcPr>
          <w:p>
            <w:pPr>
              <w:spacing w:after="0"/>
              <w:rPr>
                <w:sz w:val="14"/>
                <w:szCs w:val="14"/>
                <w:color w:val="auto"/>
              </w:rPr>
            </w:pP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117</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(8)</w:t>
            </w:r>
          </w:p>
        </w:tc>
        <w:tc>
          <w:tcPr>
            <w:tcW w:w="6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2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216</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Banking</w:t>
            </w: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&amp; Securities Services</w:t>
            </w:r>
          </w:p>
        </w:tc>
        <w:tc>
          <w:tcPr>
            <w:tcW w:w="48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w:t>
            </w:r>
          </w:p>
        </w:tc>
        <w:tc>
          <w:tcPr>
            <w:tcW w:w="9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346</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&amp; Middle Market Financial</w:t>
            </w:r>
          </w:p>
        </w:tc>
        <w:tc>
          <w:tcPr>
            <w:tcW w:w="480" w:type="dxa"/>
            <w:vAlign w:val="bottom"/>
          </w:tcPr>
          <w:p>
            <w:pPr>
              <w:spacing w:after="0"/>
              <w:rPr>
                <w:sz w:val="14"/>
                <w:szCs w:val="14"/>
                <w:color w:val="auto"/>
              </w:rPr>
            </w:pP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438</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(3)</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2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880</w:t>
            </w: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w:t>
            </w:r>
          </w:p>
        </w:tc>
        <w:tc>
          <w:tcPr>
            <w:tcW w:w="11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Services</w:t>
            </w: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(b)</w:t>
            </w:r>
          </w:p>
        </w:tc>
        <w:tc>
          <w:tcPr>
            <w:tcW w:w="4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NM</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NM</w:t>
            </w: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c>
          <w:tcPr>
            <w:tcW w:w="11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245"/>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CASH OPERATING EARNINGS EXCLUDING</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0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1,486</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(10)</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2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7"/>
                <w:szCs w:val="7"/>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3,119</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JPMP</w:t>
            </w: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JPMorgan Partners</w:t>
            </w:r>
          </w:p>
        </w:tc>
        <w:tc>
          <w:tcPr>
            <w:tcW w:w="4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w:t>
            </w:r>
          </w:p>
        </w:tc>
        <w:tc>
          <w:tcPr>
            <w:tcW w:w="92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NM</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NM</w:t>
            </w: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c>
          <w:tcPr>
            <w:tcW w:w="11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245"/>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CASH OPERATING EARNINGS INCLUDING</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020" w:type="dxa"/>
            <w:vAlign w:val="bottom"/>
            <w:vMerge w:val="continue"/>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873</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(53)</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12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7"/>
                <w:szCs w:val="7"/>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1"/>
              </w:rPr>
              <w:t>$ 2,486</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JPMP</w:t>
            </w: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3759" w:hanging="350"/>
        <w:spacing w:after="0" w:line="267"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results assume that the purchase of Flemings occurred at the beginning of 2000 and primarily affected Investment Bank, Investment Management &amp; Private Banking and total consolidated results.</w:t>
      </w:r>
    </w:p>
    <w:p>
      <w:pPr>
        <w:spacing w:after="0" w:line="1" w:lineRule="exact"/>
        <w:rPr>
          <w:rFonts w:ascii="Courier New" w:cs="Courier New" w:eastAsia="Courier New" w:hAnsi="Courier New"/>
          <w:sz w:val="14"/>
          <w:szCs w:val="14"/>
          <w:color w:val="auto"/>
        </w:rPr>
      </w:pPr>
    </w:p>
    <w:p>
      <w:pPr>
        <w:ind w:left="360" w:hanging="350"/>
        <w:spacing w:after="0" w:line="237"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LabMorgan, Support Units and the effects remaining at the corporate</w:t>
      </w:r>
    </w:p>
    <w:p>
      <w:pPr>
        <w:ind w:left="360"/>
        <w:spacing w:after="0" w:line="238" w:lineRule="auto"/>
        <w:rPr>
          <w:sz w:val="20"/>
          <w:szCs w:val="20"/>
          <w:color w:val="auto"/>
        </w:rPr>
      </w:pPr>
      <w:r>
        <w:rPr>
          <w:rFonts w:ascii="Courier New" w:cs="Courier New" w:eastAsia="Courier New" w:hAnsi="Courier New"/>
          <w:sz w:val="15"/>
          <w:szCs w:val="15"/>
          <w:color w:val="auto"/>
        </w:rPr>
        <w:t>level after the implementation of management accounting policies.</w:t>
      </w:r>
    </w:p>
    <w:p>
      <w:pPr>
        <w:spacing w:after="0"/>
        <w:rPr>
          <w:sz w:val="20"/>
          <w:szCs w:val="20"/>
          <w:color w:val="auto"/>
        </w:rPr>
      </w:pPr>
      <w:r>
        <w:rPr>
          <w:rFonts w:ascii="Courier New" w:cs="Courier New" w:eastAsia="Courier New" w:hAnsi="Courier New"/>
          <w:sz w:val="15"/>
          <w:szCs w:val="15"/>
          <w:color w:val="auto"/>
        </w:rPr>
        <w:t>NM - Not meaningful.</w:t>
      </w:r>
    </w:p>
    <w:p>
      <w:pPr>
        <w:spacing w:after="0" w:line="14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61" w:right="1440" w:bottom="873"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BANK</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selected financial data of the Investment Bank.</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(in millions, except ratios)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SECOND QUARTER</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5"/>
                <w:szCs w:val="5"/>
                <w:color w:val="auto"/>
                <w:w w:val="77"/>
              </w:rPr>
              <w:t>------------------------------------------</w:t>
            </w:r>
          </w:p>
        </w:tc>
        <w:tc>
          <w:tcPr>
            <w:tcW w:w="840" w:type="dxa"/>
            <w:vAlign w:val="bottom"/>
          </w:tcPr>
          <w:p>
            <w:pPr>
              <w:spacing w:after="0"/>
              <w:rPr>
                <w:sz w:val="14"/>
                <w:szCs w:val="14"/>
                <w:color w:val="auto"/>
              </w:rPr>
            </w:pPr>
          </w:p>
        </w:tc>
        <w:tc>
          <w:tcPr>
            <w:tcW w:w="2040" w:type="dxa"/>
            <w:vAlign w:val="bottom"/>
            <w:gridSpan w:val="2"/>
            <w:vMerge w:val="restart"/>
          </w:tcPr>
          <w:p>
            <w:pPr>
              <w:jc w:val="right"/>
              <w:ind w:right="927"/>
              <w:spacing w:after="0"/>
              <w:rPr>
                <w:sz w:val="20"/>
                <w:szCs w:val="20"/>
                <w:color w:val="auto"/>
              </w:rPr>
            </w:pPr>
            <w:r>
              <w:rPr>
                <w:rFonts w:ascii="Courier New" w:cs="Courier New" w:eastAsia="Courier New" w:hAnsi="Courier New"/>
                <w:sz w:val="15"/>
                <w:szCs w:val="15"/>
                <w:color w:val="auto"/>
                <w:w w:val="94"/>
              </w:rPr>
              <w:t>Over (Under)</w:t>
            </w:r>
          </w:p>
        </w:tc>
        <w:tc>
          <w:tcPr>
            <w:tcW w:w="3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Over (Under)</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8"/>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Pro Forma (a)</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84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rPr>
              <w:t>2Q 2000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1Q 2001</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74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 (a)</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Trading-Related Revenue</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1,614</w:t>
            </w:r>
          </w:p>
        </w:tc>
        <w:tc>
          <w:tcPr>
            <w:tcW w:w="840" w:type="dxa"/>
            <w:vAlign w:val="bottom"/>
          </w:tcPr>
          <w:p>
            <w:pPr>
              <w:jc w:val="right"/>
              <w:ind w:right="28"/>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3,740</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Banking Fees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921</w:t>
            </w:r>
          </w:p>
        </w:tc>
        <w:tc>
          <w:tcPr>
            <w:tcW w:w="8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1,860</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w:t>
            </w:r>
          </w:p>
        </w:tc>
        <w:tc>
          <w:tcPr>
            <w:tcW w:w="1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748</w:t>
            </w:r>
          </w:p>
        </w:tc>
        <w:tc>
          <w:tcPr>
            <w:tcW w:w="84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20</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1,477</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1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and Commissions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21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867</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Revenue</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w:t>
            </w:r>
          </w:p>
        </w:tc>
        <w:tc>
          <w:tcPr>
            <w:tcW w:w="84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30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w:t>
            </w:r>
          </w:p>
        </w:tc>
        <w:tc>
          <w:tcPr>
            <w:tcW w:w="1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REVENUE</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3,775</w:t>
            </w: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(3)</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(2)</w:t>
            </w:r>
          </w:p>
        </w:tc>
        <w:tc>
          <w:tcPr>
            <w:tcW w:w="120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8,213</w:t>
            </w:r>
          </w:p>
        </w:tc>
        <w:tc>
          <w:tcPr>
            <w:tcW w:w="7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Expense</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1,499</w:t>
            </w:r>
          </w:p>
        </w:tc>
        <w:tc>
          <w:tcPr>
            <w:tcW w:w="84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3,240</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Noncompensation Expense</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867</w:t>
            </w:r>
          </w:p>
        </w:tc>
        <w:tc>
          <w:tcPr>
            <w:tcW w:w="84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1,754</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CASH EXPENSE</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2,366</w:t>
            </w:r>
          </w:p>
        </w:tc>
        <w:tc>
          <w:tcPr>
            <w:tcW w:w="84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2</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120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4,994</w:t>
            </w:r>
          </w:p>
        </w:tc>
        <w:tc>
          <w:tcPr>
            <w:tcW w:w="7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OPERATING EARNINGS</w:t>
            </w:r>
          </w:p>
        </w:tc>
        <w:tc>
          <w:tcPr>
            <w:tcW w:w="36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790</w:t>
            </w:r>
          </w:p>
        </w:tc>
        <w:tc>
          <w:tcPr>
            <w:tcW w:w="8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w:t>
            </w:r>
          </w:p>
        </w:tc>
        <w:tc>
          <w:tcPr>
            <w:tcW w:w="220" w:type="dxa"/>
            <w:vAlign w:val="bottom"/>
            <w:vMerge w:val="continue"/>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1,849</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w:t>
            </w:r>
          </w:p>
        </w:tc>
        <w:tc>
          <w:tcPr>
            <w:tcW w:w="1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Average Common Equity</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14</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12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12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18,340</w:t>
            </w: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18,751</w:t>
            </w:r>
          </w:p>
        </w:tc>
        <w:tc>
          <w:tcPr>
            <w:tcW w:w="7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Assets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510,954</w:t>
            </w:r>
          </w:p>
        </w:tc>
        <w:tc>
          <w:tcPr>
            <w:tcW w:w="84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511,938</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Value Added</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w:t>
            </w:r>
          </w:p>
        </w:tc>
        <w:tc>
          <w:tcPr>
            <w:tcW w:w="8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(48)</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w:t>
            </w:r>
          </w:p>
        </w:tc>
        <w:tc>
          <w:tcPr>
            <w:tcW w:w="1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Return on Common Equity</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(600)bp</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(510)bp</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(440)bp</w:t>
            </w: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(620)bp</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(420)bp</w:t>
            </w:r>
          </w:p>
        </w:tc>
        <w:tc>
          <w:tcPr>
            <w:tcW w:w="0" w:type="dxa"/>
            <w:vAlign w:val="bottom"/>
          </w:tcPr>
          <w:p>
            <w:pPr>
              <w:spacing w:after="0"/>
              <w:rPr>
                <w:sz w:val="1"/>
                <w:szCs w:val="1"/>
                <w:color w:val="auto"/>
              </w:rPr>
            </w:pP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Cash Overhead Ratio</w:t>
            </w:r>
          </w:p>
        </w:tc>
        <w:tc>
          <w:tcPr>
            <w:tcW w:w="360" w:type="dxa"/>
            <w:vAlign w:val="bottom"/>
          </w:tcPr>
          <w:p>
            <w:pPr>
              <w:spacing w:after="0"/>
              <w:rPr>
                <w:sz w:val="16"/>
                <w:szCs w:val="16"/>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w:t>
            </w:r>
          </w:p>
        </w:tc>
        <w:tc>
          <w:tcPr>
            <w:tcW w:w="8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400</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spacing w:after="0"/>
              <w:rPr>
                <w:sz w:val="16"/>
                <w:szCs w:val="16"/>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results assume that the purchase of Flemings occurred at the</w:t>
      </w:r>
    </w:p>
    <w:p>
      <w:pPr>
        <w:spacing w:after="0" w:line="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beginning of 2000.</w:t>
      </w:r>
    </w:p>
    <w:p>
      <w:pPr>
        <w:spacing w:after="0"/>
        <w:rPr>
          <w:sz w:val="20"/>
          <w:szCs w:val="20"/>
          <w:color w:val="auto"/>
        </w:rPr>
      </w:pPr>
      <w:r>
        <w:rPr>
          <w:rFonts w:ascii="Courier New" w:cs="Courier New" w:eastAsia="Courier New" w:hAnsi="Courier New"/>
          <w:sz w:val="15"/>
          <w:szCs w:val="15"/>
          <w:color w:val="auto"/>
        </w:rPr>
        <w:t>bp - Denotes basis points; 100 bp equals 1%.</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(All comments related to 2000 give pro forma effect to the purchase of Flemings, which is treated as if it had occurred at the beginning of that year.)</w:t>
      </w:r>
    </w:p>
    <w:p>
      <w:pPr>
        <w:spacing w:after="0" w:line="1" w:lineRule="exact"/>
        <w:rPr>
          <w:sz w:val="20"/>
          <w:szCs w:val="20"/>
          <w:color w:val="auto"/>
        </w:rPr>
      </w:pPr>
    </w:p>
    <w:p>
      <w:pPr>
        <w:ind w:right="3319"/>
        <w:spacing w:after="0" w:line="267" w:lineRule="auto"/>
        <w:rPr>
          <w:sz w:val="20"/>
          <w:szCs w:val="20"/>
          <w:color w:val="auto"/>
        </w:rPr>
      </w:pPr>
      <w:r>
        <w:rPr>
          <w:rFonts w:ascii="Courier New" w:cs="Courier New" w:eastAsia="Courier New" w:hAnsi="Courier New"/>
          <w:sz w:val="14"/>
          <w:szCs w:val="14"/>
          <w:color w:val="auto"/>
        </w:rPr>
        <w:t>The Investment Bank's operating revenue in the second quarter of 2001 was $3.78 billion, down 11% from the second quarter of 2000 and for the first half of the year was $8.21 billion, down 9% from last year. The declines in revenue were primarily a consequence of the continuing difficult market environment in 2001. Cash operating expense declined 8% from the second quarter of 2000 and 7% from the first six months of 2000, benefiting from expense discipline that included net headcount reductions in excess of 3,000 since the start of the year and lower incentive accruals. Further net headcount reductions and expense reductions are planned as the merger integration continues through 2001 and 2002. Cash operating earnings declined 20% from the second quarter of 2000 and 17% from the first half of 2000.</w:t>
      </w:r>
    </w:p>
    <w:p>
      <w:pPr>
        <w:spacing w:after="0" w:line="78"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Trading revenue (including the associated net interest income ("NII")) of $1.61 billion in the second quarter declined by 11% from the second quarter of 2000. Year-to-date trading revenue was lower by 6%, compared with the same period last year. The declines were a result of overall challenging market conditions and slower market activity and were experienced across most of the Firm's trading activities. For additional comments on trading revenue products, see page</w:t>
      </w:r>
    </w:p>
    <w:p>
      <w:pPr>
        <w:ind w:right="3319" w:firstLine="10"/>
        <w:spacing w:after="0" w:line="272"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Trading-related revenue for the remainder of the year is likely to be lower than trading-related revenue realized in the first half of 2001 due to both seasonal patterns and market conditions.</w:t>
      </w:r>
    </w:p>
    <w:p>
      <w:pPr>
        <w:spacing w:after="0" w:line="69"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Investment banking fees declined by 21% from the second quarter of 2000 and by 22% from the first half of 2000. The declines were driven by the lower level of M&amp;A and equity underwriting activity in 2001. Investment banking revenues for the remainder of the year will be largely dependent upon the level of market activity for underwriting and M&amp;A advisory work, which are currently expected to remain at the same weak levels as experienced during the first half of the year.</w:t>
      </w:r>
    </w:p>
    <w:p>
      <w:pPr>
        <w:spacing w:after="0" w:line="67"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Double-digit percentage decreases in fees and commissions from both the second quarter and first half of last year were driven by lower equity brokerage commissions.</w:t>
      </w:r>
    </w:p>
    <w:p>
      <w:pPr>
        <w:spacing w:after="0" w:line="57"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All other revenue includes securities gains and reflected increases in securities gains of $70 million in the second quarter of 2001 and $247 million in the first half of 2001. The increases are the result of the Firm's asset/liability management ("A/L") activities in a declining interest rate environment.</w:t>
      </w:r>
    </w:p>
    <w:p>
      <w:pPr>
        <w:spacing w:after="0" w:line="75"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The Investment Bank's cash overhead ratio for the second quarter of 2001 was 63% and 61% for the first half of 2001. The Investment Bank is targeting a cash overhead ratio of 60% for the full-year 2001 assuming no further deterioration in market conditions.</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61" w:right="1440" w:bottom="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JPMORGAN PARTNERS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selected financial data of JPMorgan Partners.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 except ratios)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SECOND QUARTER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2480" w:type="dxa"/>
            <w:vAlign w:val="bottom"/>
            <w:gridSpan w:val="3"/>
            <w:vMerge w:val="restart"/>
          </w:tcPr>
          <w:p>
            <w:pPr>
              <w:jc w:val="right"/>
              <w:ind w:right="487"/>
              <w:spacing w:after="0"/>
              <w:rPr>
                <w:sz w:val="20"/>
                <w:szCs w:val="20"/>
                <w:color w:val="auto"/>
              </w:rPr>
            </w:pPr>
            <w:r>
              <w:rPr>
                <w:rFonts w:ascii="Courier New" w:cs="Courier New" w:eastAsia="Courier New" w:hAnsi="Courier New"/>
                <w:sz w:val="15"/>
                <w:szCs w:val="15"/>
                <w:color w:val="auto"/>
              </w:rPr>
              <w:t>Over (Under)</w:t>
            </w:r>
          </w:p>
        </w:tc>
        <w:tc>
          <w:tcPr>
            <w:tcW w:w="2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Over (Under)</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88"/>
              </w:rPr>
              <w:t>2001</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2Q2000</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w w:val="77"/>
              </w:rPr>
              <w:t>1Q</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4"/>
                <w:szCs w:val="14"/>
                <w:color w:val="auto"/>
              </w:rPr>
            </w:pP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58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3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Private Equity:</w:t>
            </w:r>
          </w:p>
        </w:tc>
        <w:tc>
          <w:tcPr>
            <w:tcW w:w="5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(60)</w:t>
            </w:r>
          </w:p>
        </w:tc>
        <w:tc>
          <w:tcPr>
            <w:tcW w:w="1660" w:type="dxa"/>
            <w:vAlign w:val="bottom"/>
            <w:vMerge w:val="restart"/>
          </w:tcPr>
          <w:p>
            <w:pPr>
              <w:jc w:val="right"/>
              <w:ind w:right="728"/>
              <w:spacing w:after="0"/>
              <w:rPr>
                <w:sz w:val="20"/>
                <w:szCs w:val="20"/>
                <w:color w:val="auto"/>
              </w:rPr>
            </w:pPr>
            <w:r>
              <w:rPr>
                <w:rFonts w:ascii="Courier New" w:cs="Courier New" w:eastAsia="Courier New" w:hAnsi="Courier New"/>
                <w:sz w:val="15"/>
                <w:szCs w:val="15"/>
                <w:color w:val="auto"/>
              </w:rPr>
              <w:t>NM</w:t>
            </w:r>
          </w:p>
        </w:tc>
        <w:tc>
          <w:tcPr>
            <w:tcW w:w="160" w:type="dxa"/>
            <w:vAlign w:val="bottom"/>
          </w:tcPr>
          <w:p>
            <w:pPr>
              <w:spacing w:after="0"/>
              <w:rPr>
                <w:sz w:val="22"/>
                <w:szCs w:val="22"/>
                <w:color w:val="auto"/>
              </w:rPr>
            </w:pPr>
          </w:p>
        </w:tc>
        <w:tc>
          <w:tcPr>
            <w:tcW w:w="6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NM</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353</w:t>
            </w:r>
          </w:p>
        </w:tc>
        <w:tc>
          <w:tcPr>
            <w:tcW w:w="13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Realized Gains (Losses)</w:t>
            </w: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Gains (Losses)</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(767)</w:t>
            </w:r>
          </w:p>
        </w:tc>
        <w:tc>
          <w:tcPr>
            <w:tcW w:w="1660" w:type="dxa"/>
            <w:vAlign w:val="bottom"/>
          </w:tcPr>
          <w:p>
            <w:pPr>
              <w:jc w:val="right"/>
              <w:ind w:right="728"/>
              <w:spacing w:after="0" w:line="168" w:lineRule="exact"/>
              <w:rPr>
                <w:sz w:val="20"/>
                <w:szCs w:val="20"/>
                <w:color w:val="auto"/>
              </w:rPr>
            </w:pPr>
            <w:r>
              <w:rPr>
                <w:rFonts w:ascii="Courier New" w:cs="Courier New" w:eastAsia="Courier New" w:hAnsi="Courier New"/>
                <w:sz w:val="15"/>
                <w:szCs w:val="15"/>
                <w:color w:val="auto"/>
              </w:rPr>
              <w:t>NM</w:t>
            </w:r>
          </w:p>
        </w:tc>
        <w:tc>
          <w:tcPr>
            <w:tcW w:w="1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NM</w:t>
            </w:r>
          </w:p>
        </w:tc>
        <w:tc>
          <w:tcPr>
            <w:tcW w:w="5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(1,048)</w:t>
            </w:r>
          </w:p>
        </w:tc>
        <w:tc>
          <w:tcPr>
            <w:tcW w:w="13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w:t>
            </w:r>
          </w:p>
        </w:tc>
        <w:tc>
          <w:tcPr>
            <w:tcW w:w="166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17%</w:t>
            </w:r>
          </w:p>
        </w:tc>
        <w:tc>
          <w:tcPr>
            <w:tcW w:w="1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(9)%</w:t>
            </w:r>
          </w:p>
        </w:tc>
        <w:tc>
          <w:tcPr>
            <w:tcW w:w="5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w:t>
            </w: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and Other Revenue</w:t>
            </w:r>
          </w:p>
        </w:tc>
        <w:tc>
          <w:tcPr>
            <w:tcW w:w="5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660" w:type="dxa"/>
            <w:vAlign w:val="bottom"/>
          </w:tcPr>
          <w:p>
            <w:pPr>
              <w:jc w:val="right"/>
              <w:ind w:right="728"/>
              <w:spacing w:after="0" w:line="168" w:lineRule="exact"/>
              <w:rPr>
                <w:sz w:val="20"/>
                <w:szCs w:val="20"/>
                <w:color w:val="auto"/>
              </w:rPr>
            </w:pPr>
            <w:r>
              <w:rPr>
                <w:rFonts w:ascii="Courier New" w:cs="Courier New" w:eastAsia="Courier New" w:hAnsi="Courier New"/>
                <w:sz w:val="15"/>
                <w:szCs w:val="15"/>
                <w:color w:val="auto"/>
              </w:rPr>
              <w:t>17</w:t>
            </w:r>
          </w:p>
        </w:tc>
        <w:tc>
          <w:tcPr>
            <w:tcW w:w="1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REVENUE</w:t>
            </w:r>
          </w:p>
        </w:tc>
        <w:tc>
          <w:tcPr>
            <w:tcW w:w="540" w:type="dxa"/>
            <w:vAlign w:val="bottom"/>
          </w:tcPr>
          <w:p>
            <w:pPr>
              <w:ind w:left="280"/>
              <w:spacing w:after="0"/>
              <w:rPr>
                <w:sz w:val="20"/>
                <w:szCs w:val="20"/>
                <w:color w:val="auto"/>
              </w:rPr>
            </w:pPr>
            <w:r>
              <w:rPr>
                <w:rFonts w:ascii="Courier New" w:cs="Courier New" w:eastAsia="Courier New" w:hAnsi="Courier New"/>
                <w:sz w:val="6"/>
                <w:szCs w:val="6"/>
                <w:color w:val="auto"/>
                <w:w w:val="73"/>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(894)</w:t>
            </w:r>
          </w:p>
        </w:tc>
        <w:tc>
          <w:tcPr>
            <w:tcW w:w="1660" w:type="dxa"/>
            <w:vAlign w:val="bottom"/>
            <w:vMerge w:val="restart"/>
          </w:tcPr>
          <w:p>
            <w:pPr>
              <w:jc w:val="right"/>
              <w:ind w:right="728"/>
              <w:spacing w:after="0"/>
              <w:rPr>
                <w:sz w:val="20"/>
                <w:szCs w:val="20"/>
                <w:color w:val="auto"/>
              </w:rPr>
            </w:pPr>
            <w:r>
              <w:rPr>
                <w:rFonts w:ascii="Courier New" w:cs="Courier New" w:eastAsia="Courier New" w:hAnsi="Courier New"/>
                <w:sz w:val="15"/>
                <w:szCs w:val="15"/>
                <w:color w:val="auto"/>
              </w:rPr>
              <w:t>NM</w:t>
            </w:r>
          </w:p>
        </w:tc>
        <w:tc>
          <w:tcPr>
            <w:tcW w:w="160" w:type="dxa"/>
            <w:vAlign w:val="bottom"/>
          </w:tcPr>
          <w:p>
            <w:pPr>
              <w:spacing w:after="0"/>
              <w:rPr>
                <w:sz w:val="14"/>
                <w:szCs w:val="14"/>
                <w:color w:val="auto"/>
              </w:rPr>
            </w:pPr>
          </w:p>
        </w:tc>
        <w:tc>
          <w:tcPr>
            <w:tcW w:w="6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NM</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(837)</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Expense</w:t>
            </w:r>
          </w:p>
        </w:tc>
        <w:tc>
          <w:tcPr>
            <w:tcW w:w="5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166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(21)</w:t>
            </w:r>
          </w:p>
        </w:tc>
        <w:tc>
          <w:tcPr>
            <w:tcW w:w="5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Noncompensation Expense</w:t>
            </w:r>
          </w:p>
        </w:tc>
        <w:tc>
          <w:tcPr>
            <w:tcW w:w="5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66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(17)</w:t>
            </w:r>
          </w:p>
        </w:tc>
        <w:tc>
          <w:tcPr>
            <w:tcW w:w="8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(31)</w:t>
            </w:r>
          </w:p>
        </w:tc>
        <w:tc>
          <w:tcPr>
            <w:tcW w:w="5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CASH EXPENSE</w:t>
            </w:r>
          </w:p>
        </w:tc>
        <w:tc>
          <w:tcPr>
            <w:tcW w:w="540" w:type="dxa"/>
            <w:vAlign w:val="bottom"/>
          </w:tcPr>
          <w:p>
            <w:pPr>
              <w:ind w:left="280"/>
              <w:spacing w:after="0"/>
              <w:rPr>
                <w:sz w:val="20"/>
                <w:szCs w:val="20"/>
                <w:color w:val="auto"/>
              </w:rPr>
            </w:pPr>
            <w:r>
              <w:rPr>
                <w:rFonts w:ascii="Courier New" w:cs="Courier New" w:eastAsia="Courier New" w:hAnsi="Courier New"/>
                <w:sz w:val="6"/>
                <w:szCs w:val="6"/>
                <w:color w:val="auto"/>
                <w:w w:val="73"/>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68</w:t>
            </w:r>
          </w:p>
        </w:tc>
        <w:tc>
          <w:tcPr>
            <w:tcW w:w="1660" w:type="dxa"/>
            <w:vAlign w:val="bottom"/>
            <w:vMerge w:val="restart"/>
          </w:tcPr>
          <w:p>
            <w:pPr>
              <w:jc w:val="right"/>
              <w:ind w:right="628"/>
              <w:spacing w:after="0"/>
              <w:rPr>
                <w:sz w:val="20"/>
                <w:szCs w:val="20"/>
                <w:color w:val="auto"/>
              </w:rPr>
            </w:pPr>
            <w:r>
              <w:rPr>
                <w:rFonts w:ascii="Courier New" w:cs="Courier New" w:eastAsia="Courier New" w:hAnsi="Courier New"/>
                <w:sz w:val="15"/>
                <w:szCs w:val="15"/>
                <w:color w:val="auto"/>
              </w:rPr>
              <w:t>(11)</w:t>
            </w:r>
          </w:p>
        </w:tc>
        <w:tc>
          <w:tcPr>
            <w:tcW w:w="820" w:type="dxa"/>
            <w:vAlign w:val="bottom"/>
            <w:gridSpan w:val="2"/>
            <w:vMerge w:val="restart"/>
          </w:tcPr>
          <w:p>
            <w:pPr>
              <w:jc w:val="right"/>
              <w:ind w:right="307"/>
              <w:spacing w:after="0"/>
              <w:rPr>
                <w:sz w:val="20"/>
                <w:szCs w:val="20"/>
                <w:color w:val="auto"/>
              </w:rPr>
            </w:pPr>
            <w:r>
              <w:rPr>
                <w:rFonts w:ascii="Courier New" w:cs="Courier New" w:eastAsia="Courier New" w:hAnsi="Courier New"/>
                <w:sz w:val="15"/>
                <w:szCs w:val="15"/>
                <w:color w:val="auto"/>
              </w:rPr>
              <w:t>(27)</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5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OPERATING EARNINGS (LOSS)</w:t>
            </w:r>
          </w:p>
        </w:tc>
        <w:tc>
          <w:tcPr>
            <w:tcW w:w="540" w:type="dxa"/>
            <w:vAlign w:val="bottom"/>
            <w:vMerge w:val="continue"/>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(613)</w:t>
            </w:r>
          </w:p>
        </w:tc>
        <w:tc>
          <w:tcPr>
            <w:tcW w:w="1660" w:type="dxa"/>
            <w:vAlign w:val="bottom"/>
          </w:tcPr>
          <w:p>
            <w:pPr>
              <w:jc w:val="right"/>
              <w:ind w:right="728"/>
              <w:spacing w:after="0" w:line="168" w:lineRule="exact"/>
              <w:rPr>
                <w:sz w:val="20"/>
                <w:szCs w:val="20"/>
                <w:color w:val="auto"/>
              </w:rPr>
            </w:pPr>
            <w:r>
              <w:rPr>
                <w:rFonts w:ascii="Courier New" w:cs="Courier New" w:eastAsia="Courier New" w:hAnsi="Courier New"/>
                <w:sz w:val="15"/>
                <w:szCs w:val="15"/>
                <w:color w:val="auto"/>
              </w:rPr>
              <w:t>NM</w:t>
            </w:r>
          </w:p>
        </w:tc>
        <w:tc>
          <w:tcPr>
            <w:tcW w:w="1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NM</w:t>
            </w:r>
          </w:p>
        </w:tc>
        <w:tc>
          <w:tcPr>
            <w:tcW w:w="580" w:type="dxa"/>
            <w:vAlign w:val="bottom"/>
            <w:vMerge w:val="continue"/>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(633)</w:t>
            </w:r>
          </w:p>
        </w:tc>
        <w:tc>
          <w:tcPr>
            <w:tcW w:w="13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Average Common Equity</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6,447</w:t>
            </w:r>
          </w:p>
        </w:tc>
        <w:tc>
          <w:tcPr>
            <w:tcW w:w="1660" w:type="dxa"/>
            <w:vAlign w:val="bottom"/>
          </w:tcPr>
          <w:p>
            <w:pPr>
              <w:jc w:val="right"/>
              <w:ind w:right="628"/>
              <w:spacing w:after="0"/>
              <w:rPr>
                <w:sz w:val="20"/>
                <w:szCs w:val="20"/>
                <w:color w:val="auto"/>
              </w:rPr>
            </w:pPr>
            <w:r>
              <w:rPr>
                <w:rFonts w:ascii="Courier New" w:cs="Courier New" w:eastAsia="Courier New" w:hAnsi="Courier New"/>
                <w:sz w:val="15"/>
                <w:szCs w:val="15"/>
                <w:color w:val="auto"/>
              </w:rPr>
              <w:t>(12)</w:t>
            </w:r>
          </w:p>
        </w:tc>
        <w:tc>
          <w:tcPr>
            <w:tcW w:w="160" w:type="dxa"/>
            <w:vAlign w:val="bottom"/>
          </w:tcPr>
          <w:p>
            <w:pPr>
              <w:spacing w:after="0"/>
              <w:rPr>
                <w:sz w:val="22"/>
                <w:szCs w:val="22"/>
                <w:color w:val="auto"/>
              </w:rPr>
            </w:pP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6,599</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Assets</w:t>
            </w:r>
          </w:p>
        </w:tc>
        <w:tc>
          <w:tcPr>
            <w:tcW w:w="5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11,683</w:t>
            </w:r>
          </w:p>
        </w:tc>
        <w:tc>
          <w:tcPr>
            <w:tcW w:w="166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(13)</w:t>
            </w:r>
          </w:p>
        </w:tc>
        <w:tc>
          <w:tcPr>
            <w:tcW w:w="8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(11)</w:t>
            </w:r>
          </w:p>
        </w:tc>
        <w:tc>
          <w:tcPr>
            <w:tcW w:w="5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12,415</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Value Added</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(857)</w:t>
            </w:r>
          </w:p>
        </w:tc>
        <w:tc>
          <w:tcPr>
            <w:tcW w:w="1660" w:type="dxa"/>
            <w:vAlign w:val="bottom"/>
          </w:tcPr>
          <w:p>
            <w:pPr>
              <w:jc w:val="right"/>
              <w:ind w:right="728"/>
              <w:spacing w:after="0" w:line="168" w:lineRule="exact"/>
              <w:rPr>
                <w:sz w:val="20"/>
                <w:szCs w:val="20"/>
                <w:color w:val="auto"/>
              </w:rPr>
            </w:pPr>
            <w:r>
              <w:rPr>
                <w:rFonts w:ascii="Courier New" w:cs="Courier New" w:eastAsia="Courier New" w:hAnsi="Courier New"/>
                <w:sz w:val="15"/>
                <w:szCs w:val="15"/>
                <w:color w:val="auto"/>
              </w:rPr>
              <w:t>NM</w:t>
            </w:r>
          </w:p>
        </w:tc>
        <w:tc>
          <w:tcPr>
            <w:tcW w:w="1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NM</w:t>
            </w:r>
          </w:p>
        </w:tc>
        <w:tc>
          <w:tcPr>
            <w:tcW w:w="5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(1,130)</w:t>
            </w:r>
          </w:p>
        </w:tc>
        <w:tc>
          <w:tcPr>
            <w:tcW w:w="13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Common Equity</w:t>
            </w:r>
          </w:p>
        </w:tc>
        <w:tc>
          <w:tcPr>
            <w:tcW w:w="5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c>
          <w:tcPr>
            <w:tcW w:w="1660" w:type="dxa"/>
            <w:vAlign w:val="bottom"/>
          </w:tcPr>
          <w:p>
            <w:pPr>
              <w:jc w:val="right"/>
              <w:ind w:right="728"/>
              <w:spacing w:after="0" w:line="168" w:lineRule="exact"/>
              <w:rPr>
                <w:sz w:val="20"/>
                <w:szCs w:val="20"/>
                <w:color w:val="auto"/>
              </w:rPr>
            </w:pPr>
            <w:r>
              <w:rPr>
                <w:rFonts w:ascii="Courier New" w:cs="Courier New" w:eastAsia="Courier New" w:hAnsi="Courier New"/>
                <w:sz w:val="15"/>
                <w:szCs w:val="15"/>
                <w:color w:val="auto"/>
              </w:rPr>
              <w:t>NM</w:t>
            </w:r>
          </w:p>
        </w:tc>
        <w:tc>
          <w:tcPr>
            <w:tcW w:w="1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NM</w:t>
            </w:r>
          </w:p>
        </w:tc>
        <w:tc>
          <w:tcPr>
            <w:tcW w:w="580" w:type="dxa"/>
            <w:vAlign w:val="bottom"/>
          </w:tcPr>
          <w:p>
            <w:pPr>
              <w:spacing w:after="0"/>
              <w:rPr>
                <w:sz w:val="14"/>
                <w:szCs w:val="14"/>
                <w:color w:val="auto"/>
              </w:rPr>
            </w:pPr>
          </w:p>
        </w:tc>
        <w:tc>
          <w:tcPr>
            <w:tcW w:w="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c>
          <w:tcPr>
            <w:tcW w:w="13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194"/>
        </w:trPr>
        <w:tc>
          <w:tcPr>
            <w:tcW w:w="2800" w:type="dxa"/>
            <w:vAlign w:val="bottom"/>
          </w:tcPr>
          <w:p>
            <w:pPr>
              <w:spacing w:after="0"/>
              <w:rPr>
                <w:sz w:val="20"/>
                <w:szCs w:val="20"/>
                <w:color w:val="auto"/>
              </w:rPr>
            </w:pPr>
            <w:r>
              <w:rPr>
                <w:rFonts w:ascii="Courier New" w:cs="Courier New" w:eastAsia="Courier New" w:hAnsi="Courier New"/>
                <w:sz w:val="15"/>
                <w:szCs w:val="15"/>
                <w:color w:val="auto"/>
              </w:rPr>
              <w:t>Cash Overhead Ratio</w:t>
            </w:r>
          </w:p>
        </w:tc>
        <w:tc>
          <w:tcPr>
            <w:tcW w:w="540" w:type="dxa"/>
            <w:vAlign w:val="bottom"/>
          </w:tcPr>
          <w:p>
            <w:pPr>
              <w:spacing w:after="0"/>
              <w:rPr>
                <w:sz w:val="16"/>
                <w:szCs w:val="16"/>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c>
          <w:tcPr>
            <w:tcW w:w="1660" w:type="dxa"/>
            <w:vAlign w:val="bottom"/>
          </w:tcPr>
          <w:p>
            <w:pPr>
              <w:jc w:val="right"/>
              <w:ind w:right="728"/>
              <w:spacing w:after="0"/>
              <w:rPr>
                <w:sz w:val="20"/>
                <w:szCs w:val="20"/>
                <w:color w:val="auto"/>
              </w:rPr>
            </w:pPr>
            <w:r>
              <w:rPr>
                <w:rFonts w:ascii="Courier New" w:cs="Courier New" w:eastAsia="Courier New" w:hAnsi="Courier New"/>
                <w:sz w:val="15"/>
                <w:szCs w:val="15"/>
                <w:color w:val="auto"/>
              </w:rPr>
              <w:t>NM</w:t>
            </w:r>
          </w:p>
        </w:tc>
        <w:tc>
          <w:tcPr>
            <w:tcW w:w="160" w:type="dxa"/>
            <w:vAlign w:val="bottom"/>
          </w:tcPr>
          <w:p>
            <w:pPr>
              <w:spacing w:after="0"/>
              <w:rPr>
                <w:sz w:val="16"/>
                <w:szCs w:val="16"/>
                <w:color w:val="auto"/>
              </w:rPr>
            </w:pP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NM</w:t>
            </w:r>
          </w:p>
        </w:tc>
        <w:tc>
          <w:tcPr>
            <w:tcW w:w="580" w:type="dxa"/>
            <w:vAlign w:val="bottom"/>
          </w:tcPr>
          <w:p>
            <w:pPr>
              <w:spacing w:after="0"/>
              <w:rPr>
                <w:sz w:val="16"/>
                <w:szCs w:val="16"/>
                <w:color w:val="auto"/>
              </w:rPr>
            </w:pPr>
          </w:p>
        </w:tc>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NM</w:t>
            </w:r>
          </w:p>
        </w:tc>
        <w:tc>
          <w:tcPr>
            <w:tcW w:w="13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 Not meaningful.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4"/>
          <w:szCs w:val="14"/>
          <w:color w:val="auto"/>
        </w:rPr>
        <w:t>JPMorgan Partners generated net private equity losses of $827 million in the second quarter of 2001, compared with gains of $447 million in the second quarter of 2000. Included in the second quarter of 2001 were write-downs and write-offs of $1.02 billion taken on JPMP's direct private investments and fund positions as a result of lower overall valuation levels of its investments.</w:t>
      </w:r>
    </w:p>
    <w:p>
      <w:pPr>
        <w:spacing w:after="0" w:line="61"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A majority of the write-downs and write-offs were associated with technology, media and telecommunications ("TMT") investments, with particular focus on transactions funded during 1999 and 2000. During this period, investments made in the TMT sector reflected historically high valuations. JPMP's TMT investments from 1999 and 2000 currently are valued at 55% of initial cost. (Exclusive of investments with increased valuation adjustments recognized upon the initial public offering of such securities or as a result of an additional round of private financing). At June 30, 2001, TMT investments represented approximately 32% of the total of JPMP's portfolio.</w:t>
      </w:r>
    </w:p>
    <w:p>
      <w:pPr>
        <w:spacing w:after="0" w:line="89"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The carrying values of the equity investments recorded on JPMC's financial statements are net of interests of investors other than JPMC. JPMP has sold interests in certain of its fund investments to unaffiliated third parties and is in the process of offering interests in a new investment fund that will co-invest with JPMP in its direct investments. As a result, JPMC's proportional ownership share of investments to be made by JPMP in the future will be reduced.</w:t>
      </w:r>
    </w:p>
    <w:p>
      <w:pPr>
        <w:spacing w:after="0" w:line="2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6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JPMORGAN PARTNERS INVESTMENT PORTFOLIO</w:t>
      </w:r>
    </w:p>
    <w:p>
      <w:pPr>
        <w:spacing w:after="0" w:line="24" w:lineRule="exact"/>
        <w:rPr>
          <w:sz w:val="20"/>
          <w:szCs w:val="20"/>
          <w:color w:val="auto"/>
        </w:rPr>
      </w:pPr>
    </w:p>
    <w:p>
      <w:pPr>
        <w:ind w:right="4099"/>
        <w:spacing w:after="0" w:line="307" w:lineRule="auto"/>
        <w:rPr>
          <w:sz w:val="20"/>
          <w:szCs w:val="20"/>
          <w:color w:val="auto"/>
        </w:rPr>
      </w:pPr>
      <w:r>
        <w:rPr>
          <w:rFonts w:ascii="Courier New" w:cs="Courier New" w:eastAsia="Courier New" w:hAnsi="Courier New"/>
          <w:sz w:val="15"/>
          <w:szCs w:val="15"/>
          <w:color w:val="auto"/>
        </w:rPr>
        <w:t>The following table presents the carrying values and costs of the JPMP investment portfolio for the dates indicated.</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400" w:type="dxa"/>
            <w:vAlign w:val="bottom"/>
          </w:tcPr>
          <w:p>
            <w:pPr>
              <w:spacing w:after="0"/>
              <w:rPr>
                <w:sz w:val="14"/>
                <w:szCs w:val="14"/>
                <w:color w:val="auto"/>
              </w:rPr>
            </w:pPr>
          </w:p>
        </w:tc>
        <w:tc>
          <w:tcPr>
            <w:tcW w:w="170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JUNE 30, 2001</w:t>
            </w:r>
          </w:p>
        </w:tc>
        <w:tc>
          <w:tcPr>
            <w:tcW w:w="300" w:type="dxa"/>
            <w:vAlign w:val="bottom"/>
          </w:tcPr>
          <w:p>
            <w:pPr>
              <w:spacing w:after="0"/>
              <w:rPr>
                <w:sz w:val="14"/>
                <w:szCs w:val="14"/>
                <w:color w:val="auto"/>
              </w:rPr>
            </w:pP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March 31, 2001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June 30,</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360" w:type="dxa"/>
            <w:vAlign w:val="bottom"/>
            <w:gridSpan w:val="3"/>
            <w:vMerge w:val="restart"/>
          </w:tcPr>
          <w:p>
            <w:pPr>
              <w:ind w:left="40"/>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4"/>
                <w:szCs w:val="14"/>
                <w:color w:val="auto"/>
                <w:w w:val="76"/>
                <w:vertAlign w:val="subscript"/>
              </w:rPr>
              <w:t>CARRYING</w:t>
            </w:r>
          </w:p>
        </w:tc>
        <w:tc>
          <w:tcPr>
            <w:tcW w:w="740" w:type="dxa"/>
            <w:vAlign w:val="bottom"/>
          </w:tcPr>
          <w:p>
            <w:pPr>
              <w:spacing w:after="0"/>
              <w:rPr>
                <w:sz w:val="14"/>
                <w:szCs w:val="14"/>
                <w:color w:val="auto"/>
              </w:rPr>
            </w:pPr>
          </w:p>
        </w:tc>
        <w:tc>
          <w:tcPr>
            <w:tcW w:w="20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COST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Carrying</w:t>
            </w: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Cost</w:t>
            </w:r>
          </w:p>
        </w:tc>
        <w:tc>
          <w:tcPr>
            <w:tcW w:w="10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Carrying</w:t>
            </w: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Cost</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3"/>
              </w:rPr>
              <w:t>VALUE</w:t>
            </w:r>
          </w:p>
        </w:tc>
        <w:tc>
          <w:tcPr>
            <w:tcW w:w="3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w:t>
            </w: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Value</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Public Securities (198 companies) (a) (b)</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1,680</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1,018</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3,585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$ 1,219</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Direct Securities (930</w:t>
            </w:r>
          </w:p>
        </w:tc>
        <w:tc>
          <w:tcPr>
            <w:tcW w:w="400" w:type="dxa"/>
            <w:vAlign w:val="bottom"/>
          </w:tcPr>
          <w:p>
            <w:pPr>
              <w:spacing w:after="0"/>
              <w:rPr>
                <w:sz w:val="14"/>
                <w:szCs w:val="14"/>
                <w:color w:val="auto"/>
              </w:rPr>
            </w:pPr>
          </w:p>
        </w:tc>
        <w:tc>
          <w:tcPr>
            <w:tcW w:w="6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6,089</w:t>
            </w:r>
          </w:p>
        </w:tc>
        <w:tc>
          <w:tcPr>
            <w:tcW w:w="320" w:type="dxa"/>
            <w:vAlign w:val="bottom"/>
          </w:tcPr>
          <w:p>
            <w:pPr>
              <w:spacing w:after="0"/>
              <w:rPr>
                <w:sz w:val="14"/>
                <w:szCs w:val="14"/>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6,998</w:t>
            </w:r>
          </w:p>
        </w:tc>
        <w:tc>
          <w:tcPr>
            <w:tcW w:w="30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7,144</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7,318</w:t>
            </w:r>
          </w:p>
        </w:tc>
        <w:tc>
          <w:tcPr>
            <w:tcW w:w="260" w:type="dxa"/>
            <w:vAlign w:val="bottom"/>
          </w:tcPr>
          <w:p>
            <w:pPr>
              <w:spacing w:after="0"/>
              <w:rPr>
                <w:sz w:val="14"/>
                <w:szCs w:val="14"/>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6,500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6,453</w:t>
            </w: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companies) (b)</w:t>
            </w:r>
          </w:p>
        </w:tc>
        <w:tc>
          <w:tcPr>
            <w:tcW w:w="4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Fund Investments (329 funds) (b)</w:t>
            </w:r>
          </w:p>
        </w:tc>
        <w:tc>
          <w:tcPr>
            <w:tcW w:w="4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2,086</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2,201</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2,141</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2,476</w:t>
            </w:r>
          </w:p>
        </w:tc>
        <w:tc>
          <w:tcPr>
            <w:tcW w:w="0" w:type="dxa"/>
            <w:vAlign w:val="bottom"/>
          </w:tcPr>
          <w:p>
            <w:pPr>
              <w:spacing w:after="0"/>
              <w:rPr>
                <w:sz w:val="1"/>
                <w:szCs w:val="1"/>
                <w:color w:val="auto"/>
              </w:rPr>
            </w:pPr>
          </w:p>
        </w:tc>
      </w:tr>
      <w:tr>
        <w:trPr>
          <w:trHeight w:val="168"/>
        </w:trPr>
        <w:tc>
          <w:tcPr>
            <w:tcW w:w="36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Investment Portfolio</w:t>
            </w:r>
          </w:p>
        </w:tc>
        <w:tc>
          <w:tcPr>
            <w:tcW w:w="40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6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9,855</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10,173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$ 10,477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12,577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$10,148</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 traded positions only.</w:t>
      </w:r>
    </w:p>
    <w:p>
      <w:pPr>
        <w:spacing w:after="0" w:line="24"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number of companies and funds at June 30, 2001.</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following table presents information about the 10 largest holdings of public securities in the JPMP investment portfolio.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PUBLIC SECURITIES INVESTMENTS AT JUNE 30, 2001 (a)</w:t>
            </w: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w w:val="96"/>
              </w:rPr>
              <w:t>QUOTED</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0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SYMBOL</w:t>
            </w: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5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COST</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PUBLIC VALUE</w:t>
            </w:r>
          </w:p>
        </w:tc>
        <w:tc>
          <w:tcPr>
            <w:tcW w:w="4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Triton PCS Holdings, Inc.</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TPCS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20.2</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829</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Telecorp PCS</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TLCP</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221</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American Tower Corp.</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121</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 Border Partners, L.P.</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NBP</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Guitar Center Inc.</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GTRC</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Fisher Scientific</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FSH</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Encore Acquisition Company</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EAC</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Packaging Corp. of America</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PKG</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1-800 FLOWERS.com</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FLWS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Crown Media Holdings Inc.</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CRWN</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37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TOP 10 PUBLIC SECURITIES</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1,718</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Public Securities (188 companies)</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697</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w:t>
            </w:r>
          </w:p>
        </w:tc>
        <w:tc>
          <w:tcPr>
            <w:tcW w:w="0" w:type="dxa"/>
            <w:vAlign w:val="bottom"/>
          </w:tcPr>
          <w:p>
            <w:pPr>
              <w:spacing w:after="0"/>
              <w:rPr>
                <w:sz w:val="1"/>
                <w:szCs w:val="1"/>
                <w:color w:val="auto"/>
              </w:rPr>
            </w:pPr>
          </w:p>
        </w:tc>
      </w:tr>
      <w:tr>
        <w:trPr>
          <w:trHeight w:val="168"/>
        </w:trPr>
        <w:tc>
          <w:tcPr>
            <w:tcW w:w="37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w w:val="97"/>
              </w:rPr>
              <w:t>TOTAL PUBLIC SECURITIES (198 companies)</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2,415</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239" w:hanging="350"/>
        <w:spacing w:after="0" w:line="266"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Policy: Public securities held by JPMorgan Partners are marked-to-market at the quoted public value less liquidity discounts, with the resulting unrealized gains/losses included in the income statement. JPMorgan Partners' valuation policy for public securities incorporates the use of liquidity discounts and price averaging methodologies in certain circumstances to take into account the fact that JPMorgan Partners cannot immediately realize the quoted public values as a result of the regulatory, corporate and contractual sales restrictions generally imposed on these holdings. Private investments are initially carried at cost, which is viewed as an approximation of fair value. The carrying value of private investments is adjusted to reflect valuation changes resulting from unaffiliated party transactions and for evidence of a decline in value.</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Firm continues to believe JPMP's equity-related investments will create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value for JPMC. During the first half of 2001, JPMP invested $0.5</w:t>
      </w:r>
    </w:p>
    <w:p>
      <w:pPr>
        <w:ind w:right="3399"/>
        <w:spacing w:after="0" w:line="285" w:lineRule="auto"/>
        <w:rPr>
          <w:sz w:val="20"/>
          <w:szCs w:val="20"/>
          <w:color w:val="auto"/>
        </w:rPr>
      </w:pPr>
      <w:r>
        <w:rPr>
          <w:rFonts w:ascii="Courier New" w:cs="Courier New" w:eastAsia="Courier New" w:hAnsi="Courier New"/>
          <w:sz w:val="14"/>
          <w:szCs w:val="14"/>
          <w:color w:val="auto"/>
        </w:rPr>
        <w:t>billion in direct equity. The pace of investments may increase over the next 12-18 months. JPMP intends to increase industry and geographic diversification in its portfolio over time. The Firm is currently prepared to commit at least $1.5 billion of its own funds to JPMP in each of the next four years.</w:t>
      </w:r>
    </w:p>
    <w:p>
      <w:pPr>
        <w:spacing w:after="0" w:line="2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61" w:right="1440" w:bottom="1041"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MANAGEMENT &amp; PRIVATE BANKING</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reflects selected financial data for Investment Management &amp;</w:t>
      </w:r>
    </w:p>
    <w:p>
      <w:pPr>
        <w:spacing w:after="0"/>
        <w:rPr>
          <w:sz w:val="20"/>
          <w:szCs w:val="20"/>
          <w:color w:val="auto"/>
        </w:rPr>
      </w:pPr>
      <w:r>
        <w:rPr>
          <w:rFonts w:ascii="Courier New" w:cs="Courier New" w:eastAsia="Courier New" w:hAnsi="Courier New"/>
          <w:sz w:val="15"/>
          <w:szCs w:val="15"/>
          <w:color w:val="auto"/>
        </w:rPr>
        <w:t>Private Banking ("IMPB").</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 millions, except ratios)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SECOND QUARTER</w:t>
            </w: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SIX MONTHS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1540" w:type="dxa"/>
            <w:vAlign w:val="bottom"/>
            <w:gridSpan w:val="2"/>
          </w:tcPr>
          <w:p>
            <w:pPr>
              <w:ind w:left="360"/>
              <w:spacing w:after="0"/>
              <w:rPr>
                <w:sz w:val="20"/>
                <w:szCs w:val="20"/>
                <w:color w:val="auto"/>
              </w:rPr>
            </w:pPr>
            <w:r>
              <w:rPr>
                <w:rFonts w:ascii="Courier New" w:cs="Courier New" w:eastAsia="Courier New" w:hAnsi="Courier New"/>
                <w:sz w:val="5"/>
                <w:szCs w:val="5"/>
                <w:color w:val="auto"/>
                <w:w w:val="74"/>
              </w:rPr>
              <w:t>----------------------------------------------------</w:t>
            </w:r>
          </w:p>
        </w:tc>
        <w:tc>
          <w:tcPr>
            <w:tcW w:w="1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2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320" w:type="dxa"/>
            <w:vAlign w:val="bottom"/>
            <w:gridSpan w:val="2"/>
          </w:tcPr>
          <w:p>
            <w:pPr>
              <w:jc w:val="right"/>
              <w:ind w:right="1187"/>
              <w:spacing w:after="0"/>
              <w:rPr>
                <w:sz w:val="20"/>
                <w:szCs w:val="20"/>
                <w:color w:val="auto"/>
              </w:rPr>
            </w:pPr>
            <w:r>
              <w:rPr>
                <w:rFonts w:ascii="Courier New" w:cs="Courier New" w:eastAsia="Courier New" w:hAnsi="Courier New"/>
                <w:sz w:val="15"/>
                <w:szCs w:val="15"/>
                <w:color w:val="auto"/>
                <w:w w:val="96"/>
              </w:rPr>
              <w:t>Over (Under)</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Over (Under)</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4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Pro Forma (a)</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88"/>
              </w:rPr>
              <w:t>2001</w:t>
            </w:r>
          </w:p>
        </w:tc>
        <w:tc>
          <w:tcPr>
            <w:tcW w:w="12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2Q 2000</w:t>
            </w:r>
          </w:p>
        </w:tc>
        <w:tc>
          <w:tcPr>
            <w:tcW w:w="8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8"/>
              </w:rPr>
              <w:t>1Q 2001</w:t>
            </w:r>
          </w:p>
        </w:tc>
        <w:tc>
          <w:tcPr>
            <w:tcW w:w="14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 Forma (a)</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427"/>
        </w:trPr>
        <w:tc>
          <w:tcPr>
            <w:tcW w:w="2800" w:type="dxa"/>
            <w:vAlign w:val="bottom"/>
          </w:tcPr>
          <w:p>
            <w:pPr>
              <w:spacing w:after="0"/>
              <w:rPr>
                <w:sz w:val="20"/>
                <w:szCs w:val="20"/>
                <w:color w:val="auto"/>
              </w:rPr>
            </w:pPr>
            <w:r>
              <w:rPr>
                <w:rFonts w:ascii="Courier New" w:cs="Courier New" w:eastAsia="Courier New" w:hAnsi="Courier New"/>
                <w:sz w:val="15"/>
                <w:szCs w:val="15"/>
                <w:color w:val="auto"/>
              </w:rPr>
              <w:t>Fees and Commissions</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592</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1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8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Trading-Related Revenue</w:t>
            </w:r>
          </w:p>
        </w:tc>
        <w:tc>
          <w:tcPr>
            <w:tcW w:w="8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11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Revenue</w:t>
            </w:r>
          </w:p>
        </w:tc>
        <w:tc>
          <w:tcPr>
            <w:tcW w:w="8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w:t>
            </w:r>
          </w:p>
        </w:tc>
        <w:tc>
          <w:tcPr>
            <w:tcW w:w="11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REVENUE</w:t>
            </w:r>
          </w:p>
        </w:tc>
        <w:tc>
          <w:tcPr>
            <w:tcW w:w="800" w:type="dxa"/>
            <w:vAlign w:val="bottom"/>
          </w:tcPr>
          <w:p>
            <w:pPr>
              <w:ind w:left="360"/>
              <w:spacing w:after="0"/>
              <w:rPr>
                <w:sz w:val="20"/>
                <w:szCs w:val="20"/>
                <w:color w:val="auto"/>
              </w:rPr>
            </w:pPr>
            <w:r>
              <w:rPr>
                <w:rFonts w:ascii="Courier New" w:cs="Courier New" w:eastAsia="Courier New" w:hAnsi="Courier New"/>
                <w:sz w:val="9"/>
                <w:szCs w:val="9"/>
                <w:color w:val="auto"/>
                <w:w w:val="70"/>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788</w:t>
            </w:r>
          </w:p>
        </w:tc>
        <w:tc>
          <w:tcPr>
            <w:tcW w:w="126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5</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(15)</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6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1,595</w:t>
            </w:r>
          </w:p>
        </w:tc>
        <w:tc>
          <w:tcPr>
            <w:tcW w:w="1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Expense</w:t>
            </w:r>
          </w:p>
        </w:tc>
        <w:tc>
          <w:tcPr>
            <w:tcW w:w="8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Noncompensation Expense</w:t>
            </w:r>
          </w:p>
        </w:tc>
        <w:tc>
          <w:tcPr>
            <w:tcW w:w="8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CASH EXPENSE</w:t>
            </w:r>
          </w:p>
        </w:tc>
        <w:tc>
          <w:tcPr>
            <w:tcW w:w="800" w:type="dxa"/>
            <w:vAlign w:val="bottom"/>
          </w:tcPr>
          <w:p>
            <w:pPr>
              <w:ind w:left="360"/>
              <w:spacing w:after="0"/>
              <w:rPr>
                <w:sz w:val="20"/>
                <w:szCs w:val="20"/>
                <w:color w:val="auto"/>
              </w:rPr>
            </w:pPr>
            <w:r>
              <w:rPr>
                <w:rFonts w:ascii="Courier New" w:cs="Courier New" w:eastAsia="Courier New" w:hAnsi="Courier New"/>
                <w:sz w:val="9"/>
                <w:szCs w:val="9"/>
                <w:color w:val="auto"/>
                <w:w w:val="70"/>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644</w:t>
            </w:r>
          </w:p>
        </w:tc>
        <w:tc>
          <w:tcPr>
            <w:tcW w:w="126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16</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(6)</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6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8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1,329</w:t>
            </w:r>
          </w:p>
        </w:tc>
        <w:tc>
          <w:tcPr>
            <w:tcW w:w="1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OPERATING EARNINGS</w:t>
            </w:r>
          </w:p>
        </w:tc>
        <w:tc>
          <w:tcPr>
            <w:tcW w:w="800" w:type="dxa"/>
            <w:vAlign w:val="bottom"/>
            <w:vMerge w:val="continue"/>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w:t>
            </w:r>
          </w:p>
        </w:tc>
        <w:tc>
          <w:tcPr>
            <w:tcW w:w="400" w:type="dxa"/>
            <w:vAlign w:val="bottom"/>
            <w:vMerge w:val="continue"/>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1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Average Common Equity</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5,885</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139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5,998</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144</w:t>
            </w:r>
          </w:p>
        </w:tc>
        <w:tc>
          <w:tcPr>
            <w:tcW w:w="11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Assets</w:t>
            </w:r>
          </w:p>
        </w:tc>
        <w:tc>
          <w:tcPr>
            <w:tcW w:w="8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33,495</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34,364</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w:t>
            </w:r>
          </w:p>
        </w:tc>
        <w:tc>
          <w:tcPr>
            <w:tcW w:w="11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Value Added</w:t>
            </w:r>
          </w:p>
        </w:tc>
        <w:tc>
          <w:tcPr>
            <w:tcW w:w="8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NM</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107</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w:t>
            </w:r>
          </w:p>
        </w:tc>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NM</w:t>
            </w:r>
          </w:p>
        </w:tc>
        <w:tc>
          <w:tcPr>
            <w:tcW w:w="11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Common Equity</w:t>
            </w:r>
          </w:p>
        </w:tc>
        <w:tc>
          <w:tcPr>
            <w:tcW w:w="8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(1,270)bp</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140bp</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(230)bp</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(1,510)bp</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(440)bp</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0"/>
                <w:szCs w:val="20"/>
                <w:color w:val="auto"/>
              </w:rPr>
            </w:pPr>
            <w:r>
              <w:rPr>
                <w:rFonts w:ascii="Courier New" w:cs="Courier New" w:eastAsia="Courier New" w:hAnsi="Courier New"/>
                <w:sz w:val="15"/>
                <w:szCs w:val="15"/>
                <w:color w:val="auto"/>
              </w:rPr>
              <w:t>Cash Overhead Ratio</w:t>
            </w:r>
          </w:p>
        </w:tc>
        <w:tc>
          <w:tcPr>
            <w:tcW w:w="800" w:type="dxa"/>
            <w:vAlign w:val="bottom"/>
          </w:tcPr>
          <w:p>
            <w:pPr>
              <w:spacing w:after="0"/>
              <w:rPr>
                <w:sz w:val="21"/>
                <w:szCs w:val="21"/>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800</w:t>
            </w:r>
          </w:p>
        </w:tc>
        <w:tc>
          <w:tcPr>
            <w:tcW w:w="40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1,100</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1,200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results assume that the purchase of Flemings occurred at the</w:t>
      </w:r>
    </w:p>
    <w:p>
      <w:pPr>
        <w:spacing w:after="0" w:line="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beginning of 2000.</w:t>
      </w:r>
    </w:p>
    <w:p>
      <w:pPr>
        <w:spacing w:after="0" w:line="237" w:lineRule="auto"/>
        <w:rPr>
          <w:sz w:val="20"/>
          <w:szCs w:val="20"/>
          <w:color w:val="auto"/>
        </w:rPr>
      </w:pPr>
      <w:r>
        <w:rPr>
          <w:rFonts w:ascii="Courier New" w:cs="Courier New" w:eastAsia="Courier New" w:hAnsi="Courier New"/>
          <w:sz w:val="15"/>
          <w:szCs w:val="15"/>
          <w:color w:val="auto"/>
        </w:rPr>
        <w:t>bp - Denotes basis points; 100 bp equals 1%.</w:t>
      </w:r>
    </w:p>
    <w:p>
      <w:pPr>
        <w:spacing w:after="0" w:line="238" w:lineRule="auto"/>
        <w:rPr>
          <w:sz w:val="20"/>
          <w:szCs w:val="20"/>
          <w:color w:val="auto"/>
        </w:rPr>
      </w:pPr>
      <w:r>
        <w:rPr>
          <w:rFonts w:ascii="Courier New" w:cs="Courier New" w:eastAsia="Courier New" w:hAnsi="Courier New"/>
          <w:sz w:val="15"/>
          <w:szCs w:val="15"/>
          <w:color w:val="auto"/>
        </w:rPr>
        <w:t>NM - Not meaningful.</w:t>
      </w:r>
    </w:p>
    <w:p>
      <w:pPr>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4540"/>
        <w:spacing w:after="0" w:line="381" w:lineRule="auto"/>
        <w:rPr>
          <w:sz w:val="20"/>
          <w:szCs w:val="20"/>
          <w:color w:val="auto"/>
        </w:rPr>
      </w:pPr>
      <w:r>
        <w:rPr>
          <w:rFonts w:ascii="Courier New" w:cs="Courier New" w:eastAsia="Courier New" w:hAnsi="Courier New"/>
          <w:sz w:val="14"/>
          <w:szCs w:val="14"/>
          <w:color w:val="auto"/>
        </w:rPr>
        <w:t>(All comments related to 2000 give pro forma effect to the purchase of Flemings, which is treated as if it had occurred at the beginning of that year.)</w:t>
      </w:r>
    </w:p>
    <w:p>
      <w:pPr>
        <w:spacing w:after="0" w:line="1"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5"/>
          <w:szCs w:val="15"/>
          <w:color w:val="auto"/>
        </w:rPr>
        <w:t>IMPB had operating revenues of $788 million, down 15% from the second quarter of 2000. For the first half of 2001, revenues decreased 19% from the same period a year ago. The declines were mainly due to lower investment fees as a result of the lower values of funds under management in a weaker market environment. Also a consequence of the weaker markets was the reduction in brokerage commissions and trading revenues that are related to the wealth management activities of Private Banking.</w:t>
      </w:r>
    </w:p>
    <w:p>
      <w:pPr>
        <w:spacing w:after="0" w:line="82" w:lineRule="exact"/>
        <w:rPr>
          <w:sz w:val="20"/>
          <w:szCs w:val="20"/>
          <w:color w:val="auto"/>
        </w:rPr>
      </w:pPr>
    </w:p>
    <w:p>
      <w:pPr>
        <w:ind w:right="4620"/>
        <w:spacing w:after="0" w:line="264" w:lineRule="auto"/>
        <w:rPr>
          <w:sz w:val="20"/>
          <w:szCs w:val="20"/>
          <w:color w:val="auto"/>
        </w:rPr>
      </w:pPr>
      <w:r>
        <w:rPr>
          <w:rFonts w:ascii="Courier New" w:cs="Courier New" w:eastAsia="Courier New" w:hAnsi="Courier New"/>
          <w:sz w:val="15"/>
          <w:szCs w:val="15"/>
          <w:color w:val="auto"/>
        </w:rPr>
        <w:t>IMPB's cash operating expenses of $644 million declined 6% from both the second quarter of 2001 and the first half of 2000, driven by lower compensation expense. Cash operating earnings were $117 million, down from $159 million in the second quarter of 2000. For the first half of 2001, cash operating earnings were $216 million, a 40% decline from 2000.</w:t>
      </w:r>
    </w:p>
    <w:p>
      <w:pPr>
        <w:spacing w:after="0" w:line="75" w:lineRule="exact"/>
        <w:rPr>
          <w:sz w:val="20"/>
          <w:szCs w:val="20"/>
          <w:color w:val="auto"/>
        </w:rPr>
      </w:pPr>
    </w:p>
    <w:p>
      <w:pPr>
        <w:ind w:right="4540"/>
        <w:spacing w:after="0" w:line="344" w:lineRule="auto"/>
        <w:rPr>
          <w:sz w:val="20"/>
          <w:szCs w:val="20"/>
          <w:color w:val="auto"/>
        </w:rPr>
      </w:pPr>
      <w:r>
        <w:rPr>
          <w:rFonts w:ascii="Courier New" w:cs="Courier New" w:eastAsia="Courier New" w:hAnsi="Courier New"/>
          <w:sz w:val="15"/>
          <w:szCs w:val="15"/>
          <w:color w:val="auto"/>
        </w:rPr>
        <w:t>The table below reflects the assets under management in IMPB as of June 30, 2001 and 2000, respectively.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6"/>
        </w:trPr>
        <w:tc>
          <w:tcPr>
            <w:tcW w:w="3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60" w:type="dxa"/>
            <w:vAlign w:val="bottom"/>
            <w:gridSpan w:val="3"/>
          </w:tcPr>
          <w:p>
            <w:pPr>
              <w:spacing w:after="0" w:line="167" w:lineRule="exact"/>
              <w:rPr>
                <w:sz w:val="20"/>
                <w:szCs w:val="20"/>
                <w:color w:val="auto"/>
              </w:rPr>
            </w:pPr>
            <w:r>
              <w:rPr>
                <w:rFonts w:ascii="Courier New" w:cs="Courier New" w:eastAsia="Courier New" w:hAnsi="Courier New"/>
                <w:sz w:val="15"/>
                <w:szCs w:val="15"/>
                <w:color w:val="auto"/>
              </w:rPr>
              <w:t>ASSETS UNDER MANAGEMENT</w:t>
            </w: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(in billions)</w:t>
            </w:r>
          </w:p>
        </w:tc>
        <w:tc>
          <w:tcPr>
            <w:tcW w:w="4820" w:type="dxa"/>
            <w:vAlign w:val="bottom"/>
            <w:gridSpan w:val="4"/>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4820" w:type="dxa"/>
            <w:vAlign w:val="bottom"/>
            <w:gridSpan w:val="4"/>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Courier New" w:cs="Courier New" w:eastAsia="Courier New" w:hAnsi="Courier New"/>
                <w:sz w:val="15"/>
                <w:szCs w:val="15"/>
                <w:color w:val="auto"/>
              </w:rPr>
              <w:t>2001</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 Forma (a)</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2980" w:type="dxa"/>
            <w:vAlign w:val="bottom"/>
            <w:gridSpan w:val="2"/>
          </w:tcPr>
          <w:p>
            <w:pPr>
              <w:ind w:left="2200"/>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Institutional/Retail</w:t>
            </w:r>
          </w:p>
        </w:tc>
        <w:tc>
          <w:tcPr>
            <w:tcW w:w="2360" w:type="dxa"/>
            <w:vAlign w:val="bottom"/>
          </w:tcPr>
          <w:p>
            <w:pPr>
              <w:ind w:left="22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499</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Bank</w:t>
            </w:r>
          </w:p>
        </w:tc>
        <w:tc>
          <w:tcPr>
            <w:tcW w:w="23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c>
          <w:tcPr>
            <w:tcW w:w="8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w:t>
            </w:r>
          </w:p>
        </w:tc>
        <w:tc>
          <w:tcPr>
            <w:tcW w:w="0" w:type="dxa"/>
            <w:vAlign w:val="bottom"/>
          </w:tcPr>
          <w:p>
            <w:pPr>
              <w:spacing w:after="0"/>
              <w:rPr>
                <w:sz w:val="1"/>
                <w:szCs w:val="1"/>
                <w:color w:val="auto"/>
              </w:rPr>
            </w:pPr>
          </w:p>
        </w:tc>
      </w:tr>
      <w:tr>
        <w:trPr>
          <w:trHeight w:val="168"/>
        </w:trPr>
        <w:tc>
          <w:tcPr>
            <w:tcW w:w="39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w:t>
            </w:r>
          </w:p>
        </w:tc>
        <w:tc>
          <w:tcPr>
            <w:tcW w:w="2360" w:type="dxa"/>
            <w:vAlign w:val="bottom"/>
            <w:vMerge w:val="restart"/>
          </w:tcPr>
          <w:p>
            <w:pPr>
              <w:ind w:left="2200"/>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611</w:t>
            </w: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651</w:t>
            </w:r>
          </w:p>
        </w:tc>
        <w:tc>
          <w:tcPr>
            <w:tcW w:w="0" w:type="dxa"/>
            <w:vAlign w:val="bottom"/>
          </w:tcPr>
          <w:p>
            <w:pPr>
              <w:spacing w:after="0"/>
              <w:rPr>
                <w:sz w:val="1"/>
                <w:szCs w:val="1"/>
                <w:color w:val="auto"/>
              </w:rPr>
            </w:pPr>
          </w:p>
        </w:tc>
      </w:tr>
      <w:tr>
        <w:trPr>
          <w:trHeight w:val="194"/>
        </w:trPr>
        <w:tc>
          <w:tcPr>
            <w:tcW w:w="3940" w:type="dxa"/>
            <w:vAlign w:val="bottom"/>
          </w:tcPr>
          <w:p>
            <w:pPr>
              <w:spacing w:after="0"/>
              <w:rPr>
                <w:sz w:val="16"/>
                <w:szCs w:val="16"/>
                <w:color w:val="auto"/>
              </w:rPr>
            </w:pPr>
          </w:p>
        </w:tc>
        <w:tc>
          <w:tcPr>
            <w:tcW w:w="2980" w:type="dxa"/>
            <w:vAlign w:val="bottom"/>
            <w:gridSpan w:val="2"/>
          </w:tcPr>
          <w:p>
            <w:pPr>
              <w:ind w:left="2200"/>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360" w:right="5060" w:hanging="350"/>
        <w:spacing w:after="0" w:line="255"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results assume that the purchase of Flemings occurred at the beginning of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4800"/>
        <w:spacing w:after="0" w:line="298" w:lineRule="auto"/>
        <w:rPr>
          <w:sz w:val="20"/>
          <w:szCs w:val="20"/>
          <w:color w:val="auto"/>
        </w:rPr>
      </w:pPr>
      <w:r>
        <w:rPr>
          <w:rFonts w:ascii="Courier New" w:cs="Courier New" w:eastAsia="Courier New" w:hAnsi="Courier New"/>
          <w:sz w:val="14"/>
          <w:szCs w:val="14"/>
          <w:color w:val="auto"/>
        </w:rPr>
        <w:t>Market conditions in the second quarter of 2001 led to a 6% decline in assets under management from the second quarter of 2000 level. This excludes assets managed by other lines of business and assets attributable to the Firm's 45% interest in American Century Companies, Inc. ("American Century").</w:t>
      </w:r>
    </w:p>
    <w:p>
      <w:pPr>
        <w:sectPr>
          <w:pgSz w:w="11900" w:h="16838" w:orient="portrait"/>
          <w:cols w:equalWidth="0" w:num="1">
            <w:col w:w="11540"/>
          </w:cols>
          <w:pgMar w:left="220" w:top="261" w:right="139" w:bottom="0" w:gutter="0" w:footer="0" w:header="0"/>
        </w:sectPr>
      </w:pPr>
    </w:p>
    <w:bookmarkStart w:id="23" w:name="page24"/>
    <w:bookmarkEnd w:id="23"/>
    <w:p>
      <w:pPr>
        <w:ind w:left="21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19"/>
          </w:cols>
          <w:pgMar w:left="1440" w:top="452"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&amp; SECURITIES SERVICES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selected financial data of Treasury &amp; Securities</w:t>
      </w:r>
    </w:p>
    <w:p>
      <w:pPr>
        <w:spacing w:after="0"/>
        <w:rPr>
          <w:sz w:val="20"/>
          <w:szCs w:val="20"/>
          <w:color w:val="auto"/>
        </w:rPr>
      </w:pPr>
      <w:r>
        <w:rPr>
          <w:rFonts w:ascii="Courier New" w:cs="Courier New" w:eastAsia="Courier New" w:hAnsi="Courier New"/>
          <w:sz w:val="15"/>
          <w:szCs w:val="15"/>
          <w:color w:val="auto"/>
        </w:rPr>
        <w:t>Services ("T&amp;SS").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spacing w:after="0" w:line="381" w:lineRule="auto"/>
        <w:rPr>
          <w:sz w:val="20"/>
          <w:szCs w:val="20"/>
          <w:color w:val="auto"/>
        </w:rPr>
      </w:pPr>
      <w:r>
        <w:rPr>
          <w:rFonts w:ascii="Courier New" w:cs="Courier New" w:eastAsia="Courier New" w:hAnsi="Courier New"/>
          <w:sz w:val="14"/>
          <w:szCs w:val="14"/>
          <w:color w:val="auto"/>
        </w:rPr>
        <w:t>================================================================================================================================= (in millions, except ratios)</w:t>
      </w:r>
    </w:p>
    <w:tbl>
      <w:tblPr>
        <w:tblLayout w:type="fixed"/>
        <w:tblInd w:w="0" w:type="dxa"/>
        <w:tblCellMar>
          <w:top w:w="0" w:type="dxa"/>
          <w:left w:w="0" w:type="dxa"/>
          <w:bottom w:w="0" w:type="dxa"/>
          <w:right w:w="0" w:type="dxa"/>
        </w:tblCellMar>
      </w:tblPr>
      <w:tr>
        <w:trPr>
          <w:trHeight w:val="169"/>
        </w:trPr>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jc w:val="right"/>
              <w:ind w:right="528"/>
              <w:spacing w:after="0"/>
              <w:rPr>
                <w:sz w:val="20"/>
                <w:szCs w:val="20"/>
                <w:color w:val="auto"/>
              </w:rPr>
            </w:pPr>
            <w:r>
              <w:rPr>
                <w:rFonts w:ascii="Courier New" w:cs="Courier New" w:eastAsia="Courier New" w:hAnsi="Courier New"/>
                <w:sz w:val="15"/>
                <w:szCs w:val="15"/>
                <w:color w:val="auto"/>
              </w:rPr>
              <w:t>SECOND QUARTER</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2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2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Over (Under)</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Over (Under)</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20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2Q2000</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5"/>
              </w:rPr>
              <w:t>1Q 2001</w:t>
            </w:r>
          </w:p>
        </w:tc>
        <w:tc>
          <w:tcPr>
            <w:tcW w:w="620" w:type="dxa"/>
            <w:vAlign w:val="bottom"/>
          </w:tcPr>
          <w:p>
            <w:pPr>
              <w:spacing w:after="0"/>
              <w:rPr>
                <w:sz w:val="14"/>
                <w:szCs w:val="14"/>
                <w:color w:val="auto"/>
              </w:rPr>
            </w:pPr>
          </w:p>
        </w:tc>
        <w:tc>
          <w:tcPr>
            <w:tcW w:w="122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2000</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88"/>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spacing w:after="0"/>
              <w:rPr>
                <w:sz w:val="21"/>
                <w:szCs w:val="21"/>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Fees and Commissions</w:t>
            </w:r>
          </w:p>
        </w:tc>
        <w:tc>
          <w:tcPr>
            <w:tcW w:w="11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521</w:t>
            </w:r>
          </w:p>
        </w:tc>
        <w:tc>
          <w:tcPr>
            <w:tcW w:w="2040" w:type="dxa"/>
            <w:vAlign w:val="bottom"/>
          </w:tcPr>
          <w:p>
            <w:pPr>
              <w:jc w:val="right"/>
              <w:ind w:right="968"/>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1,026</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11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342</w:t>
            </w:r>
          </w:p>
        </w:tc>
        <w:tc>
          <w:tcPr>
            <w:tcW w:w="2040" w:type="dxa"/>
            <w:vAlign w:val="bottom"/>
          </w:tcPr>
          <w:p>
            <w:pPr>
              <w:jc w:val="right"/>
              <w:ind w:right="1068"/>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w:t>
            </w:r>
          </w:p>
        </w:tc>
        <w:tc>
          <w:tcPr>
            <w:tcW w:w="6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702</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Revenue</w:t>
            </w:r>
          </w:p>
        </w:tc>
        <w:tc>
          <w:tcPr>
            <w:tcW w:w="11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w:t>
            </w:r>
          </w:p>
        </w:tc>
        <w:tc>
          <w:tcPr>
            <w:tcW w:w="2040" w:type="dxa"/>
            <w:vAlign w:val="bottom"/>
          </w:tcPr>
          <w:p>
            <w:pPr>
              <w:jc w:val="right"/>
              <w:ind w:right="968"/>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REVENUE</w:t>
            </w:r>
          </w:p>
        </w:tc>
        <w:tc>
          <w:tcPr>
            <w:tcW w:w="1100" w:type="dxa"/>
            <w:vAlign w:val="bottom"/>
          </w:tcPr>
          <w:p>
            <w:pPr>
              <w:ind w:left="660"/>
              <w:spacing w:after="0"/>
              <w:rPr>
                <w:sz w:val="20"/>
                <w:szCs w:val="20"/>
                <w:color w:val="auto"/>
              </w:rPr>
            </w:pPr>
            <w:r>
              <w:rPr>
                <w:rFonts w:ascii="Courier New" w:cs="Courier New" w:eastAsia="Courier New" w:hAnsi="Courier New"/>
                <w:sz w:val="9"/>
                <w:szCs w:val="9"/>
                <w:color w:val="auto"/>
                <w:w w:val="70"/>
              </w:rPr>
              <w:t>-----------</w:t>
            </w:r>
          </w:p>
        </w:tc>
        <w:tc>
          <w:tcPr>
            <w:tcW w:w="8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909</w:t>
            </w:r>
          </w:p>
        </w:tc>
        <w:tc>
          <w:tcPr>
            <w:tcW w:w="2040" w:type="dxa"/>
            <w:vAlign w:val="bottom"/>
            <w:vMerge w:val="restart"/>
          </w:tcPr>
          <w:p>
            <w:pPr>
              <w:jc w:val="right"/>
              <w:ind w:right="1068"/>
              <w:spacing w:after="0"/>
              <w:rPr>
                <w:sz w:val="20"/>
                <w:szCs w:val="20"/>
                <w:color w:val="auto"/>
              </w:rPr>
            </w:pPr>
            <w:r>
              <w:rPr>
                <w:rFonts w:ascii="Courier New" w:cs="Courier New" w:eastAsia="Courier New" w:hAnsi="Courier New"/>
                <w:sz w:val="15"/>
                <w:szCs w:val="15"/>
                <w:color w:val="auto"/>
              </w:rPr>
              <w:t>1</w:t>
            </w:r>
          </w:p>
        </w:tc>
        <w:tc>
          <w:tcPr>
            <w:tcW w:w="9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Expense</w:t>
            </w:r>
          </w:p>
        </w:tc>
        <w:tc>
          <w:tcPr>
            <w:tcW w:w="11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284</w:t>
            </w:r>
          </w:p>
        </w:tc>
        <w:tc>
          <w:tcPr>
            <w:tcW w:w="2040" w:type="dxa"/>
            <w:vAlign w:val="bottom"/>
          </w:tcPr>
          <w:p>
            <w:pPr>
              <w:jc w:val="right"/>
              <w:ind w:right="1068"/>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6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579</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Noncompensation Expense</w:t>
            </w:r>
          </w:p>
        </w:tc>
        <w:tc>
          <w:tcPr>
            <w:tcW w:w="11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367</w:t>
            </w:r>
          </w:p>
        </w:tc>
        <w:tc>
          <w:tcPr>
            <w:tcW w:w="2040" w:type="dxa"/>
            <w:vAlign w:val="bottom"/>
          </w:tcPr>
          <w:p>
            <w:pPr>
              <w:jc w:val="right"/>
              <w:ind w:right="1068"/>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w:t>
            </w:r>
          </w:p>
        </w:tc>
        <w:tc>
          <w:tcPr>
            <w:tcW w:w="6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703</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CASH EXPENSE</w:t>
            </w:r>
          </w:p>
        </w:tc>
        <w:tc>
          <w:tcPr>
            <w:tcW w:w="1100" w:type="dxa"/>
            <w:vAlign w:val="bottom"/>
          </w:tcPr>
          <w:p>
            <w:pPr>
              <w:ind w:left="660"/>
              <w:spacing w:after="0"/>
              <w:rPr>
                <w:sz w:val="20"/>
                <w:szCs w:val="20"/>
                <w:color w:val="auto"/>
              </w:rPr>
            </w:pPr>
            <w:r>
              <w:rPr>
                <w:rFonts w:ascii="Courier New" w:cs="Courier New" w:eastAsia="Courier New" w:hAnsi="Courier New"/>
                <w:sz w:val="9"/>
                <w:szCs w:val="9"/>
                <w:color w:val="auto"/>
                <w:w w:val="70"/>
              </w:rPr>
              <w:t>-----------</w:t>
            </w:r>
          </w:p>
        </w:tc>
        <w:tc>
          <w:tcPr>
            <w:tcW w:w="8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651</w:t>
            </w:r>
          </w:p>
        </w:tc>
        <w:tc>
          <w:tcPr>
            <w:tcW w:w="2040" w:type="dxa"/>
            <w:vAlign w:val="bottom"/>
            <w:vMerge w:val="restart"/>
          </w:tcPr>
          <w:p>
            <w:pPr>
              <w:jc w:val="right"/>
              <w:ind w:right="1068"/>
              <w:spacing w:after="0"/>
              <w:rPr>
                <w:sz w:val="20"/>
                <w:szCs w:val="20"/>
                <w:color w:val="auto"/>
              </w:rPr>
            </w:pPr>
            <w:r>
              <w:rPr>
                <w:rFonts w:ascii="Courier New" w:cs="Courier New" w:eastAsia="Courier New" w:hAnsi="Courier New"/>
                <w:sz w:val="15"/>
                <w:szCs w:val="15"/>
                <w:color w:val="auto"/>
              </w:rPr>
              <w:t>3</w:t>
            </w:r>
          </w:p>
        </w:tc>
        <w:tc>
          <w:tcPr>
            <w:tcW w:w="9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3</w:t>
            </w:r>
          </w:p>
        </w:tc>
        <w:tc>
          <w:tcPr>
            <w:tcW w:w="18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10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1,282</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OPERATING EARNINGS</w:t>
            </w:r>
          </w:p>
        </w:tc>
        <w:tc>
          <w:tcPr>
            <w:tcW w:w="1100" w:type="dxa"/>
            <w:vAlign w:val="bottom"/>
            <w:vMerge w:val="continue"/>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w:t>
            </w:r>
          </w:p>
        </w:tc>
        <w:tc>
          <w:tcPr>
            <w:tcW w:w="2040" w:type="dxa"/>
            <w:vAlign w:val="bottom"/>
          </w:tcPr>
          <w:p>
            <w:pPr>
              <w:jc w:val="right"/>
              <w:ind w:right="968"/>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620" w:type="dxa"/>
            <w:vAlign w:val="bottom"/>
            <w:vMerge w:val="continue"/>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346</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9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Average Common Equity</w:t>
            </w:r>
          </w:p>
        </w:tc>
        <w:tc>
          <w:tcPr>
            <w:tcW w:w="11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3,003</w:t>
            </w:r>
          </w:p>
        </w:tc>
        <w:tc>
          <w:tcPr>
            <w:tcW w:w="2040" w:type="dxa"/>
            <w:vAlign w:val="bottom"/>
          </w:tcPr>
          <w:p>
            <w:pPr>
              <w:jc w:val="right"/>
              <w:ind w:right="1068"/>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2,928</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Assets</w:t>
            </w:r>
          </w:p>
        </w:tc>
        <w:tc>
          <w:tcPr>
            <w:tcW w:w="11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18,612</w:t>
            </w:r>
          </w:p>
        </w:tc>
        <w:tc>
          <w:tcPr>
            <w:tcW w:w="2040" w:type="dxa"/>
            <w:vAlign w:val="bottom"/>
          </w:tcPr>
          <w:p>
            <w:pPr>
              <w:jc w:val="right"/>
              <w:ind w:right="1068"/>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w:t>
            </w:r>
          </w:p>
        </w:tc>
        <w:tc>
          <w:tcPr>
            <w:tcW w:w="6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17,900</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Value Added</w:t>
            </w:r>
          </w:p>
        </w:tc>
        <w:tc>
          <w:tcPr>
            <w:tcW w:w="11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w:t>
            </w:r>
          </w:p>
        </w:tc>
        <w:tc>
          <w:tcPr>
            <w:tcW w:w="2040" w:type="dxa"/>
            <w:vAlign w:val="bottom"/>
          </w:tcPr>
          <w:p>
            <w:pPr>
              <w:jc w:val="right"/>
              <w:ind w:right="968"/>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c>
          <w:tcPr>
            <w:tcW w:w="6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168</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Common Equity</w:t>
            </w:r>
          </w:p>
        </w:tc>
        <w:tc>
          <w:tcPr>
            <w:tcW w:w="11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w:t>
            </w:r>
          </w:p>
        </w:tc>
        <w:tc>
          <w:tcPr>
            <w:tcW w:w="2040" w:type="dxa"/>
            <w:vAlign w:val="bottom"/>
          </w:tcPr>
          <w:p>
            <w:pPr>
              <w:jc w:val="right"/>
              <w:ind w:right="788"/>
              <w:spacing w:after="0" w:line="168" w:lineRule="exact"/>
              <w:rPr>
                <w:sz w:val="20"/>
                <w:szCs w:val="20"/>
                <w:color w:val="auto"/>
              </w:rPr>
            </w:pPr>
            <w:r>
              <w:rPr>
                <w:rFonts w:ascii="Courier New" w:cs="Courier New" w:eastAsia="Courier New" w:hAnsi="Courier New"/>
                <w:sz w:val="15"/>
                <w:szCs w:val="15"/>
                <w:color w:val="auto"/>
              </w:rPr>
              <w:t>(170)bp</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(290)bp</w:t>
            </w:r>
          </w:p>
        </w:tc>
        <w:tc>
          <w:tcPr>
            <w:tcW w:w="6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w:t>
            </w: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80bp</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Cash Overhead Ratio</w:t>
            </w:r>
          </w:p>
        </w:tc>
        <w:tc>
          <w:tcPr>
            <w:tcW w:w="1100" w:type="dxa"/>
            <w:vAlign w:val="bottom"/>
          </w:tcPr>
          <w:p>
            <w:pPr>
              <w:spacing w:after="0"/>
              <w:rPr>
                <w:sz w:val="21"/>
                <w:szCs w:val="21"/>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w:t>
            </w:r>
          </w:p>
        </w:tc>
        <w:tc>
          <w:tcPr>
            <w:tcW w:w="2040" w:type="dxa"/>
            <w:vAlign w:val="bottom"/>
          </w:tcPr>
          <w:p>
            <w:pPr>
              <w:jc w:val="right"/>
              <w:ind w:right="1068"/>
              <w:spacing w:after="0"/>
              <w:rPr>
                <w:sz w:val="20"/>
                <w:szCs w:val="20"/>
                <w:color w:val="auto"/>
              </w:rPr>
            </w:pPr>
            <w:r>
              <w:rPr>
                <w:rFonts w:ascii="Courier New" w:cs="Courier New" w:eastAsia="Courier New" w:hAnsi="Courier New"/>
                <w:sz w:val="15"/>
                <w:szCs w:val="15"/>
                <w:color w:val="auto"/>
              </w:rPr>
              <w:t>200</w:t>
            </w: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w:t>
            </w:r>
          </w:p>
        </w:tc>
        <w:tc>
          <w:tcPr>
            <w:tcW w:w="620" w:type="dxa"/>
            <w:vAlign w:val="bottom"/>
          </w:tcPr>
          <w:p>
            <w:pPr>
              <w:spacing w:after="0"/>
              <w:rPr>
                <w:sz w:val="21"/>
                <w:szCs w:val="21"/>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4460"/>
        <w:spacing w:after="0" w:line="381" w:lineRule="auto"/>
        <w:rPr>
          <w:sz w:val="20"/>
          <w:szCs w:val="20"/>
          <w:color w:val="auto"/>
        </w:rPr>
      </w:pPr>
      <w:r>
        <w:rPr>
          <w:rFonts w:ascii="Courier New" w:cs="Courier New" w:eastAsia="Courier New" w:hAnsi="Courier New"/>
          <w:sz w:val="14"/>
          <w:szCs w:val="14"/>
          <w:color w:val="auto"/>
        </w:rPr>
        <w:t>bp - Denotes basis points; 100 bp equals 1%. ================================================================================</w:t>
      </w:r>
    </w:p>
    <w:p>
      <w:pPr>
        <w:spacing w:after="0" w:line="1" w:lineRule="exact"/>
        <w:rPr>
          <w:sz w:val="20"/>
          <w:szCs w:val="20"/>
          <w:color w:val="auto"/>
        </w:rPr>
      </w:pPr>
    </w:p>
    <w:p>
      <w:pPr>
        <w:ind w:right="4540"/>
        <w:spacing w:after="0" w:line="252" w:lineRule="auto"/>
        <w:rPr>
          <w:sz w:val="20"/>
          <w:szCs w:val="20"/>
          <w:color w:val="auto"/>
        </w:rPr>
      </w:pPr>
      <w:r>
        <w:rPr>
          <w:rFonts w:ascii="Courier New" w:cs="Courier New" w:eastAsia="Courier New" w:hAnsi="Courier New"/>
          <w:sz w:val="15"/>
          <w:szCs w:val="15"/>
          <w:color w:val="auto"/>
        </w:rPr>
        <w:t>Treasury &amp; Securities Services' operating revenues were $909 million in the second quarter of 2001 and $1,816 million in the first half of this year, an increase of 1% and 3% from the respective periods last year. Revenues were stronger for Treasury Services and Institutional Trust, reflecting new business and higher volume from existing customers, partially offset by the negative effect of declining short-term interest rates on deposits. Revenue declines at Investor Services were primarily the result of lower asset-based fees, lower foreign exchange and reduced net asset growth.</w:t>
      </w:r>
    </w:p>
    <w:p>
      <w:pPr>
        <w:spacing w:after="0" w:line="86" w:lineRule="exact"/>
        <w:rPr>
          <w:sz w:val="20"/>
          <w:szCs w:val="20"/>
          <w:color w:val="auto"/>
        </w:rPr>
      </w:pPr>
    </w:p>
    <w:p>
      <w:pPr>
        <w:jc w:val="both"/>
        <w:ind w:right="4460"/>
        <w:spacing w:after="0" w:line="320" w:lineRule="auto"/>
        <w:rPr>
          <w:sz w:val="20"/>
          <w:szCs w:val="20"/>
          <w:color w:val="auto"/>
        </w:rPr>
      </w:pPr>
      <w:r>
        <w:rPr>
          <w:rFonts w:ascii="Courier New" w:cs="Courier New" w:eastAsia="Courier New" w:hAnsi="Courier New"/>
          <w:sz w:val="14"/>
          <w:szCs w:val="14"/>
          <w:color w:val="auto"/>
        </w:rPr>
        <w:t>Cash expense in the second quarter of 2001 rose 3%, resulting in a 3% decline in cash operating earnings. For the first six months of 2001, however, cash expense grew by only 2%, contributing to an increase in cash operating earnings of 4%.</w:t>
      </w:r>
    </w:p>
    <w:p>
      <w:pPr>
        <w:spacing w:after="0" w:line="38" w:lineRule="exact"/>
        <w:rPr>
          <w:sz w:val="20"/>
          <w:szCs w:val="20"/>
          <w:color w:val="auto"/>
        </w:rPr>
      </w:pPr>
    </w:p>
    <w:p>
      <w:pPr>
        <w:ind w:right="4460"/>
        <w:spacing w:after="0" w:line="273" w:lineRule="auto"/>
        <w:rPr>
          <w:sz w:val="20"/>
          <w:szCs w:val="20"/>
          <w:color w:val="auto"/>
        </w:rPr>
      </w:pPr>
      <w:r>
        <w:rPr>
          <w:rFonts w:ascii="Courier New" w:cs="Courier New" w:eastAsia="Courier New" w:hAnsi="Courier New"/>
          <w:sz w:val="15"/>
          <w:szCs w:val="15"/>
          <w:color w:val="auto"/>
        </w:rPr>
        <w:t>Under current market conditions, revenue growth at Investor Services will be slower in 2001 than in 2000. Expense discipline will continue, and management is still working towards its previously-announced long-term targeted cash overhead ratio for T&amp;SS of approximately 65%.</w:t>
      </w: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460"/>
          </w:cols>
          <w:pgMar w:left="220" w:top="261" w:right="219"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23</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&amp; MIDDLE MARKET FINANCIAL SERVICES</w:t>
      </w:r>
    </w:p>
    <w:p>
      <w:pPr>
        <w:spacing w:after="0" w:line="24" w:lineRule="exact"/>
        <w:rPr>
          <w:sz w:val="20"/>
          <w:szCs w:val="20"/>
          <w:color w:val="auto"/>
        </w:rPr>
      </w:pPr>
    </w:p>
    <w:p>
      <w:pPr>
        <w:ind w:right="4620"/>
        <w:spacing w:after="0" w:line="307" w:lineRule="auto"/>
        <w:rPr>
          <w:sz w:val="20"/>
          <w:szCs w:val="20"/>
          <w:color w:val="auto"/>
        </w:rPr>
      </w:pPr>
      <w:r>
        <w:rPr>
          <w:rFonts w:ascii="Courier New" w:cs="Courier New" w:eastAsia="Courier New" w:hAnsi="Courier New"/>
          <w:sz w:val="15"/>
          <w:szCs w:val="15"/>
          <w:color w:val="auto"/>
        </w:rPr>
        <w:t>The following table reflects selected financial data for Retail &amp; Middle Market Financial Services ("RMMFS").</w:t>
      </w:r>
    </w:p>
    <w:p>
      <w:pPr>
        <w:spacing w:after="0" w:line="380" w:lineRule="exact"/>
        <w:rPr>
          <w:sz w:val="20"/>
          <w:szCs w:val="20"/>
          <w:color w:val="auto"/>
        </w:rPr>
      </w:pPr>
    </w:p>
    <w:p>
      <w:pPr>
        <w:ind w:right="240"/>
        <w:spacing w:after="0" w:line="381" w:lineRule="auto"/>
        <w:rPr>
          <w:sz w:val="20"/>
          <w:szCs w:val="20"/>
          <w:color w:val="auto"/>
        </w:rPr>
      </w:pPr>
      <w:r>
        <w:rPr>
          <w:rFonts w:ascii="Courier New" w:cs="Courier New" w:eastAsia="Courier New" w:hAnsi="Courier New"/>
          <w:sz w:val="14"/>
          <w:szCs w:val="14"/>
          <w:color w:val="auto"/>
        </w:rPr>
        <w:t>================================================================================================================================= (in millions, except ratios)</w:t>
      </w:r>
    </w:p>
    <w:tbl>
      <w:tblPr>
        <w:tblLayout w:type="fixed"/>
        <w:tblInd w:w="0" w:type="dxa"/>
        <w:tblCellMar>
          <w:top w:w="0" w:type="dxa"/>
          <w:left w:w="0" w:type="dxa"/>
          <w:bottom w:w="0" w:type="dxa"/>
          <w:right w:w="0" w:type="dxa"/>
        </w:tblCellMar>
      </w:tblPr>
      <w:tr>
        <w:trPr>
          <w:trHeight w:val="169"/>
        </w:trPr>
        <w:tc>
          <w:tcPr>
            <w:tcW w:w="3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SECOND QUARTER</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2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940" w:type="dxa"/>
            <w:vAlign w:val="bottom"/>
            <w:gridSpan w:val="2"/>
          </w:tcPr>
          <w:p>
            <w:pPr>
              <w:ind w:left="580"/>
              <w:spacing w:after="0"/>
              <w:rPr>
                <w:sz w:val="20"/>
                <w:szCs w:val="20"/>
                <w:color w:val="auto"/>
              </w:rPr>
            </w:pPr>
            <w:r>
              <w:rPr>
                <w:rFonts w:ascii="Courier New" w:cs="Courier New" w:eastAsia="Courier New" w:hAnsi="Courier New"/>
                <w:sz w:val="6"/>
                <w:szCs w:val="6"/>
                <w:color w:val="auto"/>
                <w:w w:val="77"/>
              </w:rPr>
              <w:t>------------------------------------------------</w:t>
            </w:r>
          </w:p>
        </w:tc>
        <w:tc>
          <w:tcPr>
            <w:tcW w:w="2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Over (Under)</w:t>
            </w:r>
          </w:p>
        </w:tc>
        <w:tc>
          <w:tcPr>
            <w:tcW w:w="6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6"/>
              </w:rPr>
              <w:t>Over (Under)</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20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5"/>
                <w:szCs w:val="25"/>
                <w:color w:val="auto"/>
                <w:w w:val="74"/>
                <w:vertAlign w:val="subscript"/>
              </w:rPr>
              <w:t>2Q2000</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5"/>
              </w:rPr>
              <w:t>1Q 2001</w:t>
            </w:r>
          </w:p>
        </w:tc>
        <w:tc>
          <w:tcPr>
            <w:tcW w:w="620" w:type="dxa"/>
            <w:vAlign w:val="bottom"/>
          </w:tcPr>
          <w:p>
            <w:pPr>
              <w:spacing w:after="0"/>
              <w:rPr>
                <w:sz w:val="14"/>
                <w:szCs w:val="14"/>
                <w:color w:val="auto"/>
              </w:rPr>
            </w:pPr>
          </w:p>
        </w:tc>
        <w:tc>
          <w:tcPr>
            <w:tcW w:w="132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spacing w:after="0"/>
              <w:rPr>
                <w:sz w:val="21"/>
                <w:szCs w:val="21"/>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1,685</w:t>
            </w:r>
          </w:p>
        </w:tc>
        <w:tc>
          <w:tcPr>
            <w:tcW w:w="20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3,289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and Commissions</w:t>
            </w:r>
          </w:p>
        </w:tc>
        <w:tc>
          <w:tcPr>
            <w:tcW w:w="10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838</w:t>
            </w:r>
          </w:p>
        </w:tc>
        <w:tc>
          <w:tcPr>
            <w:tcW w:w="20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80</w:t>
            </w:r>
          </w:p>
        </w:tc>
        <w:tc>
          <w:tcPr>
            <w:tcW w:w="6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1,304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10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NM</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NM</w:t>
            </w:r>
          </w:p>
        </w:tc>
        <w:tc>
          <w:tcPr>
            <w:tcW w:w="6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316</w:t>
            </w:r>
          </w:p>
        </w:tc>
        <w:tc>
          <w:tcPr>
            <w:tcW w:w="14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88"/>
              </w:rPr>
              <w:t>NM</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Revenue</w:t>
            </w:r>
          </w:p>
        </w:tc>
        <w:tc>
          <w:tcPr>
            <w:tcW w:w="10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119</w:t>
            </w:r>
          </w:p>
        </w:tc>
        <w:tc>
          <w:tcPr>
            <w:tcW w:w="20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w:t>
            </w:r>
          </w:p>
        </w:tc>
        <w:tc>
          <w:tcPr>
            <w:tcW w:w="6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REVENUE</w:t>
            </w:r>
          </w:p>
        </w:tc>
        <w:tc>
          <w:tcPr>
            <w:tcW w:w="1020" w:type="dxa"/>
            <w:vAlign w:val="bottom"/>
          </w:tcPr>
          <w:p>
            <w:pPr>
              <w:ind w:left="580"/>
              <w:spacing w:after="0"/>
              <w:rPr>
                <w:sz w:val="20"/>
                <w:szCs w:val="20"/>
                <w:color w:val="auto"/>
              </w:rPr>
            </w:pPr>
            <w:r>
              <w:rPr>
                <w:rFonts w:ascii="Courier New" w:cs="Courier New" w:eastAsia="Courier New" w:hAnsi="Courier New"/>
                <w:sz w:val="8"/>
                <w:szCs w:val="8"/>
                <w:color w:val="auto"/>
                <w:w w:val="72"/>
              </w:rPr>
              <w:t>------------</w:t>
            </w:r>
          </w:p>
        </w:tc>
        <w:tc>
          <w:tcPr>
            <w:tcW w:w="9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2,642</w:t>
            </w:r>
          </w:p>
        </w:tc>
        <w:tc>
          <w:tcPr>
            <w:tcW w:w="2040" w:type="dxa"/>
            <w:vAlign w:val="bottom"/>
            <w:vMerge w:val="restart"/>
          </w:tcPr>
          <w:p>
            <w:pPr>
              <w:jc w:val="right"/>
              <w:ind w:right="1067"/>
              <w:spacing w:after="0"/>
              <w:rPr>
                <w:sz w:val="20"/>
                <w:szCs w:val="20"/>
                <w:color w:val="auto"/>
              </w:rPr>
            </w:pPr>
            <w:r>
              <w:rPr>
                <w:rFonts w:ascii="Courier New" w:cs="Courier New" w:eastAsia="Courier New" w:hAnsi="Courier New"/>
                <w:sz w:val="15"/>
                <w:szCs w:val="15"/>
                <w:color w:val="auto"/>
              </w:rPr>
              <w:t>5</w:t>
            </w:r>
          </w:p>
        </w:tc>
        <w:tc>
          <w:tcPr>
            <w:tcW w:w="9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3</w:t>
            </w:r>
          </w:p>
        </w:tc>
        <w:tc>
          <w:tcPr>
            <w:tcW w:w="19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5,201</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Expense</w:t>
            </w:r>
          </w:p>
        </w:tc>
        <w:tc>
          <w:tcPr>
            <w:tcW w:w="10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593</w:t>
            </w:r>
          </w:p>
        </w:tc>
        <w:tc>
          <w:tcPr>
            <w:tcW w:w="20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w:t>
            </w:r>
          </w:p>
        </w:tc>
        <w:tc>
          <w:tcPr>
            <w:tcW w:w="6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1,155</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Noncompensation Expense</w:t>
            </w:r>
          </w:p>
        </w:tc>
        <w:tc>
          <w:tcPr>
            <w:tcW w:w="10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746</w:t>
            </w:r>
          </w:p>
        </w:tc>
        <w:tc>
          <w:tcPr>
            <w:tcW w:w="20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CASH EXPENSE</w:t>
            </w:r>
          </w:p>
        </w:tc>
        <w:tc>
          <w:tcPr>
            <w:tcW w:w="1020" w:type="dxa"/>
            <w:vAlign w:val="bottom"/>
          </w:tcPr>
          <w:p>
            <w:pPr>
              <w:ind w:left="580"/>
              <w:spacing w:after="0"/>
              <w:rPr>
                <w:sz w:val="20"/>
                <w:szCs w:val="20"/>
                <w:color w:val="auto"/>
              </w:rPr>
            </w:pPr>
            <w:r>
              <w:rPr>
                <w:rFonts w:ascii="Courier New" w:cs="Courier New" w:eastAsia="Courier New" w:hAnsi="Courier New"/>
                <w:sz w:val="8"/>
                <w:szCs w:val="8"/>
                <w:color w:val="auto"/>
                <w:w w:val="72"/>
              </w:rPr>
              <w:t>------------</w:t>
            </w:r>
          </w:p>
        </w:tc>
        <w:tc>
          <w:tcPr>
            <w:tcW w:w="9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1,339</w:t>
            </w:r>
          </w:p>
        </w:tc>
        <w:tc>
          <w:tcPr>
            <w:tcW w:w="2040" w:type="dxa"/>
            <w:vAlign w:val="bottom"/>
            <w:vMerge w:val="restart"/>
          </w:tcPr>
          <w:p>
            <w:pPr>
              <w:jc w:val="right"/>
              <w:ind w:right="1067"/>
              <w:spacing w:after="0"/>
              <w:rPr>
                <w:sz w:val="20"/>
                <w:szCs w:val="20"/>
                <w:color w:val="auto"/>
              </w:rPr>
            </w:pPr>
            <w:r>
              <w:rPr>
                <w:rFonts w:ascii="Courier New" w:cs="Courier New" w:eastAsia="Courier New" w:hAnsi="Courier New"/>
                <w:sz w:val="15"/>
                <w:szCs w:val="15"/>
                <w:color w:val="auto"/>
              </w:rPr>
              <w:t>4</w:t>
            </w:r>
          </w:p>
        </w:tc>
        <w:tc>
          <w:tcPr>
            <w:tcW w:w="9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4</w:t>
            </w:r>
          </w:p>
        </w:tc>
        <w:tc>
          <w:tcPr>
            <w:tcW w:w="19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02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2,627</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OPERATING EARNINGS</w:t>
            </w:r>
          </w:p>
        </w:tc>
        <w:tc>
          <w:tcPr>
            <w:tcW w:w="1020" w:type="dxa"/>
            <w:vAlign w:val="bottom"/>
            <w:vMerge w:val="continue"/>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438</w:t>
            </w:r>
          </w:p>
        </w:tc>
        <w:tc>
          <w:tcPr>
            <w:tcW w:w="20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620" w:type="dxa"/>
            <w:vAlign w:val="bottom"/>
            <w:vMerge w:val="continue"/>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880</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9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Average Common Equity</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8,380</w:t>
            </w:r>
          </w:p>
        </w:tc>
        <w:tc>
          <w:tcPr>
            <w:tcW w:w="20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8,241</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Managed Assets (a)</w:t>
            </w:r>
          </w:p>
        </w:tc>
        <w:tc>
          <w:tcPr>
            <w:tcW w:w="10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165,177</w:t>
            </w:r>
          </w:p>
        </w:tc>
        <w:tc>
          <w:tcPr>
            <w:tcW w:w="20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6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161,353</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Value Added</w:t>
            </w:r>
          </w:p>
        </w:tc>
        <w:tc>
          <w:tcPr>
            <w:tcW w:w="10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183</w:t>
            </w:r>
          </w:p>
        </w:tc>
        <w:tc>
          <w:tcPr>
            <w:tcW w:w="20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6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Common Equity</w:t>
            </w:r>
          </w:p>
        </w:tc>
        <w:tc>
          <w:tcPr>
            <w:tcW w:w="10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w:t>
            </w:r>
          </w:p>
        </w:tc>
        <w:tc>
          <w:tcPr>
            <w:tcW w:w="20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(90)bp</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(120)bp</w:t>
            </w:r>
          </w:p>
        </w:tc>
        <w:tc>
          <w:tcPr>
            <w:tcW w:w="6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w:t>
            </w:r>
          </w:p>
        </w:tc>
        <w:tc>
          <w:tcPr>
            <w:tcW w:w="14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240bp</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Cash Overhead Ratio</w:t>
            </w:r>
          </w:p>
        </w:tc>
        <w:tc>
          <w:tcPr>
            <w:tcW w:w="1020" w:type="dxa"/>
            <w:vAlign w:val="bottom"/>
          </w:tcPr>
          <w:p>
            <w:pPr>
              <w:spacing w:after="0"/>
              <w:rPr>
                <w:sz w:val="21"/>
                <w:szCs w:val="21"/>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w:t>
            </w:r>
          </w:p>
        </w:tc>
        <w:tc>
          <w:tcPr>
            <w:tcW w:w="20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w:t>
            </w:r>
          </w:p>
        </w:tc>
        <w:tc>
          <w:tcPr>
            <w:tcW w:w="620" w:type="dxa"/>
            <w:vAlign w:val="bottom"/>
          </w:tcPr>
          <w:p>
            <w:pPr>
              <w:spacing w:after="0"/>
              <w:rPr>
                <w:sz w:val="21"/>
                <w:szCs w:val="21"/>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6640" w:firstLine="10"/>
        <w:spacing w:after="0" w:line="274" w:lineRule="auto"/>
        <w:tabs>
          <w:tab w:leader="none" w:pos="43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impact of credit card securitizations. bp - Denotes basis points; 100 bp equals 1%.</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NM - Not meaningful.</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4540"/>
        <w:spacing w:after="0" w:line="269" w:lineRule="auto"/>
        <w:rPr>
          <w:sz w:val="20"/>
          <w:szCs w:val="20"/>
          <w:color w:val="auto"/>
        </w:rPr>
      </w:pPr>
      <w:r>
        <w:rPr>
          <w:rFonts w:ascii="Courier New" w:cs="Courier New" w:eastAsia="Courier New" w:hAnsi="Courier New"/>
          <w:sz w:val="14"/>
          <w:szCs w:val="14"/>
          <w:color w:val="auto"/>
        </w:rPr>
        <w:t>Operating revenue for RMMFS in the second quarter of 2001 rose to $2.64 billion, 5% over last year's second quarter and, for the first six months, revenue increased to $5.20 billion, 6% over the first half of 2000. These increases are attributable to significant increases in business volumes. Home Finance, Cardmember Services and Auto Finance, realized substantial increases in originations. In addition, comparisons to the first six months of 2000 benefit from the $100 million charge for auto lease residual taken in the first quarter of 2000. The risk of future charges for residual values has been substantially mitigated in the first quarter of 2001 by obtaining a residual value insurance policy to cover previously uninsured auto leases in the portfolio.</w:t>
      </w:r>
    </w:p>
    <w:p>
      <w:pPr>
        <w:spacing w:after="0" w:line="73" w:lineRule="exact"/>
        <w:rPr>
          <w:sz w:val="20"/>
          <w:szCs w:val="20"/>
          <w:color w:val="auto"/>
        </w:rPr>
      </w:pPr>
    </w:p>
    <w:p>
      <w:pPr>
        <w:ind w:right="4540"/>
        <w:spacing w:after="0" w:line="273" w:lineRule="auto"/>
        <w:rPr>
          <w:sz w:val="20"/>
          <w:szCs w:val="20"/>
          <w:color w:val="auto"/>
        </w:rPr>
      </w:pPr>
      <w:r>
        <w:rPr>
          <w:rFonts w:ascii="Courier New" w:cs="Courier New" w:eastAsia="Courier New" w:hAnsi="Courier New"/>
          <w:sz w:val="14"/>
          <w:szCs w:val="14"/>
          <w:color w:val="auto"/>
        </w:rPr>
        <w:t>Cash operating expenses of $1.34 billion in the second quarter of 2001 increased 4% from last year's quarter but were relatively flat in the first half of 2001 versus the first half of 2000. Cash operating earnings in the second quarter decreased by 3% from the same quarter in 2000, partly as a result of the sale of the consumer banking operations in Hong Kong and Panama at the end of 2000. For the first half of 2001, however, cash operating earnings increased by 10% from the first half of 2000, reflecting the benefit of operating efficiencies and the $100 million charge in 2000 mentioned above.</w:t>
      </w: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540"/>
          </w:cols>
          <w:pgMar w:left="220" w:top="261" w:right="139"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ind w:right="4540"/>
        <w:spacing w:after="0" w:line="273" w:lineRule="auto"/>
        <w:rPr>
          <w:sz w:val="20"/>
          <w:szCs w:val="20"/>
          <w:color w:val="auto"/>
        </w:rPr>
      </w:pPr>
      <w:r>
        <w:rPr>
          <w:rFonts w:ascii="Courier New" w:cs="Courier New" w:eastAsia="Courier New" w:hAnsi="Courier New"/>
          <w:sz w:val="15"/>
          <w:szCs w:val="15"/>
          <w:color w:val="auto"/>
        </w:rPr>
        <w:t>Management's goal is double-digit cash operating earnings growth for RMMFS in 2001. Current conditions in the mortgage market may continue to affect adversely the valuation of mortgage servicing rights and may impact management's ability to meet this target.</w:t>
      </w:r>
    </w:p>
    <w:p>
      <w:pPr>
        <w:spacing w:after="0" w:line="68" w:lineRule="exact"/>
        <w:rPr>
          <w:sz w:val="20"/>
          <w:szCs w:val="20"/>
          <w:color w:val="auto"/>
        </w:rPr>
      </w:pPr>
    </w:p>
    <w:p>
      <w:pPr>
        <w:ind w:right="4540"/>
        <w:spacing w:after="0" w:line="344" w:lineRule="auto"/>
        <w:rPr>
          <w:sz w:val="20"/>
          <w:szCs w:val="20"/>
          <w:color w:val="auto"/>
        </w:rPr>
      </w:pPr>
      <w:r>
        <w:rPr>
          <w:rFonts w:ascii="Courier New" w:cs="Courier New" w:eastAsia="Courier New" w:hAnsi="Courier New"/>
          <w:sz w:val="15"/>
          <w:szCs w:val="15"/>
          <w:color w:val="auto"/>
        </w:rPr>
        <w:t>The following table sets forth certain key financial performance measures of the businesses within RMMFS.</w:t>
      </w:r>
    </w:p>
    <w:p>
      <w:pPr>
        <w:spacing w:after="0" w:line="354" w:lineRule="exact"/>
        <w:rPr>
          <w:sz w:val="20"/>
          <w:szCs w:val="20"/>
          <w:color w:val="auto"/>
        </w:rPr>
      </w:pPr>
    </w:p>
    <w:p>
      <w:pPr>
        <w:ind w:right="340"/>
        <w:spacing w:after="0" w:line="274" w:lineRule="auto"/>
        <w:rPr>
          <w:sz w:val="20"/>
          <w:szCs w:val="20"/>
          <w:color w:val="auto"/>
        </w:rPr>
      </w:pPr>
      <w:r>
        <w:rPr>
          <w:rFonts w:ascii="Courier New" w:cs="Courier New" w:eastAsia="Courier New" w:hAnsi="Courier New"/>
          <w:sz w:val="14"/>
          <w:szCs w:val="14"/>
          <w:color w:val="auto"/>
        </w:rPr>
        <w:t>================================================================================================================================ (in millions)</w:t>
      </w:r>
    </w:p>
    <w:tbl>
      <w:tblPr>
        <w:tblLayout w:type="fixed"/>
        <w:tblInd w:w="0" w:type="dxa"/>
        <w:tblCellMar>
          <w:top w:w="0" w:type="dxa"/>
          <w:left w:w="0" w:type="dxa"/>
          <w:bottom w:w="0" w:type="dxa"/>
          <w:right w:w="0" w:type="dxa"/>
        </w:tblCellMar>
      </w:tblPr>
      <w:tr>
        <w:trPr>
          <w:trHeight w:val="142"/>
        </w:trPr>
        <w:tc>
          <w:tcPr>
            <w:tcW w:w="2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jc w:val="right"/>
              <w:ind w:right="527"/>
              <w:spacing w:after="0" w:line="143" w:lineRule="exact"/>
              <w:rPr>
                <w:sz w:val="20"/>
                <w:szCs w:val="20"/>
                <w:color w:val="auto"/>
              </w:rPr>
            </w:pPr>
            <w:r>
              <w:rPr>
                <w:rFonts w:ascii="Courier New" w:cs="Courier New" w:eastAsia="Courier New" w:hAnsi="Courier New"/>
                <w:sz w:val="15"/>
                <w:szCs w:val="15"/>
                <w:color w:val="auto"/>
              </w:rPr>
              <w:t>SECOND QUARTER</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40" w:type="dxa"/>
            <w:vAlign w:val="bottom"/>
            <w:gridSpan w:val="2"/>
          </w:tcPr>
          <w:p>
            <w:pPr>
              <w:jc w:val="right"/>
              <w:ind w:right="887"/>
              <w:spacing w:after="0" w:line="143" w:lineRule="exact"/>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2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Over (Under)</w:t>
            </w: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Over (Under)</w:t>
            </w: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20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2Q2000</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5"/>
              </w:rPr>
              <w:t>1Q 2001</w:t>
            </w:r>
          </w:p>
        </w:tc>
        <w:tc>
          <w:tcPr>
            <w:tcW w:w="800" w:type="dxa"/>
            <w:vAlign w:val="bottom"/>
          </w:tcPr>
          <w:p>
            <w:pPr>
              <w:spacing w:after="0"/>
              <w:rPr>
                <w:sz w:val="14"/>
                <w:szCs w:val="14"/>
                <w:color w:val="auto"/>
              </w:rPr>
            </w:pPr>
          </w:p>
        </w:tc>
        <w:tc>
          <w:tcPr>
            <w:tcW w:w="104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2Q 2000</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206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1,061</w:t>
            </w:r>
          </w:p>
        </w:tc>
        <w:tc>
          <w:tcPr>
            <w:tcW w:w="2040" w:type="dxa"/>
            <w:vAlign w:val="bottom"/>
            <w:vMerge w:val="restart"/>
          </w:tcPr>
          <w:p>
            <w:pPr>
              <w:jc w:val="right"/>
              <w:ind w:right="787"/>
              <w:spacing w:after="0"/>
              <w:rPr>
                <w:sz w:val="20"/>
                <w:szCs w:val="20"/>
                <w:color w:val="auto"/>
              </w:rPr>
            </w:pPr>
            <w:r>
              <w:rPr>
                <w:rFonts w:ascii="Courier New" w:cs="Courier New" w:eastAsia="Courier New" w:hAnsi="Courier New"/>
                <w:sz w:val="15"/>
                <w:szCs w:val="15"/>
                <w:color w:val="auto"/>
              </w:rPr>
              <w:t>15%</w:t>
            </w:r>
          </w:p>
        </w:tc>
        <w:tc>
          <w:tcPr>
            <w:tcW w:w="9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7%</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2,050</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Cardmember Services</w:t>
            </w: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Regional Banking Group</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759</w:t>
            </w:r>
          </w:p>
        </w:tc>
        <w:tc>
          <w:tcPr>
            <w:tcW w:w="20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Home Finance</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393</w:t>
            </w:r>
          </w:p>
        </w:tc>
        <w:tc>
          <w:tcPr>
            <w:tcW w:w="20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Middle Markets</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263</w:t>
            </w:r>
          </w:p>
        </w:tc>
        <w:tc>
          <w:tcPr>
            <w:tcW w:w="20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 Finance</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w:t>
            </w:r>
          </w:p>
        </w:tc>
        <w:tc>
          <w:tcPr>
            <w:tcW w:w="20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w:t>
            </w:r>
          </w:p>
        </w:tc>
        <w:tc>
          <w:tcPr>
            <w:tcW w:w="20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NM</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NM</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220" w:type="dxa"/>
            <w:vAlign w:val="bottom"/>
            <w:vMerge w:val="restart"/>
          </w:tcPr>
          <w:p>
            <w:pPr>
              <w:ind w:left="880"/>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8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2,642</w:t>
            </w:r>
          </w:p>
        </w:tc>
        <w:tc>
          <w:tcPr>
            <w:tcW w:w="204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5</w:t>
            </w:r>
          </w:p>
        </w:tc>
        <w:tc>
          <w:tcPr>
            <w:tcW w:w="9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3</w:t>
            </w:r>
          </w:p>
        </w:tc>
        <w:tc>
          <w:tcPr>
            <w:tcW w:w="18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5,201</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20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CASH OPERATING EARNINGS</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135</w:t>
            </w:r>
          </w:p>
        </w:tc>
        <w:tc>
          <w:tcPr>
            <w:tcW w:w="2040" w:type="dxa"/>
            <w:vAlign w:val="bottom"/>
            <w:vMerge w:val="restart"/>
          </w:tcPr>
          <w:p>
            <w:pPr>
              <w:jc w:val="right"/>
              <w:ind w:right="787"/>
              <w:spacing w:after="0"/>
              <w:rPr>
                <w:sz w:val="20"/>
                <w:szCs w:val="20"/>
                <w:color w:val="auto"/>
              </w:rPr>
            </w:pPr>
            <w:r>
              <w:rPr>
                <w:rFonts w:ascii="Courier New" w:cs="Courier New" w:eastAsia="Courier New" w:hAnsi="Courier New"/>
                <w:sz w:val="15"/>
                <w:szCs w:val="15"/>
                <w:color w:val="auto"/>
              </w:rPr>
              <w:t>7%</w:t>
            </w:r>
          </w:p>
        </w:tc>
        <w:tc>
          <w:tcPr>
            <w:tcW w:w="9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252</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Cardmember Services</w:t>
            </w: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Regional Banking Group</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131</w:t>
            </w:r>
          </w:p>
        </w:tc>
        <w:tc>
          <w:tcPr>
            <w:tcW w:w="20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Home Finance</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w:t>
            </w:r>
          </w:p>
        </w:tc>
        <w:tc>
          <w:tcPr>
            <w:tcW w:w="20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Middle Markets</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w:t>
            </w:r>
          </w:p>
        </w:tc>
        <w:tc>
          <w:tcPr>
            <w:tcW w:w="20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 Finance</w:t>
            </w:r>
          </w:p>
        </w:tc>
        <w:tc>
          <w:tcPr>
            <w:tcW w:w="1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w:t>
            </w:r>
          </w:p>
        </w:tc>
        <w:tc>
          <w:tcPr>
            <w:tcW w:w="20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36</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w:t>
            </w:r>
          </w:p>
        </w:tc>
        <w:tc>
          <w:tcPr>
            <w:tcW w:w="8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20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NM</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NM</w:t>
            </w:r>
          </w:p>
        </w:tc>
        <w:tc>
          <w:tcPr>
            <w:tcW w:w="8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220" w:type="dxa"/>
            <w:vAlign w:val="bottom"/>
            <w:vMerge w:val="restart"/>
          </w:tcPr>
          <w:p>
            <w:pPr>
              <w:ind w:left="8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438</w:t>
            </w:r>
          </w:p>
        </w:tc>
        <w:tc>
          <w:tcPr>
            <w:tcW w:w="2040" w:type="dxa"/>
            <w:vAlign w:val="bottom"/>
            <w:vMerge w:val="restart"/>
          </w:tcPr>
          <w:p>
            <w:pPr>
              <w:jc w:val="right"/>
              <w:ind w:right="787"/>
              <w:spacing w:after="0"/>
              <w:rPr>
                <w:sz w:val="20"/>
                <w:szCs w:val="20"/>
                <w:color w:val="auto"/>
              </w:rPr>
            </w:pPr>
            <w:r>
              <w:rPr>
                <w:rFonts w:ascii="Courier New" w:cs="Courier New" w:eastAsia="Courier New" w:hAnsi="Courier New"/>
                <w:sz w:val="15"/>
                <w:szCs w:val="15"/>
                <w:color w:val="auto"/>
              </w:rPr>
              <w:t>(3)</w:t>
            </w:r>
          </w:p>
        </w:tc>
        <w:tc>
          <w:tcPr>
            <w:tcW w:w="9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18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880</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20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 Not meaningful.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540"/>
          </w:cols>
          <w:pgMar w:left="220" w:top="261" w:right="13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CARDMEMBER SERVICES</w:t>
      </w:r>
    </w:p>
    <w:p>
      <w:pPr>
        <w:spacing w:after="0" w:line="2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Cardmember Services operating revenues were up 15% for the second quarter and 12% for the first six months of 2001 compared with the same periods last year. Cash operating earnings were up 7% and 14% for the second quarter and first six months of 2001, respectively, compared with the same periods in 2000. The higher revenue was driven by an increase in new accounts over the last several quarters, higher purchase volume and higher fee-based revenue. Credit card outstandings grew by 16% from one year ago and over two million new</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accounts were added in the first six months of 2001. The increase in cash operating earnings was partially offset by higher expenses reflecting higher business volumes and higher marketing costs. In addition, credit costs increased in the 2001 second quarter reflecting the slowing economy and higher bankruptcy filings.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BANKING GROUP</w:t>
      </w:r>
    </w:p>
    <w:p>
      <w:pPr>
        <w:spacing w:after="0" w:line="24"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Regional Banking Group's operating revenues for the second quarter of 2001 and the first six months of 2001 declined slightly from the respective periods of 2000, and cash operating earnings for the second quarter of 2001 and the first six months of 2001 declined 9% and 5%, when compared with the second quarter and first half of 2000, respectively. These results reflect the adverse effects of declining interest rates on deposit spreads and lower investment brokerage volume as a result of weaker market conditions in 2001.</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HOME FINANCE</w:t>
      </w:r>
    </w:p>
    <w:p>
      <w:pPr>
        <w:spacing w:after="0" w:line="24" w:lineRule="exact"/>
        <w:rPr>
          <w:sz w:val="20"/>
          <w:szCs w:val="20"/>
          <w:color w:val="auto"/>
        </w:rPr>
      </w:pPr>
    </w:p>
    <w:p>
      <w:pPr>
        <w:ind w:right="3239"/>
        <w:spacing w:after="0" w:line="242" w:lineRule="auto"/>
        <w:rPr>
          <w:sz w:val="20"/>
          <w:szCs w:val="20"/>
          <w:color w:val="auto"/>
        </w:rPr>
      </w:pPr>
      <w:r>
        <w:rPr>
          <w:rFonts w:ascii="Courier New" w:cs="Courier New" w:eastAsia="Courier New" w:hAnsi="Courier New"/>
          <w:sz w:val="15"/>
          <w:szCs w:val="15"/>
          <w:color w:val="auto"/>
        </w:rPr>
        <w:t>Home Finance's operating revenues and cash operating earnings each rose 25% in the second quarter of 2001 versus the prior year's quarter and were up 16% and 24%, respectively, for the first six months of 2001 over the same period last year. The increases in 2001 were due to a 200% growth in origination volume, a 24% growth in servicing balances and higher net interest margin. Home Finance revenues were reduced in the first half of 2001 by $207 million, due to impairments on MSRs and other assets, partially offset by gains on hedging instruments, AFS securities and other derivative instruments. This reduction in revenue resulted from accelerated prepayments due to the decline in interest rates. Originations (residential, home equity and manufactured housing) for the second quarter of 2001 were $54 billion, a record level, and included originations from the retail, wholesale and correspondent (traditional and negotiated) channels. The Home Finance servicing portfolio exceeded $400 billion at June 30, 2001.</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MARKETS</w:t>
      </w:r>
    </w:p>
    <w:p>
      <w:pPr>
        <w:spacing w:after="0" w:line="2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Middle Markets' operating revenues and cash operating earnings for the second quarter of 2001 declined 5% and 16%, respectively, from the second quarter of 2000. Operating revenues and cash operating earnings each were essentially flat, compared with the first six months of 2000. The decrease in cash operating earnings in the second quarter reflected the negative impact of narrower spreads on deposits, partially offset by higher deposit volume.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 FINANCE</w:t>
      </w:r>
    </w:p>
    <w:p>
      <w:pPr>
        <w:spacing w:after="0" w:line="2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Auto Finance's operating revenues and cash operating earnings were $242 million and $56 million, respectively, in the first half of 2001. Year-to-date auto originations of $9 billion, a record increase in origination volume, the impact of lower interest rates, and the effect of a $100 million charge recognized last year for the estimated decrease in auto lease residual value contributed to the growth over last year.</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UNITS AND CORPORATE</w:t>
      </w:r>
    </w:p>
    <w:p>
      <w:pPr>
        <w:spacing w:after="0" w:line="24" w:lineRule="exact"/>
        <w:rPr>
          <w:sz w:val="20"/>
          <w:szCs w:val="20"/>
          <w:color w:val="auto"/>
        </w:rPr>
      </w:pPr>
    </w:p>
    <w:p>
      <w:pPr>
        <w:ind w:right="3239"/>
        <w:spacing w:after="0" w:line="307" w:lineRule="auto"/>
        <w:rPr>
          <w:sz w:val="20"/>
          <w:szCs w:val="20"/>
          <w:color w:val="auto"/>
        </w:rPr>
      </w:pPr>
      <w:r>
        <w:rPr>
          <w:rFonts w:ascii="Courier New" w:cs="Courier New" w:eastAsia="Courier New" w:hAnsi="Courier New"/>
          <w:sz w:val="15"/>
          <w:szCs w:val="15"/>
          <w:color w:val="auto"/>
        </w:rPr>
        <w:t>JPMorgan Chase's support units include LabMorgan, Enterprise Technology Services and Corporate Business Services.</w:t>
      </w:r>
    </w:p>
    <w:p>
      <w:pPr>
        <w:spacing w:after="0" w:line="44"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For the second quarter of 2001, Support Units and Corporate had a cash operating loss of $26 million, compared with a cash operating loss of $41 million in the second quarter of 2000. Included in the second quarter of 2001 was a net loss at LabMorgan primarily as a result of a $30 million (pre-tax) write-down of investments and equity investment losses.</w:t>
      </w:r>
    </w:p>
    <w:p>
      <w:pPr>
        <w:spacing w:after="0" w:line="2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61" w:right="1440" w:bottom="1440" w:gutter="0" w:footer="0" w:header="0"/>
        </w:sectPr>
      </w:pPr>
    </w:p>
    <w:bookmarkStart w:id="28" w:name="page29"/>
    <w:bookmarkEnd w:id="28"/>
    <w:p>
      <w:pPr>
        <w:spacing w:after="0" w:line="8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w:t>
      </w: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4800"/>
        <w:spacing w:after="0" w:line="320" w:lineRule="auto"/>
        <w:rPr>
          <w:sz w:val="20"/>
          <w:szCs w:val="20"/>
          <w:color w:val="auto"/>
        </w:rPr>
      </w:pPr>
      <w:r>
        <w:rPr>
          <w:rFonts w:ascii="Courier New" w:cs="Courier New" w:eastAsia="Courier New" w:hAnsi="Courier New"/>
          <w:sz w:val="14"/>
          <w:szCs w:val="14"/>
          <w:color w:val="auto"/>
        </w:rPr>
        <w:t>The following section provides a discussion of JPMorgan Chase's results of operations on both a reported and operating basis. The table below provides a reconciliation between the Firm's reported and operating results.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(in millions, except per share data)</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5"/>
              </w:rPr>
              <w:t>SECOND QUARTER</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Second Quarter</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
                <w:szCs w:val="1"/>
                <w:color w:val="auto"/>
                <w:w w:val="84"/>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4"/>
              </w:rPr>
              <w:t>REPORTED</w:t>
            </w:r>
          </w:p>
        </w:tc>
        <w:tc>
          <w:tcPr>
            <w:tcW w:w="10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CREDIT</w:t>
            </w:r>
          </w:p>
        </w:tc>
        <w:tc>
          <w:tcPr>
            <w:tcW w:w="960" w:type="dxa"/>
            <w:vAlign w:val="bottom"/>
            <w:gridSpan w:val="2"/>
            <w:vMerge w:val="restart"/>
          </w:tcPr>
          <w:p>
            <w:pPr>
              <w:jc w:val="center"/>
              <w:spacing w:after="0"/>
              <w:rPr>
                <w:sz w:val="20"/>
                <w:szCs w:val="20"/>
                <w:color w:val="auto"/>
              </w:rPr>
            </w:pPr>
            <w:r>
              <w:rPr>
                <w:rFonts w:ascii="Courier New" w:cs="Courier New" w:eastAsia="Courier New" w:hAnsi="Courier New"/>
                <w:sz w:val="15"/>
                <w:szCs w:val="15"/>
                <w:color w:val="auto"/>
                <w:w w:val="98"/>
              </w:rPr>
              <w:t>SPECIAL</w:t>
            </w:r>
          </w:p>
        </w:tc>
        <w:tc>
          <w:tcPr>
            <w:tcW w:w="26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3"/>
              </w:rPr>
              <w:t>OPERATING</w:t>
            </w:r>
          </w:p>
        </w:tc>
        <w:tc>
          <w:tcPr>
            <w:tcW w:w="392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Reported</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Credit</w:t>
            </w:r>
          </w:p>
        </w:tc>
        <w:tc>
          <w:tcPr>
            <w:tcW w:w="9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Special</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RESULTS</w:t>
            </w:r>
          </w:p>
        </w:tc>
        <w:tc>
          <w:tcPr>
            <w:tcW w:w="3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CARD</w:t>
            </w: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ITEMS</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BASIS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Results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Card</w:t>
            </w:r>
          </w:p>
        </w:tc>
        <w:tc>
          <w:tcPr>
            <w:tcW w:w="96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Items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Basis</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w:t>
            </w:r>
          </w:p>
        </w:tc>
        <w:tc>
          <w:tcPr>
            <w:tcW w:w="3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w:t>
            </w:r>
          </w:p>
        </w:tc>
        <w:tc>
          <w:tcPr>
            <w:tcW w:w="340" w:type="dxa"/>
            <w:vAlign w:val="bottom"/>
          </w:tcPr>
          <w:p>
            <w:pPr>
              <w:spacing w:after="0"/>
              <w:rPr>
                <w:sz w:val="14"/>
                <w:szCs w:val="14"/>
                <w:color w:val="auto"/>
              </w:rPr>
            </w:pPr>
          </w:p>
        </w:tc>
        <w:tc>
          <w:tcPr>
            <w:tcW w:w="6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(c)</w:t>
            </w:r>
          </w:p>
        </w:tc>
        <w:tc>
          <w:tcPr>
            <w:tcW w:w="114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w:t>
            </w:r>
          </w:p>
        </w:tc>
        <w:tc>
          <w:tcPr>
            <w:tcW w:w="440" w:type="dxa"/>
            <w:vAlign w:val="bottom"/>
          </w:tcPr>
          <w:p>
            <w:pPr>
              <w:spacing w:after="0"/>
              <w:rPr>
                <w:sz w:val="14"/>
                <w:szCs w:val="14"/>
                <w:color w:val="auto"/>
              </w:rPr>
            </w:pPr>
          </w:p>
        </w:tc>
        <w:tc>
          <w:tcPr>
            <w:tcW w:w="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(c)</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vMerge w:val="continue"/>
          </w:tcPr>
          <w:p>
            <w:pPr>
              <w:spacing w:after="0"/>
              <w:rPr>
                <w:sz w:val="21"/>
                <w:szCs w:val="21"/>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STATEMENT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6,871</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273</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7,144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7,899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242</w:t>
            </w:r>
          </w:p>
        </w:tc>
        <w:tc>
          <w:tcPr>
            <w:tcW w:w="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8,282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Expense</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5,100</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4,933</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4,933</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Margin</w:t>
            </w:r>
          </w:p>
        </w:tc>
        <w:tc>
          <w:tcPr>
            <w:tcW w:w="260" w:type="dxa"/>
            <w:vAlign w:val="bottom"/>
          </w:tcPr>
          <w:p>
            <w:pPr>
              <w:jc w:val="right"/>
              <w:spacing w:after="0"/>
              <w:rPr>
                <w:sz w:val="20"/>
                <w:szCs w:val="20"/>
                <w:color w:val="auto"/>
              </w:rPr>
            </w:pPr>
            <w:r>
              <w:rPr>
                <w:rFonts w:ascii="Courier New" w:cs="Courier New" w:eastAsia="Courier New" w:hAnsi="Courier New"/>
                <w:sz w:val="5"/>
                <w:szCs w:val="5"/>
                <w:color w:val="auto"/>
                <w:w w:val="79"/>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1,588</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w:t>
            </w:r>
          </w:p>
        </w:tc>
        <w:tc>
          <w:tcPr>
            <w:tcW w:w="3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2,874</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w:t>
            </w:r>
          </w:p>
        </w:tc>
        <w:tc>
          <w:tcPr>
            <w:tcW w:w="4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3,257</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Costs</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525</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w:t>
            </w:r>
          </w:p>
        </w:tc>
        <w:tc>
          <w:tcPr>
            <w:tcW w:w="3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798</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w:t>
            </w:r>
          </w:p>
        </w:tc>
        <w:tc>
          <w:tcPr>
            <w:tcW w:w="4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245"/>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Merger and</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1,063</w:t>
            </w:r>
          </w:p>
        </w:tc>
        <w:tc>
          <w:tcPr>
            <w:tcW w:w="320" w:type="dxa"/>
            <w:vAlign w:val="bottom"/>
          </w:tcPr>
          <w:p>
            <w:pPr>
              <w:spacing w:after="0"/>
              <w:rPr>
                <w:sz w:val="7"/>
                <w:szCs w:val="7"/>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7"/>
                <w:szCs w:val="7"/>
                <w:color w:val="auto"/>
              </w:rPr>
            </w:pPr>
          </w:p>
        </w:tc>
        <w:tc>
          <w:tcPr>
            <w:tcW w:w="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7"/>
                <w:szCs w:val="7"/>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1,063</w:t>
            </w:r>
          </w:p>
        </w:tc>
        <w:tc>
          <w:tcPr>
            <w:tcW w:w="260" w:type="dxa"/>
            <w:vAlign w:val="bottom"/>
          </w:tcPr>
          <w:p>
            <w:pPr>
              <w:spacing w:after="0"/>
              <w:rPr>
                <w:sz w:val="7"/>
                <w:szCs w:val="7"/>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2,546</w:t>
            </w:r>
          </w:p>
        </w:tc>
        <w:tc>
          <w:tcPr>
            <w:tcW w:w="260" w:type="dxa"/>
            <w:vAlign w:val="bottom"/>
          </w:tcPr>
          <w:p>
            <w:pPr>
              <w:spacing w:after="0"/>
              <w:rPr>
                <w:sz w:val="7"/>
                <w:szCs w:val="7"/>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7"/>
                <w:szCs w:val="7"/>
                <w:color w:val="auto"/>
              </w:rPr>
            </w:pPr>
          </w:p>
        </w:tc>
        <w:tc>
          <w:tcPr>
            <w:tcW w:w="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7"/>
                <w:szCs w:val="7"/>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2,687</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Restructuring Costs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and Restructuring Costs</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478</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(478)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 Expense</w:t>
            </w:r>
          </w:p>
        </w:tc>
        <w:tc>
          <w:tcPr>
            <w:tcW w:w="260" w:type="dxa"/>
            <w:vAlign w:val="bottom"/>
          </w:tcPr>
          <w:p>
            <w:pPr>
              <w:jc w:val="right"/>
              <w:spacing w:after="0"/>
              <w:rPr>
                <w:sz w:val="20"/>
                <w:szCs w:val="20"/>
                <w:color w:val="auto"/>
              </w:rPr>
            </w:pPr>
            <w:r>
              <w:rPr>
                <w:rFonts w:ascii="Courier New" w:cs="Courier New" w:eastAsia="Courier New" w:hAnsi="Courier New"/>
                <w:sz w:val="5"/>
                <w:szCs w:val="5"/>
                <w:color w:val="auto"/>
                <w:w w:val="79"/>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585</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2,496</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2,687</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Expense</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863</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930</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378</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1,757</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Amortization of</w:t>
            </w:r>
          </w:p>
        </w:tc>
        <w:tc>
          <w:tcPr>
            <w:tcW w:w="26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183</w:t>
            </w:r>
          </w:p>
        </w:tc>
        <w:tc>
          <w:tcPr>
            <w:tcW w:w="32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92</w:t>
            </w:r>
          </w:p>
        </w:tc>
        <w:tc>
          <w:tcPr>
            <w:tcW w:w="26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Cash Earnings</w:t>
            </w:r>
          </w:p>
        </w:tc>
        <w:tc>
          <w:tcPr>
            <w:tcW w:w="2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561</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1,849</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0.18</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0.34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0.87</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0.93</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0.18</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0.33</w:t>
            </w:r>
          </w:p>
        </w:tc>
        <w:tc>
          <w:tcPr>
            <w:tcW w:w="26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0.83</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0.89</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CASH EARNINGS PER SHARE</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0.43</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0.98</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0.42</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SIX MONTHS 2001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9"/>
              </w:rPr>
              <w:t>Six Months 2000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40" w:type="dxa"/>
            <w:vAlign w:val="bottom"/>
            <w:gridSpan w:val="8"/>
          </w:tcPr>
          <w:p>
            <w:pPr>
              <w:ind w:left="16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INCOME STATEMENT</w:t>
            </w:r>
          </w:p>
        </w:tc>
        <w:tc>
          <w:tcPr>
            <w:tcW w:w="6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2"/>
              </w:rPr>
              <w:t>15,124</w:t>
            </w:r>
          </w:p>
        </w:tc>
        <w:tc>
          <w:tcPr>
            <w:tcW w:w="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514</w:t>
            </w:r>
          </w:p>
        </w:tc>
        <w:tc>
          <w:tcPr>
            <w:tcW w:w="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15,638</w:t>
            </w:r>
          </w:p>
        </w:tc>
        <w:tc>
          <w:tcPr>
            <w:tcW w:w="3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16,668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496</w:t>
            </w:r>
          </w:p>
        </w:tc>
        <w:tc>
          <w:tcPr>
            <w:tcW w:w="3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141</w:t>
            </w:r>
          </w:p>
        </w:tc>
        <w:tc>
          <w:tcPr>
            <w:tcW w:w="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17,305</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Expense</w:t>
            </w:r>
          </w:p>
        </w:tc>
        <w:tc>
          <w:tcPr>
            <w:tcW w:w="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10,521</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10,521</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10,193</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10,193</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Margin</w:t>
            </w:r>
          </w:p>
        </w:tc>
        <w:tc>
          <w:tcPr>
            <w:tcW w:w="620" w:type="dxa"/>
            <w:vAlign w:val="bottom"/>
          </w:tcPr>
          <w:p>
            <w:pPr>
              <w:ind w:left="260"/>
              <w:spacing w:after="0"/>
              <w:rPr>
                <w:sz w:val="20"/>
                <w:szCs w:val="20"/>
                <w:color w:val="auto"/>
              </w:rPr>
            </w:pPr>
            <w:r>
              <w:rPr>
                <w:rFonts w:ascii="Courier New" w:cs="Courier New" w:eastAsia="Courier New" w:hAnsi="Courier New"/>
                <w:sz w:val="8"/>
                <w:szCs w:val="8"/>
                <w:color w:val="auto"/>
                <w:w w:val="70"/>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4,243</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514</w:t>
            </w:r>
          </w:p>
        </w:tc>
        <w:tc>
          <w:tcPr>
            <w:tcW w:w="3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4,757</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6,290</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496</w:t>
            </w:r>
          </w:p>
        </w:tc>
        <w:tc>
          <w:tcPr>
            <w:tcW w:w="34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6,927</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Costs</w:t>
            </w:r>
          </w:p>
        </w:tc>
        <w:tc>
          <w:tcPr>
            <w:tcW w:w="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972</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514</w:t>
            </w:r>
          </w:p>
        </w:tc>
        <w:tc>
          <w:tcPr>
            <w:tcW w:w="3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1,486</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670</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496</w:t>
            </w:r>
          </w:p>
        </w:tc>
        <w:tc>
          <w:tcPr>
            <w:tcW w:w="34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1,166</w:t>
            </w:r>
          </w:p>
        </w:tc>
        <w:tc>
          <w:tcPr>
            <w:tcW w:w="0" w:type="dxa"/>
            <w:vAlign w:val="bottom"/>
          </w:tcPr>
          <w:p>
            <w:pPr>
              <w:spacing w:after="0"/>
              <w:rPr>
                <w:sz w:val="1"/>
                <w:szCs w:val="1"/>
                <w:color w:val="auto"/>
              </w:rPr>
            </w:pPr>
          </w:p>
        </w:tc>
      </w:tr>
      <w:tr>
        <w:trPr>
          <w:trHeight w:val="245"/>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Merger and</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1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3,271</w:t>
            </w:r>
          </w:p>
        </w:tc>
        <w:tc>
          <w:tcPr>
            <w:tcW w:w="220" w:type="dxa"/>
            <w:vAlign w:val="bottom"/>
          </w:tcPr>
          <w:p>
            <w:pPr>
              <w:spacing w:after="0"/>
              <w:rPr>
                <w:sz w:val="7"/>
                <w:szCs w:val="7"/>
                <w:color w:val="auto"/>
              </w:rPr>
            </w:pP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7"/>
                <w:szCs w:val="7"/>
                <w:color w:val="auto"/>
              </w:rPr>
            </w:pP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7"/>
                <w:szCs w:val="7"/>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3,271</w:t>
            </w:r>
          </w:p>
        </w:tc>
        <w:tc>
          <w:tcPr>
            <w:tcW w:w="340" w:type="dxa"/>
            <w:vAlign w:val="bottom"/>
          </w:tcPr>
          <w:p>
            <w:pPr>
              <w:spacing w:after="0"/>
              <w:rPr>
                <w:sz w:val="7"/>
                <w:szCs w:val="7"/>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5,620</w:t>
            </w:r>
          </w:p>
        </w:tc>
        <w:tc>
          <w:tcPr>
            <w:tcW w:w="260" w:type="dxa"/>
            <w:vAlign w:val="bottom"/>
          </w:tcPr>
          <w:p>
            <w:pPr>
              <w:spacing w:after="0"/>
              <w:rPr>
                <w:sz w:val="7"/>
                <w:szCs w:val="7"/>
                <w:color w:val="auto"/>
              </w:rPr>
            </w:pP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7"/>
                <w:szCs w:val="7"/>
                <w:color w:val="auto"/>
              </w:rPr>
            </w:pP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141</w:t>
            </w:r>
          </w:p>
        </w:tc>
        <w:tc>
          <w:tcPr>
            <w:tcW w:w="26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5,761</w:t>
            </w:r>
          </w:p>
        </w:tc>
        <w:tc>
          <w:tcPr>
            <w:tcW w:w="0" w:type="dxa"/>
            <w:vAlign w:val="bottom"/>
          </w:tcPr>
          <w:p>
            <w:pPr>
              <w:spacing w:after="0"/>
              <w:rPr>
                <w:sz w:val="1"/>
                <w:szCs w:val="1"/>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Restructuring Costs</w:t>
            </w:r>
          </w:p>
        </w:tc>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and Restructuring Costs</w:t>
            </w:r>
          </w:p>
        </w:tc>
        <w:tc>
          <w:tcPr>
            <w:tcW w:w="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806</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(806)</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 Expense</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1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2,465</w:t>
            </w:r>
          </w:p>
        </w:tc>
        <w:tc>
          <w:tcPr>
            <w:tcW w:w="220" w:type="dxa"/>
            <w:vAlign w:val="bottom"/>
          </w:tcPr>
          <w:p>
            <w:pPr>
              <w:spacing w:after="0"/>
              <w:rPr>
                <w:sz w:val="7"/>
                <w:szCs w:val="7"/>
                <w:color w:val="auto"/>
              </w:rPr>
            </w:pP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7"/>
                <w:szCs w:val="7"/>
                <w:color w:val="auto"/>
              </w:rPr>
            </w:pP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806</w:t>
            </w:r>
          </w:p>
        </w:tc>
        <w:tc>
          <w:tcPr>
            <w:tcW w:w="340" w:type="dxa"/>
            <w:vAlign w:val="bottom"/>
          </w:tcPr>
          <w:p>
            <w:pPr>
              <w:spacing w:after="0"/>
              <w:rPr>
                <w:sz w:val="7"/>
                <w:szCs w:val="7"/>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3,271</w:t>
            </w:r>
          </w:p>
        </w:tc>
        <w:tc>
          <w:tcPr>
            <w:tcW w:w="340" w:type="dxa"/>
            <w:vAlign w:val="bottom"/>
          </w:tcPr>
          <w:p>
            <w:pPr>
              <w:spacing w:after="0"/>
              <w:rPr>
                <w:sz w:val="7"/>
                <w:szCs w:val="7"/>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5,570</w:t>
            </w:r>
          </w:p>
        </w:tc>
        <w:tc>
          <w:tcPr>
            <w:tcW w:w="260" w:type="dxa"/>
            <w:vAlign w:val="bottom"/>
          </w:tcPr>
          <w:p>
            <w:pPr>
              <w:spacing w:after="0"/>
              <w:rPr>
                <w:sz w:val="7"/>
                <w:szCs w:val="7"/>
                <w:color w:val="auto"/>
              </w:rPr>
            </w:pP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7"/>
                <w:szCs w:val="7"/>
                <w:color w:val="auto"/>
              </w:rPr>
            </w:pP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191</w:t>
            </w:r>
          </w:p>
        </w:tc>
        <w:tc>
          <w:tcPr>
            <w:tcW w:w="26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5,761</w:t>
            </w:r>
          </w:p>
        </w:tc>
        <w:tc>
          <w:tcPr>
            <w:tcW w:w="0" w:type="dxa"/>
            <w:vAlign w:val="bottom"/>
          </w:tcPr>
          <w:p>
            <w:pPr>
              <w:spacing w:after="0"/>
              <w:rPr>
                <w:sz w:val="1"/>
                <w:szCs w:val="1"/>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Effect of Accounting Change</w:t>
            </w:r>
          </w:p>
        </w:tc>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Expense</w:t>
            </w:r>
          </w:p>
        </w:tc>
        <w:tc>
          <w:tcPr>
            <w:tcW w:w="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863</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1,145</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1,949</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2,016</w:t>
            </w:r>
          </w:p>
        </w:tc>
        <w:tc>
          <w:tcPr>
            <w:tcW w:w="0" w:type="dxa"/>
            <w:vAlign w:val="bottom"/>
          </w:tcPr>
          <w:p>
            <w:pPr>
              <w:spacing w:after="0"/>
              <w:rPr>
                <w:sz w:val="1"/>
                <w:szCs w:val="1"/>
                <w:color w:val="auto"/>
              </w:rPr>
            </w:pPr>
          </w:p>
        </w:tc>
      </w:tr>
      <w:tr>
        <w:trPr>
          <w:trHeight w:val="245"/>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Effect of Accounting</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1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1,602</w:t>
            </w:r>
          </w:p>
        </w:tc>
        <w:tc>
          <w:tcPr>
            <w:tcW w:w="220" w:type="dxa"/>
            <w:vAlign w:val="bottom"/>
          </w:tcPr>
          <w:p>
            <w:pPr>
              <w:spacing w:after="0"/>
              <w:rPr>
                <w:sz w:val="7"/>
                <w:szCs w:val="7"/>
                <w:color w:val="auto"/>
              </w:rPr>
            </w:pP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7"/>
                <w:szCs w:val="7"/>
                <w:color w:val="auto"/>
              </w:rPr>
            </w:pP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524</w:t>
            </w:r>
          </w:p>
        </w:tc>
        <w:tc>
          <w:tcPr>
            <w:tcW w:w="340" w:type="dxa"/>
            <w:vAlign w:val="bottom"/>
          </w:tcPr>
          <w:p>
            <w:pPr>
              <w:spacing w:after="0"/>
              <w:rPr>
                <w:sz w:val="7"/>
                <w:szCs w:val="7"/>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2,126</w:t>
            </w:r>
          </w:p>
        </w:tc>
        <w:tc>
          <w:tcPr>
            <w:tcW w:w="340" w:type="dxa"/>
            <w:vAlign w:val="bottom"/>
          </w:tcPr>
          <w:p>
            <w:pPr>
              <w:spacing w:after="0"/>
              <w:rPr>
                <w:sz w:val="7"/>
                <w:szCs w:val="7"/>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3,621</w:t>
            </w:r>
          </w:p>
        </w:tc>
        <w:tc>
          <w:tcPr>
            <w:tcW w:w="260" w:type="dxa"/>
            <w:vAlign w:val="bottom"/>
          </w:tcPr>
          <w:p>
            <w:pPr>
              <w:spacing w:after="0"/>
              <w:rPr>
                <w:sz w:val="7"/>
                <w:szCs w:val="7"/>
                <w:color w:val="auto"/>
              </w:rPr>
            </w:pP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7"/>
                <w:szCs w:val="7"/>
                <w:color w:val="auto"/>
              </w:rPr>
            </w:pP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3,745</w:t>
            </w:r>
          </w:p>
        </w:tc>
        <w:tc>
          <w:tcPr>
            <w:tcW w:w="0" w:type="dxa"/>
            <w:vAlign w:val="bottom"/>
          </w:tcPr>
          <w:p>
            <w:pPr>
              <w:spacing w:after="0"/>
              <w:rPr>
                <w:sz w:val="1"/>
                <w:szCs w:val="1"/>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w:t>
            </w:r>
          </w:p>
        </w:tc>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Effect of Change in Accounting</w:t>
            </w:r>
          </w:p>
        </w:tc>
        <w:tc>
          <w:tcPr>
            <w:tcW w:w="620" w:type="dxa"/>
            <w:vAlign w:val="bottom"/>
          </w:tcPr>
          <w:p>
            <w:pPr>
              <w:spacing w:after="0"/>
              <w:rPr>
                <w:sz w:val="14"/>
                <w:szCs w:val="14"/>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340" w:type="dxa"/>
            <w:vAlign w:val="bottom"/>
          </w:tcPr>
          <w:p>
            <w:pPr>
              <w:spacing w:after="0"/>
              <w:rPr>
                <w:sz w:val="14"/>
                <w:szCs w:val="14"/>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Principle</w:t>
            </w:r>
          </w:p>
        </w:tc>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vMerge w:val="restart"/>
          </w:tcPr>
          <w:p>
            <w:pPr>
              <w:ind w:left="2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1,577</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2,126</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3,745</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Amortization of</w:t>
            </w:r>
          </w:p>
        </w:tc>
        <w:tc>
          <w:tcPr>
            <w:tcW w:w="62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360</w:t>
            </w:r>
          </w:p>
        </w:tc>
        <w:tc>
          <w:tcPr>
            <w:tcW w:w="220" w:type="dxa"/>
            <w:vAlign w:val="bottom"/>
          </w:tcPr>
          <w:p>
            <w:pPr>
              <w:spacing w:after="0"/>
              <w:rPr>
                <w:sz w:val="14"/>
                <w:szCs w:val="14"/>
                <w:color w:val="auto"/>
              </w:rPr>
            </w:pPr>
          </w:p>
        </w:tc>
        <w:tc>
          <w:tcPr>
            <w:tcW w:w="5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360</w:t>
            </w:r>
          </w:p>
        </w:tc>
        <w:tc>
          <w:tcPr>
            <w:tcW w:w="340" w:type="dxa"/>
            <w:vAlign w:val="bottom"/>
          </w:tcPr>
          <w:p>
            <w:pPr>
              <w:spacing w:after="0"/>
              <w:rPr>
                <w:sz w:val="14"/>
                <w:szCs w:val="14"/>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185</w:t>
            </w:r>
          </w:p>
        </w:tc>
        <w:tc>
          <w:tcPr>
            <w:tcW w:w="260" w:type="dxa"/>
            <w:vAlign w:val="bottom"/>
          </w:tcPr>
          <w:p>
            <w:pPr>
              <w:spacing w:after="0"/>
              <w:rPr>
                <w:sz w:val="14"/>
                <w:szCs w:val="14"/>
                <w:color w:val="auto"/>
              </w:rPr>
            </w:pP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Intangibles</w:t>
            </w:r>
          </w:p>
        </w:tc>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Cash Earnings</w:t>
            </w:r>
          </w:p>
        </w:tc>
        <w:tc>
          <w:tcPr>
            <w:tcW w:w="620" w:type="dxa"/>
            <w:vAlign w:val="bottom"/>
            <w:vMerge w:val="restart"/>
          </w:tcPr>
          <w:p>
            <w:pPr>
              <w:ind w:left="26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1,937</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2,486</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3,930</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6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0.78 (d)</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1.06</w:t>
            </w:r>
          </w:p>
        </w:tc>
        <w:tc>
          <w:tcPr>
            <w:tcW w:w="3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1.92</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0.76 (d)</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w:t>
            </w:r>
          </w:p>
        </w:tc>
        <w:tc>
          <w:tcPr>
            <w:tcW w:w="34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1.84</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CASH EARNINGS PER SHARE</w:t>
            </w: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2.09</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ind w:left="440" w:right="4880" w:hanging="430"/>
        <w:spacing w:after="0" w:line="34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condensed results as reported in JPMorgan Chase's financial statements.</w:t>
      </w:r>
    </w:p>
    <w:p>
      <w:pPr>
        <w:sectPr>
          <w:pgSz w:w="11900" w:h="16927" w:orient="portrait"/>
          <w:cols w:equalWidth="0" w:num="1">
            <w:col w:w="11540"/>
          </w:cols>
          <w:pgMar w:left="220" w:top="261" w:right="139" w:bottom="0" w:gutter="0" w:footer="0" w:header="0"/>
        </w:sectPr>
      </w:pPr>
    </w:p>
    <w:bookmarkStart w:id="29" w:name="page30"/>
    <w:bookmarkEnd w:id="29"/>
    <w:p>
      <w:pPr>
        <w:ind w:left="440" w:right="3839" w:hanging="430"/>
        <w:spacing w:after="0" w:line="264"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excludes the impact of credit card securitizations. For receivables that have been securitized, amounts that would have been reported as net interest income and as provision for loan losses are instead reported as components of noninterest revenue.</w:t>
      </w:r>
    </w:p>
    <w:p>
      <w:pPr>
        <w:ind w:left="440" w:right="3239" w:hanging="430"/>
        <w:spacing w:after="0" w:line="237"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merger and restructuring costs and special items. The 2001 second quarter and six months include $478 million and $806 million (pre-tax), respectively, in merger and restructuring expenses. The 2000 second quarter and six months included a $141 million loss (pre-tax) resulting from the economic hedge of the purchase price of Flemings prior to its acquisition and $50 million (pre-tax) of restructuring costs associated with previously announced relocation initiatives.</w:t>
      </w:r>
    </w:p>
    <w:p>
      <w:pPr>
        <w:spacing w:after="0" w:line="2" w:lineRule="exact"/>
        <w:rPr>
          <w:rFonts w:ascii="Courier New" w:cs="Courier New" w:eastAsia="Courier New" w:hAnsi="Courier New"/>
          <w:sz w:val="15"/>
          <w:szCs w:val="15"/>
          <w:color w:val="auto"/>
        </w:rPr>
      </w:pPr>
    </w:p>
    <w:p>
      <w:pPr>
        <w:ind w:left="440" w:right="3319" w:hanging="430"/>
        <w:spacing w:after="0" w:line="237"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effect of the accounting change. Excluding the accounting change, basic and diluted net income per share for the first six months of 2001 were $0.79 and $0.77,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115"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27</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SECOND QUARTER</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SIX MONTHS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Courier New" w:cs="Courier New" w:eastAsia="Courier New" w:hAnsi="Courier New"/>
                <w:sz w:val="6"/>
                <w:szCs w:val="6"/>
                <w:color w:val="auto"/>
                <w:w w:val="74"/>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Pro Forma</w:t>
            </w: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REVENUE:</w:t>
            </w:r>
          </w:p>
        </w:tc>
        <w:tc>
          <w:tcPr>
            <w:tcW w:w="540" w:type="dxa"/>
            <w:vAlign w:val="bottom"/>
          </w:tcPr>
          <w:p>
            <w:pPr>
              <w:spacing w:after="0"/>
              <w:rPr>
                <w:sz w:val="14"/>
                <w:szCs w:val="14"/>
                <w:color w:val="auto"/>
              </w:rPr>
            </w:pPr>
          </w:p>
        </w:tc>
        <w:tc>
          <w:tcPr>
            <w:tcW w:w="7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88"/>
              </w:rPr>
              <w:t>2001</w:t>
            </w:r>
          </w:p>
        </w:tc>
        <w:tc>
          <w:tcPr>
            <w:tcW w:w="180" w:type="dxa"/>
            <w:vAlign w:val="bottom"/>
          </w:tcPr>
          <w:p>
            <w:pPr>
              <w:spacing w:after="0"/>
              <w:rPr>
                <w:sz w:val="14"/>
                <w:szCs w:val="14"/>
                <w:color w:val="auto"/>
              </w:rPr>
            </w:pP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60" w:type="dxa"/>
            <w:vAlign w:val="bottom"/>
          </w:tcPr>
          <w:p>
            <w:pPr>
              <w:spacing w:after="0"/>
              <w:rPr>
                <w:sz w:val="14"/>
                <w:szCs w:val="14"/>
                <w:color w:val="auto"/>
              </w:rPr>
            </w:pP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Pro Forma</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 (a)</w:t>
            </w: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 (a)</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Investment Banking Fees</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1,152</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2,387</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Trading-Related Revenue</w:t>
            </w:r>
          </w:p>
        </w:tc>
        <w:tc>
          <w:tcPr>
            <w:tcW w:w="54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1,594</w:t>
            </w:r>
          </w:p>
        </w:tc>
        <w:tc>
          <w:tcPr>
            <w:tcW w:w="18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1,879</w:t>
            </w:r>
          </w:p>
        </w:tc>
        <w:tc>
          <w:tcPr>
            <w:tcW w:w="260" w:type="dxa"/>
            <w:vAlign w:val="bottom"/>
          </w:tcPr>
          <w:p>
            <w:pPr>
              <w:spacing w:after="0"/>
              <w:rPr>
                <w:sz w:val="14"/>
                <w:szCs w:val="14"/>
                <w:color w:val="auto"/>
              </w:rPr>
            </w:pP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1,918</w:t>
            </w:r>
          </w:p>
        </w:tc>
        <w:tc>
          <w:tcPr>
            <w:tcW w:w="480" w:type="dxa"/>
            <w:vAlign w:val="bottom"/>
          </w:tcPr>
          <w:p>
            <w:pPr>
              <w:spacing w:after="0"/>
              <w:rPr>
                <w:sz w:val="14"/>
                <w:szCs w:val="14"/>
                <w:color w:val="auto"/>
              </w:rPr>
            </w:pP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3,761</w:t>
            </w:r>
          </w:p>
        </w:tc>
        <w:tc>
          <w:tcPr>
            <w:tcW w:w="1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4,096</w:t>
            </w:r>
          </w:p>
        </w:tc>
        <w:tc>
          <w:tcPr>
            <w:tcW w:w="14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4,174</w:t>
            </w:r>
          </w:p>
        </w:tc>
        <w:tc>
          <w:tcPr>
            <w:tcW w:w="0" w:type="dxa"/>
            <w:vAlign w:val="bottom"/>
          </w:tcPr>
          <w:p>
            <w:pPr>
              <w:spacing w:after="0"/>
              <w:rPr>
                <w:sz w:val="1"/>
                <w:szCs w:val="1"/>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(including Trading NII)</w:t>
            </w:r>
          </w:p>
        </w:tc>
        <w:tc>
          <w:tcPr>
            <w:tcW w:w="5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and Commissions</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2,114</w:t>
            </w:r>
          </w:p>
        </w:tc>
        <w:tc>
          <w:tcPr>
            <w:tcW w:w="2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2,446</w:t>
            </w:r>
          </w:p>
        </w:tc>
        <w:tc>
          <w:tcPr>
            <w:tcW w:w="4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4,366</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4,242</w:t>
            </w:r>
          </w:p>
        </w:tc>
        <w:tc>
          <w:tcPr>
            <w:tcW w:w="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4,971</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 Realized Gains (Losses)</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w:t>
            </w:r>
          </w:p>
        </w:tc>
        <w:tc>
          <w:tcPr>
            <w:tcW w:w="2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630</w:t>
            </w:r>
          </w:p>
        </w:tc>
        <w:tc>
          <w:tcPr>
            <w:tcW w:w="4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1,022</w:t>
            </w:r>
          </w:p>
        </w:tc>
        <w:tc>
          <w:tcPr>
            <w:tcW w:w="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1,022</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 Unrealized Gains (Losses)</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2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(171)</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522</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c>
          <w:tcPr>
            <w:tcW w:w="2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233</w:t>
            </w:r>
          </w:p>
        </w:tc>
        <w:tc>
          <w:tcPr>
            <w:tcW w:w="4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w:t>
            </w:r>
          </w:p>
        </w:tc>
        <w:tc>
          <w:tcPr>
            <w:tcW w:w="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645</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54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2,759</w:t>
            </w:r>
          </w:p>
        </w:tc>
        <w:tc>
          <w:tcPr>
            <w:tcW w:w="18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2,494</w:t>
            </w:r>
          </w:p>
        </w:tc>
        <w:tc>
          <w:tcPr>
            <w:tcW w:w="260" w:type="dxa"/>
            <w:vAlign w:val="bottom"/>
          </w:tcPr>
          <w:p>
            <w:pPr>
              <w:spacing w:after="0"/>
              <w:rPr>
                <w:sz w:val="14"/>
                <w:szCs w:val="14"/>
                <w:color w:val="auto"/>
              </w:rPr>
            </w:pP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2,534</w:t>
            </w:r>
          </w:p>
        </w:tc>
        <w:tc>
          <w:tcPr>
            <w:tcW w:w="480" w:type="dxa"/>
            <w:vAlign w:val="bottom"/>
          </w:tcPr>
          <w:p>
            <w:pPr>
              <w:spacing w:after="0"/>
              <w:rPr>
                <w:sz w:val="14"/>
                <w:szCs w:val="14"/>
                <w:color w:val="auto"/>
              </w:rPr>
            </w:pP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5,296</w:t>
            </w:r>
          </w:p>
        </w:tc>
        <w:tc>
          <w:tcPr>
            <w:tcW w:w="1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4,990</w:t>
            </w:r>
          </w:p>
        </w:tc>
        <w:tc>
          <w:tcPr>
            <w:tcW w:w="14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5,061</w:t>
            </w:r>
          </w:p>
        </w:tc>
        <w:tc>
          <w:tcPr>
            <w:tcW w:w="0" w:type="dxa"/>
            <w:vAlign w:val="bottom"/>
          </w:tcPr>
          <w:p>
            <w:pPr>
              <w:spacing w:after="0"/>
              <w:rPr>
                <w:sz w:val="1"/>
                <w:szCs w:val="1"/>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(excluding Trading NII)</w:t>
            </w:r>
          </w:p>
        </w:tc>
        <w:tc>
          <w:tcPr>
            <w:tcW w:w="5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REVENUE</w:t>
            </w:r>
          </w:p>
        </w:tc>
        <w:tc>
          <w:tcPr>
            <w:tcW w:w="54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7,144</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8,282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8,765</w:t>
            </w:r>
          </w:p>
        </w:tc>
        <w:tc>
          <w:tcPr>
            <w:tcW w:w="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15,638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17,305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18,391</w:t>
            </w:r>
          </w:p>
        </w:tc>
        <w:tc>
          <w:tcPr>
            <w:tcW w:w="0" w:type="dxa"/>
            <w:vAlign w:val="bottom"/>
          </w:tcPr>
          <w:p>
            <w:pPr>
              <w:spacing w:after="0"/>
              <w:rPr>
                <w:sz w:val="1"/>
                <w:szCs w:val="1"/>
                <w:color w:val="auto"/>
              </w:rPr>
            </w:pPr>
          </w:p>
        </w:tc>
      </w:tr>
      <w:tr>
        <w:trPr>
          <w:trHeight w:val="194"/>
        </w:trPr>
        <w:tc>
          <w:tcPr>
            <w:tcW w:w="3940" w:type="dxa"/>
            <w:vAlign w:val="bottom"/>
          </w:tcPr>
          <w:p>
            <w:pPr>
              <w:spacing w:after="0"/>
              <w:rPr>
                <w:sz w:val="16"/>
                <w:szCs w:val="16"/>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p>
      <w:pPr>
        <w:ind w:left="360" w:right="4980" w:hanging="359"/>
        <w:spacing w:after="0" w:line="255" w:lineRule="auto"/>
        <w:tabs>
          <w:tab w:leader="none" w:pos="340" w:val="left"/>
        </w:tabs>
        <w:rPr>
          <w:sz w:val="20"/>
          <w:szCs w:val="20"/>
          <w:color w:val="auto"/>
        </w:rPr>
      </w:pPr>
      <w:r>
        <w:rPr>
          <w:rFonts w:ascii="Courier New" w:cs="Courier New" w:eastAsia="Courier New" w:hAnsi="Courier New"/>
          <w:sz w:val="15"/>
          <w:szCs w:val="15"/>
          <w:color w:val="auto"/>
        </w:rPr>
        <w:t>(a)</w:t>
        <w:tab/>
        <w:t>Pro forma revenue assumes that the purchase of Flemings occurred at the beginning of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BANKING FEES</w:t>
      </w:r>
    </w:p>
    <w:p>
      <w:pPr>
        <w:spacing w:after="0" w:line="24" w:lineRule="exact"/>
        <w:rPr>
          <w:sz w:val="20"/>
          <w:szCs w:val="20"/>
          <w:color w:val="auto"/>
        </w:rPr>
      </w:pPr>
    </w:p>
    <w:p>
      <w:pPr>
        <w:ind w:right="4620"/>
        <w:spacing w:after="0" w:line="260" w:lineRule="auto"/>
        <w:rPr>
          <w:sz w:val="20"/>
          <w:szCs w:val="20"/>
          <w:color w:val="auto"/>
        </w:rPr>
      </w:pPr>
      <w:r>
        <w:rPr>
          <w:rFonts w:ascii="Courier New" w:cs="Courier New" w:eastAsia="Courier New" w:hAnsi="Courier New"/>
          <w:sz w:val="15"/>
          <w:szCs w:val="15"/>
          <w:color w:val="auto"/>
        </w:rPr>
        <w:t>Investment banking fees in the second quarter and first half of 2001 declined significantly from last year's respective periods. The declines were due to the much weaker market for all products, including M&amp;A advisory, loan syndication and securities underwriting.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6"/>
        </w:trPr>
        <w:tc>
          <w:tcPr>
            <w:tcW w:w="3380" w:type="dxa"/>
            <w:vAlign w:val="bottom"/>
          </w:tcPr>
          <w:p>
            <w:pPr>
              <w:spacing w:after="0" w:line="167" w:lineRule="exact"/>
              <w:rPr>
                <w:sz w:val="20"/>
                <w:szCs w:val="20"/>
                <w:color w:val="auto"/>
              </w:rPr>
            </w:pPr>
            <w:r>
              <w:rPr>
                <w:rFonts w:ascii="Courier New" w:cs="Courier New" w:eastAsia="Courier New" w:hAnsi="Courier New"/>
                <w:sz w:val="15"/>
                <w:szCs w:val="15"/>
                <w:color w:val="auto"/>
              </w:rPr>
              <w:t>(in millions)</w:t>
            </w:r>
          </w:p>
        </w:tc>
        <w:tc>
          <w:tcPr>
            <w:tcW w:w="1180" w:type="dxa"/>
            <w:vAlign w:val="bottom"/>
          </w:tcPr>
          <w:p>
            <w:pPr>
              <w:spacing w:after="0"/>
              <w:rPr>
                <w:sz w:val="14"/>
                <w:szCs w:val="14"/>
                <w:color w:val="auto"/>
              </w:rPr>
            </w:pPr>
          </w:p>
        </w:tc>
        <w:tc>
          <w:tcPr>
            <w:tcW w:w="1520" w:type="dxa"/>
            <w:vAlign w:val="bottom"/>
            <w:gridSpan w:val="2"/>
          </w:tcPr>
          <w:p>
            <w:pPr>
              <w:ind w:left="260"/>
              <w:spacing w:after="0" w:line="167" w:lineRule="exact"/>
              <w:rPr>
                <w:sz w:val="20"/>
                <w:szCs w:val="20"/>
                <w:color w:val="auto"/>
              </w:rPr>
            </w:pPr>
            <w:r>
              <w:rPr>
                <w:rFonts w:ascii="Courier New" w:cs="Courier New" w:eastAsia="Courier New" w:hAnsi="Courier New"/>
                <w:sz w:val="15"/>
                <w:szCs w:val="15"/>
                <w:color w:val="auto"/>
                <w:w w:val="98"/>
              </w:rPr>
              <w:t>SECOND QUARTER</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gridSpan w:val="2"/>
          </w:tcPr>
          <w:p>
            <w:pPr>
              <w:ind w:left="700"/>
              <w:spacing w:after="0" w:line="167" w:lineRule="exact"/>
              <w:rPr>
                <w:sz w:val="20"/>
                <w:szCs w:val="20"/>
                <w:color w:val="auto"/>
              </w:rPr>
            </w:pPr>
            <w:r>
              <w:rPr>
                <w:rFonts w:ascii="Courier New" w:cs="Courier New" w:eastAsia="Courier New" w:hAnsi="Courier New"/>
                <w:sz w:val="15"/>
                <w:szCs w:val="15"/>
                <w:color w:val="auto"/>
              </w:rPr>
              <w:t>SIX MONTHS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Courier New" w:cs="Courier New" w:eastAsia="Courier New" w:hAnsi="Courier New"/>
                <w:sz w:val="2"/>
                <w:szCs w:val="2"/>
                <w:color w:val="auto"/>
              </w:rPr>
              <w:t>----------------------------</w:t>
            </w:r>
          </w:p>
        </w:tc>
        <w:tc>
          <w:tcPr>
            <w:tcW w:w="820" w:type="dxa"/>
            <w:vAlign w:val="bottom"/>
            <w:vMerge w:val="restart"/>
          </w:tcPr>
          <w:p>
            <w:pPr>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14"/>
                <w:szCs w:val="14"/>
                <w:color w:val="auto"/>
              </w:rPr>
            </w:pPr>
          </w:p>
        </w:tc>
        <w:tc>
          <w:tcPr>
            <w:tcW w:w="1320" w:type="dxa"/>
            <w:vAlign w:val="bottom"/>
            <w:vMerge w:val="restart"/>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3360" w:type="dxa"/>
            <w:vAlign w:val="bottom"/>
            <w:gridSpan w:val="4"/>
          </w:tcPr>
          <w:p>
            <w:pPr>
              <w:ind w:left="74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20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380" w:type="dxa"/>
            <w:vAlign w:val="bottom"/>
          </w:tcPr>
          <w:p>
            <w:pPr>
              <w:spacing w:after="0"/>
              <w:rPr>
                <w:sz w:val="20"/>
                <w:szCs w:val="20"/>
                <w:color w:val="auto"/>
              </w:rPr>
            </w:pPr>
            <w:r>
              <w:rPr>
                <w:rFonts w:ascii="Courier New" w:cs="Courier New" w:eastAsia="Courier New" w:hAnsi="Courier New"/>
                <w:sz w:val="15"/>
                <w:szCs w:val="15"/>
                <w:color w:val="auto"/>
              </w:rPr>
              <w:t>Advisory</w:t>
            </w: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5"/>
                <w:szCs w:val="15"/>
                <w:color w:val="auto"/>
              </w:rPr>
              <w:t>308</w:t>
            </w:r>
          </w:p>
        </w:tc>
        <w:tc>
          <w:tcPr>
            <w:tcW w:w="7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392</w:t>
            </w:r>
          </w:p>
        </w:tc>
        <w:tc>
          <w:tcPr>
            <w:tcW w:w="92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648</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754</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Underwriting and Other Fees</w:t>
            </w:r>
          </w:p>
        </w:tc>
        <w:tc>
          <w:tcPr>
            <w:tcW w:w="1180" w:type="dxa"/>
            <w:vAlign w:val="bottom"/>
          </w:tcPr>
          <w:p>
            <w:pPr>
              <w:spacing w:after="0"/>
              <w:rPr>
                <w:sz w:val="14"/>
                <w:szCs w:val="14"/>
                <w:color w:val="auto"/>
              </w:rPr>
            </w:pP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621</w:t>
            </w:r>
          </w:p>
        </w:tc>
        <w:tc>
          <w:tcPr>
            <w:tcW w:w="700" w:type="dxa"/>
            <w:vAlign w:val="bottom"/>
          </w:tcPr>
          <w:p>
            <w:pPr>
              <w:spacing w:after="0"/>
              <w:rPr>
                <w:sz w:val="14"/>
                <w:szCs w:val="14"/>
                <w:color w:val="auto"/>
              </w:rPr>
            </w:pPr>
          </w:p>
        </w:tc>
        <w:tc>
          <w:tcPr>
            <w:tcW w:w="13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715</w:t>
            </w:r>
          </w:p>
        </w:tc>
        <w:tc>
          <w:tcPr>
            <w:tcW w:w="9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1,222</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1,544</w:t>
            </w: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TOTAL INVESTMENT BANKING FEES</w:t>
            </w:r>
          </w:p>
        </w:tc>
        <w:tc>
          <w:tcPr>
            <w:tcW w:w="1180" w:type="dxa"/>
            <w:vAlign w:val="bottom"/>
            <w:vMerge w:val="restart"/>
          </w:tcPr>
          <w:p>
            <w:pPr>
              <w:ind w:left="82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8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929</w:t>
            </w:r>
          </w:p>
        </w:tc>
        <w:tc>
          <w:tcPr>
            <w:tcW w:w="202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1,107</w:t>
            </w:r>
          </w:p>
        </w:tc>
        <w:tc>
          <w:tcPr>
            <w:tcW w:w="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1,870</w:t>
            </w: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2,298</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20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540"/>
          </w:cols>
          <w:pgMar w:left="220" w:top="261" w:right="139"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28</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TRADING-RELATED REVENUE</w:t>
      </w:r>
    </w:p>
    <w:p>
      <w:pPr>
        <w:spacing w:after="0" w:line="166" w:lineRule="exact"/>
        <w:rPr>
          <w:sz w:val="20"/>
          <w:szCs w:val="20"/>
          <w:color w:val="auto"/>
        </w:rPr>
      </w:pPr>
    </w:p>
    <w:p>
      <w:pPr>
        <w:ind w:right="4540"/>
        <w:spacing w:after="0" w:line="258" w:lineRule="auto"/>
        <w:rPr>
          <w:sz w:val="20"/>
          <w:szCs w:val="20"/>
          <w:color w:val="auto"/>
        </w:rPr>
      </w:pPr>
      <w:r>
        <w:rPr>
          <w:rFonts w:ascii="Courier New" w:cs="Courier New" w:eastAsia="Courier New" w:hAnsi="Courier New"/>
          <w:sz w:val="15"/>
          <w:szCs w:val="15"/>
          <w:color w:val="auto"/>
        </w:rPr>
        <w:t>Trading-related revenue (including associated NII) in the second quarter of 2001 was lower by 15% from last year's same period and for the first six months was down 8% from 2000. The declines were due to challenging market conditions, which reduced the overall volume of activities and volatility. Also contributing to the depressed levels were the losses realized on economic hedges of mortgage servicing rights at Home Finance.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960" w:type="dxa"/>
            <w:vAlign w:val="bottom"/>
          </w:tcPr>
          <w:p>
            <w:pPr>
              <w:spacing w:after="0"/>
              <w:rPr>
                <w:sz w:val="14"/>
                <w:szCs w:val="14"/>
                <w:color w:val="auto"/>
              </w:rPr>
            </w:pPr>
          </w:p>
        </w:tc>
        <w:tc>
          <w:tcPr>
            <w:tcW w:w="250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SECOND QUARTER</w:t>
            </w:r>
          </w:p>
        </w:tc>
        <w:tc>
          <w:tcPr>
            <w:tcW w:w="6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TRADING-RELATED REVENUE: (a)</w:t>
            </w:r>
          </w:p>
        </w:tc>
        <w:tc>
          <w:tcPr>
            <w:tcW w:w="960" w:type="dxa"/>
            <w:vAlign w:val="bottom"/>
          </w:tcPr>
          <w:p>
            <w:pPr>
              <w:ind w:left="440"/>
              <w:spacing w:after="0"/>
              <w:rPr>
                <w:sz w:val="20"/>
                <w:szCs w:val="20"/>
                <w:color w:val="auto"/>
              </w:rPr>
            </w:pPr>
            <w:r>
              <w:rPr>
                <w:rFonts w:ascii="Courier New" w:cs="Courier New" w:eastAsia="Courier New" w:hAnsi="Courier New"/>
                <w:sz w:val="3"/>
                <w:szCs w:val="3"/>
                <w:color w:val="auto"/>
                <w:w w:val="84"/>
              </w:rPr>
              <w:t>---------------------------------</w:t>
            </w: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w w:val="94"/>
              </w:rPr>
              <w:t>2001</w:t>
            </w:r>
          </w:p>
        </w:tc>
        <w:tc>
          <w:tcPr>
            <w:tcW w:w="560" w:type="dxa"/>
            <w:vAlign w:val="bottom"/>
          </w:tcPr>
          <w:p>
            <w:pPr>
              <w:spacing w:after="0"/>
              <w:rPr>
                <w:sz w:val="14"/>
                <w:szCs w:val="14"/>
                <w:color w:val="auto"/>
              </w:rPr>
            </w:pPr>
          </w:p>
        </w:tc>
        <w:tc>
          <w:tcPr>
            <w:tcW w:w="106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2920" w:type="dxa"/>
            <w:vAlign w:val="bottom"/>
            <w:gridSpan w:val="4"/>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8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820" w:type="dxa"/>
            <w:vAlign w:val="bottom"/>
          </w:tcPr>
          <w:p>
            <w:pPr>
              <w:spacing w:after="0"/>
              <w:rPr>
                <w:sz w:val="20"/>
                <w:szCs w:val="20"/>
                <w:color w:val="auto"/>
              </w:rPr>
            </w:pPr>
            <w:r>
              <w:rPr>
                <w:rFonts w:ascii="Courier New" w:cs="Courier New" w:eastAsia="Courier New" w:hAnsi="Courier New"/>
                <w:sz w:val="15"/>
                <w:szCs w:val="15"/>
                <w:color w:val="auto"/>
              </w:rPr>
              <w:t>Equities (b)</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450</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486</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955</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1,064</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Instruments (c)</w:t>
            </w:r>
          </w:p>
        </w:tc>
        <w:tc>
          <w:tcPr>
            <w:tcW w:w="9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262</w:t>
            </w:r>
          </w:p>
        </w:tc>
        <w:tc>
          <w:tcPr>
            <w:tcW w:w="56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346</w:t>
            </w:r>
          </w:p>
        </w:tc>
        <w:tc>
          <w:tcPr>
            <w:tcW w:w="6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487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913</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 Revenue (d)</w:t>
            </w:r>
          </w:p>
        </w:tc>
        <w:tc>
          <w:tcPr>
            <w:tcW w:w="9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w:t>
            </w:r>
          </w:p>
        </w:tc>
        <w:tc>
          <w:tcPr>
            <w:tcW w:w="56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280</w:t>
            </w:r>
          </w:p>
        </w:tc>
        <w:tc>
          <w:tcPr>
            <w:tcW w:w="6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427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622</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Contracts, Commodities and Other (e)</w:t>
            </w:r>
          </w:p>
        </w:tc>
        <w:tc>
          <w:tcPr>
            <w:tcW w:w="9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704</w:t>
            </w:r>
          </w:p>
        </w:tc>
        <w:tc>
          <w:tcPr>
            <w:tcW w:w="56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767</w:t>
            </w:r>
          </w:p>
        </w:tc>
        <w:tc>
          <w:tcPr>
            <w:tcW w:w="6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1,892</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1,497</w:t>
            </w:r>
          </w:p>
        </w:tc>
        <w:tc>
          <w:tcPr>
            <w:tcW w:w="0" w:type="dxa"/>
            <w:vAlign w:val="bottom"/>
          </w:tcPr>
          <w:p>
            <w:pPr>
              <w:spacing w:after="0"/>
              <w:rPr>
                <w:sz w:val="1"/>
                <w:szCs w:val="1"/>
                <w:color w:val="auto"/>
              </w:rPr>
            </w:pPr>
          </w:p>
        </w:tc>
      </w:tr>
      <w:tr>
        <w:trPr>
          <w:trHeight w:val="168"/>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TOTAL TRADING-RELATED REVENUE (f)</w:t>
            </w:r>
          </w:p>
        </w:tc>
        <w:tc>
          <w:tcPr>
            <w:tcW w:w="960" w:type="dxa"/>
            <w:vAlign w:val="bottom"/>
            <w:vMerge w:val="restart"/>
          </w:tcPr>
          <w:p>
            <w:pPr>
              <w:ind w:left="52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9"/>
                <w:szCs w:val="9"/>
                <w:color w:val="auto"/>
                <w:w w:val="70"/>
              </w:rPr>
              <w:t>----------</w:t>
            </w: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3"/>
              </w:rPr>
              <w:t>1,594</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3,761</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4,096</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820" w:type="dxa"/>
            <w:vAlign w:val="bottom"/>
          </w:tcPr>
          <w:p>
            <w:pPr>
              <w:spacing w:after="0"/>
              <w:rPr>
                <w:sz w:val="20"/>
                <w:szCs w:val="20"/>
                <w:color w:val="auto"/>
              </w:rPr>
            </w:pPr>
            <w:r>
              <w:rPr>
                <w:rFonts w:ascii="Courier New" w:cs="Courier New" w:eastAsia="Courier New" w:hAnsi="Courier New"/>
                <w:sz w:val="15"/>
                <w:szCs w:val="15"/>
                <w:color w:val="auto"/>
              </w:rPr>
              <w:t>TRADING REVENUE</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1,261</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1,730</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3,262</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3,701</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Impact (g)</w:t>
            </w:r>
          </w:p>
        </w:tc>
        <w:tc>
          <w:tcPr>
            <w:tcW w:w="9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333</w:t>
            </w:r>
          </w:p>
        </w:tc>
        <w:tc>
          <w:tcPr>
            <w:tcW w:w="56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149</w:t>
            </w:r>
          </w:p>
        </w:tc>
        <w:tc>
          <w:tcPr>
            <w:tcW w:w="6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499</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68"/>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TOTAL TRADING-RELATED REVENUE</w:t>
            </w:r>
          </w:p>
        </w:tc>
        <w:tc>
          <w:tcPr>
            <w:tcW w:w="960" w:type="dxa"/>
            <w:vAlign w:val="bottom"/>
            <w:vMerge w:val="restart"/>
          </w:tcPr>
          <w:p>
            <w:pPr>
              <w:ind w:left="52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9"/>
                <w:szCs w:val="9"/>
                <w:color w:val="auto"/>
                <w:w w:val="70"/>
              </w:rPr>
              <w:t>----------</w:t>
            </w: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3"/>
              </w:rPr>
              <w:t>1,594</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3,761</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4,096</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ind w:left="440" w:right="4700" w:hanging="430"/>
        <w:spacing w:after="0" w:line="267"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Trading-related revenue includes net interest income attributable to trading activities. Trading-related net interest income has been restated in the prior periods in order to conform to the current presentation.</w:t>
      </w:r>
    </w:p>
    <w:p>
      <w:pPr>
        <w:spacing w:after="0" w:line="1" w:lineRule="exact"/>
        <w:rPr>
          <w:rFonts w:ascii="Courier New" w:cs="Courier New" w:eastAsia="Courier New" w:hAnsi="Courier New"/>
          <w:sz w:val="14"/>
          <w:szCs w:val="14"/>
          <w:color w:val="auto"/>
        </w:rPr>
      </w:pPr>
    </w:p>
    <w:p>
      <w:pPr>
        <w:ind w:left="440" w:hanging="430"/>
        <w:spacing w:after="0" w:line="237"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equity securities and equity derivatives revenue.</w:t>
      </w:r>
    </w:p>
    <w:p>
      <w:pPr>
        <w:ind w:left="440" w:right="4620" w:hanging="430"/>
        <w:spacing w:after="0" w:line="254"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credit-related products such as bonds and commercial paper issued by U.S. and non-U.S. entities, as well as credit derivatives revenue.</w:t>
      </w:r>
    </w:p>
    <w:p>
      <w:pPr>
        <w:ind w:left="440" w:right="4880" w:hanging="430"/>
        <w:spacing w:after="0" w:line="237"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foreign exchange spot and option contracts, excluding emerging markets product revenues.</w:t>
      </w:r>
    </w:p>
    <w:p>
      <w:pPr>
        <w:jc w:val="both"/>
        <w:ind w:left="440" w:right="5400" w:hanging="430"/>
        <w:spacing w:after="0" w:line="254"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various types of interest rate products across bonds and derivatives, combined with commodities and other trading revenue.</w:t>
      </w:r>
    </w:p>
    <w:p>
      <w:pPr>
        <w:ind w:left="440" w:right="5240" w:hanging="430"/>
        <w:spacing w:after="0" w:line="254"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and foreign exchange contracts are marked-to-market, and valuation adjustments are included in trading-related revenue.</w:t>
      </w:r>
    </w:p>
    <w:p>
      <w:pPr>
        <w:ind w:left="440" w:right="4540" w:hanging="430"/>
        <w:spacing w:after="0" w:line="254"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interest recognized on interest-earning and interest-bearing trading-related positions, as well as management allocations reflecting the funding costs or benefits associated with trading positions. These amounts</w:t>
      </w:r>
    </w:p>
    <w:p>
      <w:pPr>
        <w:spacing w:after="0" w:line="1" w:lineRule="exact"/>
        <w:rPr>
          <w:sz w:val="20"/>
          <w:szCs w:val="20"/>
          <w:color w:val="auto"/>
        </w:rPr>
      </w:pPr>
    </w:p>
    <w:p>
      <w:pPr>
        <w:ind w:left="440" w:right="5140"/>
        <w:spacing w:after="0" w:line="237" w:lineRule="auto"/>
        <w:rPr>
          <w:sz w:val="20"/>
          <w:szCs w:val="20"/>
          <w:color w:val="auto"/>
        </w:rPr>
      </w:pPr>
      <w:r>
        <w:rPr>
          <w:rFonts w:ascii="Courier New" w:cs="Courier New" w:eastAsia="Courier New" w:hAnsi="Courier New"/>
          <w:sz w:val="15"/>
          <w:szCs w:val="15"/>
          <w:color w:val="auto"/>
        </w:rPr>
        <w:t>are included in net interest income on the Consolidated Statement of Income.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right="4620" w:hanging="433"/>
        <w:spacing w:after="0" w:line="24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from equities were down 10% from the first half of last year due to difficulties in the equities market, particularly lower over-the-counter activities. This was partly offset by the strong demand for equity derivatives, one of the Firm's product capabilities strengthened by the merger.</w:t>
      </w:r>
    </w:p>
    <w:p>
      <w:pPr>
        <w:spacing w:after="0" w:line="3" w:lineRule="exact"/>
        <w:rPr>
          <w:rFonts w:ascii="Courier New" w:cs="Courier New" w:eastAsia="Courier New" w:hAnsi="Courier New"/>
          <w:sz w:val="15"/>
          <w:szCs w:val="15"/>
          <w:color w:val="auto"/>
        </w:rPr>
      </w:pPr>
    </w:p>
    <w:p>
      <w:pPr>
        <w:ind w:left="880" w:right="4700" w:hanging="433"/>
        <w:spacing w:after="0" w:line="237"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declines of debt instruments from both periods largely reflected the less active market for these products.</w:t>
      </w:r>
    </w:p>
    <w:p>
      <w:pPr>
        <w:ind w:left="880" w:right="4540" w:hanging="433"/>
        <w:spacing w:after="0" w:line="237"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lower levels of foreign exchange revenues were a result of the much slower environment for foreign currency flows, when compared with last year.</w:t>
      </w:r>
    </w:p>
    <w:p>
      <w:pPr>
        <w:spacing w:after="0" w:line="1" w:lineRule="exact"/>
        <w:rPr>
          <w:rFonts w:ascii="Courier New" w:cs="Courier New" w:eastAsia="Courier New" w:hAnsi="Courier New"/>
          <w:sz w:val="15"/>
          <w:szCs w:val="15"/>
          <w:color w:val="auto"/>
        </w:rPr>
      </w:pPr>
    </w:p>
    <w:p>
      <w:pPr>
        <w:ind w:left="880" w:right="4620" w:hanging="433"/>
        <w:spacing w:after="0" w:line="247"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contracts, commodities and other in the 2001 second quarter and six months were lower than the second quarter of 2000 but were 26% higher than the first half of last year. Results for the six months of 2001 were primarily driven by the results of the first quarter, which benefited from the increased market demand for interest rate contracts and which produced volatility in their prices as a result of the substantial decline in interest rates during the first quarter.</w:t>
      </w:r>
    </w:p>
    <w:p>
      <w:pPr>
        <w:spacing w:after="0" w:line="200" w:lineRule="exact"/>
        <w:rPr>
          <w:sz w:val="20"/>
          <w:szCs w:val="20"/>
          <w:color w:val="auto"/>
        </w:rPr>
      </w:pP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540"/>
          </w:cols>
          <w:pgMar w:left="220" w:top="261" w:right="139"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29</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COMMISSIONS</w:t>
      </w:r>
    </w:p>
    <w:p>
      <w:pPr>
        <w:spacing w:after="0" w:line="166" w:lineRule="exact"/>
        <w:rPr>
          <w:sz w:val="20"/>
          <w:szCs w:val="20"/>
          <w:color w:val="auto"/>
        </w:rPr>
      </w:pPr>
    </w:p>
    <w:p>
      <w:pPr>
        <w:ind w:right="4380"/>
        <w:spacing w:after="0" w:line="273" w:lineRule="auto"/>
        <w:rPr>
          <w:sz w:val="20"/>
          <w:szCs w:val="20"/>
          <w:color w:val="auto"/>
        </w:rPr>
      </w:pPr>
      <w:r>
        <w:rPr>
          <w:rFonts w:ascii="Courier New" w:cs="Courier New" w:eastAsia="Courier New" w:hAnsi="Courier New"/>
          <w:sz w:val="15"/>
          <w:szCs w:val="15"/>
          <w:color w:val="auto"/>
        </w:rPr>
        <w:t>Fees and commissions for the second quarter of 2001 rose 11%, when compared with the second quarter of 2000 and for the first six months increased slightly versus last year's same period. The table below provides the significant components of fees and commissions.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880" w:type="dxa"/>
            <w:vAlign w:val="bottom"/>
          </w:tcPr>
          <w:p>
            <w:pPr>
              <w:spacing w:after="0"/>
              <w:rPr>
                <w:sz w:val="14"/>
                <w:szCs w:val="14"/>
                <w:color w:val="auto"/>
              </w:rPr>
            </w:pPr>
          </w:p>
        </w:tc>
        <w:tc>
          <w:tcPr>
            <w:tcW w:w="21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SECOND QUARTER</w:t>
            </w:r>
          </w:p>
        </w:tc>
        <w:tc>
          <w:tcPr>
            <w:tcW w:w="400" w:type="dxa"/>
            <w:vAlign w:val="bottom"/>
          </w:tcPr>
          <w:p>
            <w:pPr>
              <w:spacing w:after="0"/>
              <w:rPr>
                <w:sz w:val="14"/>
                <w:szCs w:val="14"/>
                <w:color w:val="auto"/>
              </w:rPr>
            </w:pPr>
          </w:p>
        </w:tc>
        <w:tc>
          <w:tcPr>
            <w:tcW w:w="20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7"/>
                <w:szCs w:val="7"/>
                <w:color w:val="auto"/>
                <w:w w:val="75"/>
              </w:rPr>
              <w:t>---------------------------</w:t>
            </w:r>
          </w:p>
        </w:tc>
        <w:tc>
          <w:tcPr>
            <w:tcW w:w="8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2001</w:t>
            </w:r>
          </w:p>
        </w:tc>
        <w:tc>
          <w:tcPr>
            <w:tcW w:w="440" w:type="dxa"/>
            <w:vAlign w:val="bottom"/>
          </w:tcPr>
          <w:p>
            <w:pPr>
              <w:spacing w:after="0"/>
              <w:rPr>
                <w:sz w:val="14"/>
                <w:szCs w:val="14"/>
                <w:color w:val="auto"/>
              </w:rPr>
            </w:pPr>
          </w:p>
        </w:tc>
        <w:tc>
          <w:tcPr>
            <w:tcW w:w="8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240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1"/>
                <w:szCs w:val="21"/>
                <w:color w:val="auto"/>
              </w:rPr>
            </w:pPr>
          </w:p>
        </w:tc>
        <w:tc>
          <w:tcPr>
            <w:tcW w:w="17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Investment Management, Custody and Processing Services</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943</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1,657</w:t>
            </w:r>
          </w:p>
        </w:tc>
        <w:tc>
          <w:tcPr>
            <w:tcW w:w="0" w:type="dxa"/>
            <w:vAlign w:val="bottom"/>
          </w:tcPr>
          <w:p>
            <w:pPr>
              <w:spacing w:after="0"/>
              <w:rPr>
                <w:sz w:val="1"/>
                <w:szCs w:val="1"/>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 - Operating</w:t>
            </w:r>
          </w:p>
        </w:tc>
        <w:tc>
          <w:tcPr>
            <w:tcW w:w="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339</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811</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w:t>
            </w:r>
          </w:p>
        </w:tc>
        <w:tc>
          <w:tcPr>
            <w:tcW w:w="0" w:type="dxa"/>
            <w:vAlign w:val="bottom"/>
          </w:tcPr>
          <w:p>
            <w:pPr>
              <w:spacing w:after="0"/>
              <w:rPr>
                <w:sz w:val="1"/>
                <w:szCs w:val="1"/>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Brokerage and Investment Services</w:t>
            </w:r>
          </w:p>
        </w:tc>
        <w:tc>
          <w:tcPr>
            <w:tcW w:w="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671</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w:t>
            </w:r>
          </w:p>
        </w:tc>
        <w:tc>
          <w:tcPr>
            <w:tcW w:w="0" w:type="dxa"/>
            <w:vAlign w:val="bottom"/>
          </w:tcPr>
          <w:p>
            <w:pPr>
              <w:spacing w:after="0"/>
              <w:rPr>
                <w:sz w:val="1"/>
                <w:szCs w:val="1"/>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Servicing Fees, Net of Amortization and Write-downs</w:t>
            </w:r>
          </w:p>
        </w:tc>
        <w:tc>
          <w:tcPr>
            <w:tcW w:w="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w:t>
            </w:r>
          </w:p>
        </w:tc>
        <w:tc>
          <w:tcPr>
            <w:tcW w:w="0" w:type="dxa"/>
            <w:vAlign w:val="bottom"/>
          </w:tcPr>
          <w:p>
            <w:pPr>
              <w:spacing w:after="0"/>
              <w:rPr>
                <w:sz w:val="1"/>
                <w:szCs w:val="1"/>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Lending-Related Service Fees</w:t>
            </w:r>
          </w:p>
        </w:tc>
        <w:tc>
          <w:tcPr>
            <w:tcW w:w="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w:t>
            </w:r>
          </w:p>
        </w:tc>
        <w:tc>
          <w:tcPr>
            <w:tcW w:w="0" w:type="dxa"/>
            <w:vAlign w:val="bottom"/>
          </w:tcPr>
          <w:p>
            <w:pPr>
              <w:spacing w:after="0"/>
              <w:rPr>
                <w:sz w:val="1"/>
                <w:szCs w:val="1"/>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 Service Charges</w:t>
            </w:r>
          </w:p>
        </w:tc>
        <w:tc>
          <w:tcPr>
            <w:tcW w:w="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w:t>
            </w:r>
          </w:p>
        </w:tc>
        <w:tc>
          <w:tcPr>
            <w:tcW w:w="0" w:type="dxa"/>
            <w:vAlign w:val="bottom"/>
          </w:tcPr>
          <w:p>
            <w:pPr>
              <w:spacing w:after="0"/>
              <w:rPr>
                <w:sz w:val="1"/>
                <w:szCs w:val="1"/>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Fees</w:t>
            </w:r>
          </w:p>
        </w:tc>
        <w:tc>
          <w:tcPr>
            <w:tcW w:w="8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w:t>
            </w:r>
          </w:p>
        </w:tc>
        <w:tc>
          <w:tcPr>
            <w:tcW w:w="0" w:type="dxa"/>
            <w:vAlign w:val="bottom"/>
          </w:tcPr>
          <w:p>
            <w:pPr>
              <w:spacing w:after="0"/>
              <w:rPr>
                <w:sz w:val="1"/>
                <w:szCs w:val="1"/>
                <w:color w:val="auto"/>
              </w:rPr>
            </w:pPr>
          </w:p>
        </w:tc>
      </w:tr>
      <w:tr>
        <w:trPr>
          <w:trHeight w:val="168"/>
        </w:trPr>
        <w:tc>
          <w:tcPr>
            <w:tcW w:w="57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Fees and Commissions - Operating</w:t>
            </w:r>
          </w:p>
        </w:tc>
        <w:tc>
          <w:tcPr>
            <w:tcW w:w="880" w:type="dxa"/>
            <w:vAlign w:val="bottom"/>
            <w:vMerge w:val="restart"/>
          </w:tcPr>
          <w:p>
            <w:pPr>
              <w:ind w:left="62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2,350</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2,114</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4,242</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16"/>
                <w:szCs w:val="16"/>
                <w:color w:val="auto"/>
              </w:rPr>
            </w:pPr>
          </w:p>
        </w:tc>
        <w:tc>
          <w:tcPr>
            <w:tcW w:w="17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Management, Custody and Processing Services</w:t>
      </w:r>
    </w:p>
    <w:p>
      <w:pPr>
        <w:spacing w:after="0" w:line="166" w:lineRule="exact"/>
        <w:rPr>
          <w:sz w:val="20"/>
          <w:szCs w:val="20"/>
          <w:color w:val="auto"/>
        </w:rPr>
      </w:pPr>
    </w:p>
    <w:p>
      <w:pPr>
        <w:ind w:right="4380"/>
        <w:spacing w:after="0" w:line="247" w:lineRule="auto"/>
        <w:rPr>
          <w:sz w:val="20"/>
          <w:szCs w:val="20"/>
          <w:color w:val="auto"/>
        </w:rPr>
      </w:pPr>
      <w:r>
        <w:rPr>
          <w:rFonts w:ascii="Courier New" w:cs="Courier New" w:eastAsia="Courier New" w:hAnsi="Courier New"/>
          <w:sz w:val="15"/>
          <w:szCs w:val="15"/>
          <w:color w:val="auto"/>
        </w:rPr>
        <w:t>Investment management, custody and processing services fees in the second quarter of 2001 rose 10% from the prior year's quarter and 16% from the first six months of 2000. Investment management fees were higher than last year, primarily as a result of the contributions of Flemings, which increased the level of funds under management. Custody and processing services decreased slightly from the second quarter of 2000 but increased from the first six months of 2000. The decrease for the quarter was largely due to the impact of lower security values on custody fees, partly offset by higher institutional trust fees related to new business and increased volume from existing clients. The increase for the first half reflected the higher aforementioned institutional trust fees from new business and cash management fees related to treasury activities.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Card Revenue</w:t>
      </w:r>
    </w:p>
    <w:p>
      <w:pPr>
        <w:spacing w:after="0" w:line="166" w:lineRule="exact"/>
        <w:rPr>
          <w:sz w:val="20"/>
          <w:szCs w:val="20"/>
          <w:color w:val="auto"/>
        </w:rPr>
      </w:pPr>
    </w:p>
    <w:p>
      <w:pPr>
        <w:ind w:right="4640"/>
        <w:spacing w:after="0" w:line="264" w:lineRule="auto"/>
        <w:rPr>
          <w:sz w:val="20"/>
          <w:szCs w:val="20"/>
          <w:color w:val="auto"/>
        </w:rPr>
      </w:pPr>
      <w:r>
        <w:rPr>
          <w:rFonts w:ascii="Courier New" w:cs="Courier New" w:eastAsia="Courier New" w:hAnsi="Courier New"/>
          <w:sz w:val="15"/>
          <w:szCs w:val="15"/>
          <w:color w:val="auto"/>
        </w:rPr>
        <w:t>The increases in credit card revenue for the second quarter and first half of 2001 reflect the impact of an increase in average receivables outstanding and higher late and overlimit fees. The increases also reflect higher interchange income due to stronger customer purchase volume, as well as higher other fee-based revenue.</w:t>
      </w:r>
    </w:p>
    <w:p>
      <w:pPr>
        <w:spacing w:after="0" w:line="75" w:lineRule="exact"/>
        <w:rPr>
          <w:sz w:val="20"/>
          <w:szCs w:val="20"/>
          <w:color w:val="auto"/>
        </w:rPr>
      </w:pPr>
    </w:p>
    <w:p>
      <w:pPr>
        <w:ind w:right="4380"/>
        <w:spacing w:after="0" w:line="290" w:lineRule="auto"/>
        <w:rPr>
          <w:sz w:val="20"/>
          <w:szCs w:val="20"/>
          <w:color w:val="auto"/>
        </w:rPr>
      </w:pPr>
      <w:r>
        <w:rPr>
          <w:rFonts w:ascii="Courier New" w:cs="Courier New" w:eastAsia="Courier New" w:hAnsi="Courier New"/>
          <w:sz w:val="15"/>
          <w:szCs w:val="15"/>
          <w:color w:val="auto"/>
        </w:rPr>
        <w:t>The following table reconciles JPMorgan Chase's reported credit card revenue and operating credit card revenue (which excludes the impact of credit card securitizations).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6"/>
        </w:trPr>
        <w:tc>
          <w:tcPr>
            <w:tcW w:w="4380" w:type="dxa"/>
            <w:vAlign w:val="bottom"/>
          </w:tcPr>
          <w:p>
            <w:pPr>
              <w:ind w:left="100"/>
              <w:spacing w:after="0" w:line="167" w:lineRule="exact"/>
              <w:rPr>
                <w:sz w:val="20"/>
                <w:szCs w:val="20"/>
                <w:color w:val="auto"/>
              </w:rPr>
            </w:pPr>
            <w:r>
              <w:rPr>
                <w:rFonts w:ascii="Courier New" w:cs="Courier New" w:eastAsia="Courier New" w:hAnsi="Courier New"/>
                <w:sz w:val="15"/>
                <w:szCs w:val="15"/>
                <w:color w:val="auto"/>
              </w:rPr>
              <w:t>(in millions)</w:t>
            </w:r>
          </w:p>
        </w:tc>
        <w:tc>
          <w:tcPr>
            <w:tcW w:w="1060" w:type="dxa"/>
            <w:vAlign w:val="bottom"/>
          </w:tcPr>
          <w:p>
            <w:pPr>
              <w:spacing w:after="0"/>
              <w:rPr>
                <w:sz w:val="14"/>
                <w:szCs w:val="14"/>
                <w:color w:val="auto"/>
              </w:rPr>
            </w:pPr>
          </w:p>
        </w:tc>
        <w:tc>
          <w:tcPr>
            <w:tcW w:w="2320" w:type="dxa"/>
            <w:vAlign w:val="bottom"/>
            <w:gridSpan w:val="3"/>
          </w:tcPr>
          <w:p>
            <w:pPr>
              <w:jc w:val="right"/>
              <w:ind w:right="687"/>
              <w:spacing w:after="0" w:line="167" w:lineRule="exact"/>
              <w:rPr>
                <w:sz w:val="20"/>
                <w:szCs w:val="20"/>
                <w:color w:val="auto"/>
              </w:rPr>
            </w:pPr>
            <w:r>
              <w:rPr>
                <w:rFonts w:ascii="Courier New" w:cs="Courier New" w:eastAsia="Courier New" w:hAnsi="Courier New"/>
                <w:sz w:val="15"/>
                <w:szCs w:val="15"/>
                <w:color w:val="auto"/>
              </w:rPr>
              <w:t>SECOND QUARTER</w:t>
            </w:r>
          </w:p>
        </w:tc>
        <w:tc>
          <w:tcPr>
            <w:tcW w:w="640" w:type="dxa"/>
            <w:vAlign w:val="bottom"/>
          </w:tcPr>
          <w:p>
            <w:pPr>
              <w:spacing w:after="0"/>
              <w:rPr>
                <w:sz w:val="14"/>
                <w:szCs w:val="14"/>
                <w:color w:val="auto"/>
              </w:rPr>
            </w:pPr>
          </w:p>
        </w:tc>
        <w:tc>
          <w:tcPr>
            <w:tcW w:w="1580" w:type="dxa"/>
            <w:vAlign w:val="bottom"/>
            <w:gridSpan w:val="2"/>
          </w:tcPr>
          <w:p>
            <w:pPr>
              <w:ind w:left="620"/>
              <w:spacing w:after="0" w:line="167" w:lineRule="exact"/>
              <w:rPr>
                <w:sz w:val="20"/>
                <w:szCs w:val="20"/>
                <w:color w:val="auto"/>
              </w:rPr>
            </w:pPr>
            <w:r>
              <w:rPr>
                <w:rFonts w:ascii="Courier New" w:cs="Courier New" w:eastAsia="Courier New" w:hAnsi="Courier New"/>
                <w:sz w:val="15"/>
                <w:szCs w:val="15"/>
                <w:color w:val="auto"/>
              </w:rPr>
              <w:t>SIX MONTHS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8"/>
                <w:szCs w:val="8"/>
                <w:color w:val="auto"/>
                <w:w w:val="77"/>
              </w:rPr>
              <w:t>----------------------------</w:t>
            </w:r>
          </w:p>
        </w:tc>
        <w:tc>
          <w:tcPr>
            <w:tcW w:w="7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88"/>
              </w:rPr>
              <w:t>2001</w:t>
            </w:r>
          </w:p>
        </w:tc>
        <w:tc>
          <w:tcPr>
            <w:tcW w:w="480" w:type="dxa"/>
            <w:vAlign w:val="bottom"/>
          </w:tcPr>
          <w:p>
            <w:pPr>
              <w:spacing w:after="0"/>
              <w:rPr>
                <w:sz w:val="14"/>
                <w:szCs w:val="14"/>
                <w:color w:val="auto"/>
              </w:rPr>
            </w:pPr>
          </w:p>
        </w:tc>
        <w:tc>
          <w:tcPr>
            <w:tcW w:w="10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30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8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Reported Credit Card Revenue</w:t>
            </w:r>
          </w:p>
        </w:tc>
        <w:tc>
          <w:tcPr>
            <w:tcW w:w="10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465</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443</w:t>
            </w:r>
          </w:p>
        </w:tc>
        <w:tc>
          <w:tcPr>
            <w:tcW w:w="6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898</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840</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Impact of Credit Card Securitizations</w:t>
            </w:r>
          </w:p>
        </w:tc>
        <w:tc>
          <w:tcPr>
            <w:tcW w:w="10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w:t>
            </w:r>
          </w:p>
        </w:tc>
        <w:tc>
          <w:tcPr>
            <w:tcW w:w="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5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Credit Card Revenue</w:t>
            </w:r>
          </w:p>
        </w:tc>
        <w:tc>
          <w:tcPr>
            <w:tcW w:w="1060" w:type="dxa"/>
            <w:vAlign w:val="bottom"/>
            <w:vMerge w:val="restart"/>
          </w:tcPr>
          <w:p>
            <w:pPr>
              <w:ind w:left="80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427</w:t>
            </w: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339</w:t>
            </w:r>
          </w:p>
        </w:tc>
        <w:tc>
          <w:tcPr>
            <w:tcW w:w="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811</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667</w:t>
            </w:r>
          </w:p>
        </w:tc>
        <w:tc>
          <w:tcPr>
            <w:tcW w:w="0" w:type="dxa"/>
            <w:vAlign w:val="bottom"/>
          </w:tcPr>
          <w:p>
            <w:pPr>
              <w:spacing w:after="0"/>
              <w:rPr>
                <w:sz w:val="1"/>
                <w:szCs w:val="1"/>
                <w:color w:val="auto"/>
              </w:rPr>
            </w:pPr>
          </w:p>
        </w:tc>
      </w:tr>
      <w:tr>
        <w:trPr>
          <w:trHeight w:val="194"/>
        </w:trPr>
        <w:tc>
          <w:tcPr>
            <w:tcW w:w="4380" w:type="dxa"/>
            <w:vAlign w:val="bottom"/>
          </w:tcPr>
          <w:p>
            <w:pPr>
              <w:spacing w:after="0"/>
              <w:rPr>
                <w:sz w:val="16"/>
                <w:szCs w:val="16"/>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Brokerage and Investment Services</w:t>
      </w:r>
    </w:p>
    <w:p>
      <w:pPr>
        <w:spacing w:after="0" w:line="166" w:lineRule="exact"/>
        <w:rPr>
          <w:sz w:val="20"/>
          <w:szCs w:val="20"/>
          <w:color w:val="auto"/>
        </w:rPr>
      </w:pPr>
    </w:p>
    <w:p>
      <w:pPr>
        <w:ind w:right="4380"/>
        <w:spacing w:after="0" w:line="264" w:lineRule="auto"/>
        <w:rPr>
          <w:sz w:val="20"/>
          <w:szCs w:val="20"/>
          <w:color w:val="auto"/>
        </w:rPr>
      </w:pPr>
      <w:r>
        <w:rPr>
          <w:rFonts w:ascii="Courier New" w:cs="Courier New" w:eastAsia="Courier New" w:hAnsi="Courier New"/>
          <w:sz w:val="15"/>
          <w:szCs w:val="15"/>
          <w:color w:val="auto"/>
        </w:rPr>
        <w:t>Brokerage and investment services in the 2001 second quarter increased $62 million from the prior year's same quarter and $99 million in the first six months of 2001 as a result of the Flemings acquisition. This increase was partly offset by the effect of the weaker markets that reduced the volume of institutional brokerage and retail investment activities.</w:t>
      </w:r>
    </w:p>
    <w:p>
      <w:pPr>
        <w:sectPr>
          <w:pgSz w:w="11900" w:h="16838" w:orient="portrait"/>
          <w:cols w:equalWidth="0" w:num="1">
            <w:col w:w="11380"/>
          </w:cols>
          <w:pgMar w:left="220" w:top="261" w:right="299" w:bottom="1440" w:gutter="0" w:footer="0" w:header="0"/>
        </w:sectPr>
      </w:pPr>
    </w:p>
    <w:p>
      <w:pPr>
        <w:spacing w:after="0" w:line="24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380"/>
          </w:cols>
          <w:pgMar w:left="220" w:top="261" w:right="299"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Fees</w:t>
      </w:r>
    </w:p>
    <w:p>
      <w:pPr>
        <w:spacing w:after="0" w:line="166" w:lineRule="exact"/>
        <w:rPr>
          <w:sz w:val="20"/>
          <w:szCs w:val="20"/>
          <w:color w:val="auto"/>
        </w:rPr>
      </w:pPr>
    </w:p>
    <w:p>
      <w:pPr>
        <w:ind w:right="4040"/>
        <w:spacing w:after="0" w:line="250" w:lineRule="auto"/>
        <w:rPr>
          <w:sz w:val="20"/>
          <w:szCs w:val="20"/>
          <w:color w:val="auto"/>
        </w:rPr>
      </w:pPr>
      <w:r>
        <w:rPr>
          <w:rFonts w:ascii="Courier New" w:cs="Courier New" w:eastAsia="Courier New" w:hAnsi="Courier New"/>
          <w:sz w:val="15"/>
          <w:szCs w:val="15"/>
          <w:color w:val="auto"/>
        </w:rPr>
        <w:t>Mortgage servicing fees in the second quarter and first half of 2001 declined $56 million and $439 million from the same periods last year, respectively, reflecting the net impact of mortgage servicing rights related impairment due to the decline in mortgage rates. Securities gains of $315 million for the first half of 2001 partially offset the decline in mortgage servicing fees. Securities are used to economically hedge the mortgage servicing rights. While lower mortgage rates had a negative impact on mortgage servicing revenue, they had a positive impact on loan origination revenue through increased residential mortgage originations.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Lending-Related Service Fees</w:t>
      </w:r>
    </w:p>
    <w:p>
      <w:pPr>
        <w:spacing w:after="0" w:line="166" w:lineRule="exact"/>
        <w:rPr>
          <w:sz w:val="20"/>
          <w:szCs w:val="20"/>
          <w:color w:val="auto"/>
        </w:rPr>
      </w:pPr>
    </w:p>
    <w:p>
      <w:pPr>
        <w:ind w:right="4200"/>
        <w:spacing w:after="0" w:line="273" w:lineRule="auto"/>
        <w:rPr>
          <w:sz w:val="20"/>
          <w:szCs w:val="20"/>
          <w:color w:val="auto"/>
        </w:rPr>
      </w:pPr>
      <w:r>
        <w:rPr>
          <w:rFonts w:ascii="Courier New" w:cs="Courier New" w:eastAsia="Courier New" w:hAnsi="Courier New"/>
          <w:sz w:val="15"/>
          <w:szCs w:val="15"/>
          <w:color w:val="auto"/>
        </w:rPr>
        <w:t>Other lending-related service fees were lower by $32 million than the second quarter of 2000 and $52 million than the first six months of last year. The declines were primarily attributable to the repositioning of the trade finance business.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 Service Charges</w:t>
      </w:r>
    </w:p>
    <w:p>
      <w:pPr>
        <w:spacing w:after="0" w:line="166" w:lineRule="exact"/>
        <w:rPr>
          <w:sz w:val="20"/>
          <w:szCs w:val="20"/>
          <w:color w:val="auto"/>
        </w:rPr>
      </w:pPr>
    </w:p>
    <w:p>
      <w:pPr>
        <w:ind w:right="4120"/>
        <w:spacing w:after="0" w:line="252" w:lineRule="auto"/>
        <w:rPr>
          <w:sz w:val="20"/>
          <w:szCs w:val="20"/>
          <w:color w:val="auto"/>
        </w:rPr>
      </w:pPr>
      <w:r>
        <w:rPr>
          <w:rFonts w:ascii="Courier New" w:cs="Courier New" w:eastAsia="Courier New" w:hAnsi="Courier New"/>
          <w:sz w:val="15"/>
          <w:szCs w:val="15"/>
          <w:color w:val="auto"/>
        </w:rPr>
        <w:t>Deposit service charges in the 2001 second quarter increased $32 million from the prior year's quarter and for the first six months of 2001 increased by $37 million from the prior year. The increases reflected the impact of the lower interest rates as customers who customarily would pay for deposit products and services by maintaining a higher level of compensating balances instead reduced their balances and paid for the services through separate fees. Also contributing to the increase were new pricing schedules implemented for the deposit products in the second quarter of 2001.</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Fees</w:t>
      </w:r>
    </w:p>
    <w:p>
      <w:pPr>
        <w:spacing w:after="0" w:line="166" w:lineRule="exact"/>
        <w:rPr>
          <w:sz w:val="20"/>
          <w:szCs w:val="20"/>
          <w:color w:val="auto"/>
        </w:rPr>
      </w:pPr>
    </w:p>
    <w:p>
      <w:pPr>
        <w:ind w:right="4120"/>
        <w:spacing w:after="0" w:line="258" w:lineRule="auto"/>
        <w:rPr>
          <w:sz w:val="20"/>
          <w:szCs w:val="20"/>
          <w:color w:val="auto"/>
        </w:rPr>
      </w:pPr>
      <w:r>
        <w:rPr>
          <w:rFonts w:ascii="Courier New" w:cs="Courier New" w:eastAsia="Courier New" w:hAnsi="Courier New"/>
          <w:sz w:val="15"/>
          <w:szCs w:val="15"/>
          <w:color w:val="auto"/>
        </w:rPr>
        <w:t>The increases in all other fees of $58 million and $75 million in the second quarter and first six months of 2001 from the same periods in the prior year, respectively, primarily reflected the growth in the volume of variable annuity sales. Also contributing to the increases were the acquisitions of Flemings and Colson Services Corp., a provider of record keeping, paying agent and other financial services.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EQUITY GAINS</w:t>
      </w:r>
    </w:p>
    <w:p>
      <w:pPr>
        <w:spacing w:after="0" w:line="166" w:lineRule="exact"/>
        <w:rPr>
          <w:sz w:val="20"/>
          <w:szCs w:val="20"/>
          <w:color w:val="auto"/>
        </w:rPr>
      </w:pPr>
    </w:p>
    <w:p>
      <w:pPr>
        <w:ind w:right="4040"/>
        <w:spacing w:after="0" w:line="269" w:lineRule="auto"/>
        <w:rPr>
          <w:sz w:val="20"/>
          <w:szCs w:val="20"/>
          <w:color w:val="auto"/>
        </w:rPr>
      </w:pPr>
      <w:r>
        <w:rPr>
          <w:rFonts w:ascii="Courier New" w:cs="Courier New" w:eastAsia="Courier New" w:hAnsi="Courier New"/>
          <w:sz w:val="14"/>
          <w:szCs w:val="14"/>
          <w:color w:val="auto"/>
        </w:rPr>
        <w:t>Private equity gains (losses) were significantly affected by the downturn in the equities market. In the second quarter of 2001, both realized and unrealized categories had losses. These unfavorable results were attributable to write-offs and write-downs, particularly in JPMP's investment in the technology, media and telecommunications sectors. In addition, the ability of JPMP to realize cash gains upon the sale of an investment has become more difficult, as the weaker initial public offering and M&amp;A environment during the first six months of 2001 has limited JPMP's ability to implement various "exit" strategies for its investments. For a further discussion of JPMorgan Chase's private equity results, see the JPMP line of business results on pages 19-20 of this Form 10-Q.</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180" w:type="dxa"/>
            <w:vAlign w:val="bottom"/>
          </w:tcPr>
          <w:p>
            <w:pPr>
              <w:spacing w:after="0"/>
              <w:rPr>
                <w:sz w:val="14"/>
                <w:szCs w:val="14"/>
                <w:color w:val="auto"/>
              </w:rPr>
            </w:pPr>
          </w:p>
        </w:tc>
        <w:tc>
          <w:tcPr>
            <w:tcW w:w="2840" w:type="dxa"/>
            <w:vAlign w:val="bottom"/>
            <w:gridSpan w:val="3"/>
          </w:tcPr>
          <w:p>
            <w:pPr>
              <w:jc w:val="right"/>
              <w:ind w:right="1287"/>
              <w:spacing w:after="0"/>
              <w:rPr>
                <w:sz w:val="20"/>
                <w:szCs w:val="20"/>
                <w:color w:val="auto"/>
              </w:rPr>
            </w:pPr>
            <w:r>
              <w:rPr>
                <w:rFonts w:ascii="Courier New" w:cs="Courier New" w:eastAsia="Courier New" w:hAnsi="Courier New"/>
                <w:sz w:val="15"/>
                <w:szCs w:val="15"/>
                <w:color w:val="auto"/>
              </w:rPr>
              <w:t>SECOND QUARTER</w:t>
            </w:r>
          </w:p>
        </w:tc>
        <w:tc>
          <w:tcPr>
            <w:tcW w:w="960" w:type="dxa"/>
            <w:vAlign w:val="bottom"/>
          </w:tcPr>
          <w:p>
            <w:pPr>
              <w:spacing w:after="0"/>
              <w:rPr>
                <w:sz w:val="14"/>
                <w:szCs w:val="14"/>
                <w:color w:val="auto"/>
              </w:rPr>
            </w:pP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Courier New" w:cs="Courier New" w:eastAsia="Courier New" w:hAnsi="Courier New"/>
                <w:sz w:val="2"/>
                <w:szCs w:val="2"/>
                <w:color w:val="auto"/>
              </w:rPr>
              <w:t>----------------------------</w:t>
            </w: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88"/>
              </w:rPr>
              <w:t>2001</w:t>
            </w:r>
          </w:p>
        </w:tc>
        <w:tc>
          <w:tcPr>
            <w:tcW w:w="420" w:type="dxa"/>
            <w:vAlign w:val="bottom"/>
          </w:tcPr>
          <w:p>
            <w:pPr>
              <w:spacing w:after="0"/>
              <w:rPr>
                <w:sz w:val="14"/>
                <w:szCs w:val="14"/>
                <w:color w:val="auto"/>
              </w:rPr>
            </w:pPr>
          </w:p>
        </w:tc>
        <w:tc>
          <w:tcPr>
            <w:tcW w:w="1540" w:type="dxa"/>
            <w:vAlign w:val="bottom"/>
            <w:vMerge w:val="restart"/>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33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206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Realized Gains (Losses)</w:t>
            </w: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w:t>
            </w:r>
          </w:p>
        </w:tc>
        <w:tc>
          <w:tcPr>
            <w:tcW w:w="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630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1,022</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Gains (Losses)</w:t>
            </w:r>
          </w:p>
        </w:tc>
        <w:tc>
          <w:tcPr>
            <w:tcW w:w="1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(783)</w:t>
            </w:r>
          </w:p>
        </w:tc>
        <w:tc>
          <w:tcPr>
            <w:tcW w:w="42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(171)</w:t>
            </w:r>
          </w:p>
        </w:tc>
        <w:tc>
          <w:tcPr>
            <w:tcW w:w="9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(1,068)</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PRIVATE EQUITY GAINS (LOSSES)</w:t>
            </w:r>
          </w:p>
        </w:tc>
        <w:tc>
          <w:tcPr>
            <w:tcW w:w="1180" w:type="dxa"/>
            <w:vAlign w:val="bottom"/>
            <w:vMerge w:val="restart"/>
          </w:tcPr>
          <w:p>
            <w:pPr>
              <w:ind w:left="82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(829)</w:t>
            </w:r>
          </w:p>
        </w:tc>
        <w:tc>
          <w:tcPr>
            <w:tcW w:w="196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459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1,133</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206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GAINS</w:t>
      </w:r>
    </w:p>
    <w:p>
      <w:pPr>
        <w:spacing w:after="0" w:line="166" w:lineRule="exact"/>
        <w:rPr>
          <w:sz w:val="20"/>
          <w:szCs w:val="20"/>
          <w:color w:val="auto"/>
        </w:rPr>
      </w:pPr>
    </w:p>
    <w:p>
      <w:pPr>
        <w:ind w:right="4120"/>
        <w:spacing w:after="0" w:line="249" w:lineRule="auto"/>
        <w:rPr>
          <w:sz w:val="20"/>
          <w:szCs w:val="20"/>
          <w:color w:val="auto"/>
        </w:rPr>
      </w:pPr>
      <w:r>
        <w:rPr>
          <w:rFonts w:ascii="Courier New" w:cs="Courier New" w:eastAsia="Courier New" w:hAnsi="Courier New"/>
          <w:sz w:val="15"/>
          <w:szCs w:val="15"/>
          <w:color w:val="auto"/>
        </w:rPr>
        <w:t>Securities gains in the second quarter of 2001 were up $43 million from last year's same quarter. For the first half, gains were $501 million above the same period last year. These increases resulted from the decline in</w:t>
      </w:r>
    </w:p>
    <w:p>
      <w:pPr>
        <w:spacing w:after="0" w:line="2" w:lineRule="exact"/>
        <w:rPr>
          <w:sz w:val="20"/>
          <w:szCs w:val="20"/>
          <w:color w:val="auto"/>
        </w:rPr>
      </w:pPr>
    </w:p>
    <w:p>
      <w:pPr>
        <w:ind w:right="4120"/>
        <w:spacing w:after="0" w:line="285" w:lineRule="auto"/>
        <w:rPr>
          <w:sz w:val="20"/>
          <w:szCs w:val="20"/>
          <w:color w:val="auto"/>
        </w:rPr>
      </w:pPr>
      <w:r>
        <w:rPr>
          <w:rFonts w:ascii="Courier New" w:cs="Courier New" w:eastAsia="Courier New" w:hAnsi="Courier New"/>
          <w:sz w:val="14"/>
          <w:szCs w:val="14"/>
          <w:color w:val="auto"/>
        </w:rPr>
        <w:t>interest rates since the fourth quarter of 2000, compared with the rate increases in the same period last year. As a consequence of the interest rate declines in the first half of 2001, the value of debt securities held this year rose and produced significant gains upon the sale of those securities.</w:t>
      </w:r>
    </w:p>
    <w:p>
      <w:pPr>
        <w:spacing w:after="0" w:line="62" w:lineRule="exact"/>
        <w:rPr>
          <w:sz w:val="20"/>
          <w:szCs w:val="20"/>
          <w:color w:val="auto"/>
        </w:rPr>
      </w:pPr>
    </w:p>
    <w:p>
      <w:pPr>
        <w:ind w:right="4040"/>
        <w:spacing w:after="0" w:line="252" w:lineRule="auto"/>
        <w:rPr>
          <w:sz w:val="20"/>
          <w:szCs w:val="20"/>
          <w:color w:val="auto"/>
        </w:rPr>
      </w:pPr>
      <w:r>
        <w:rPr>
          <w:rFonts w:ascii="Courier New" w:cs="Courier New" w:eastAsia="Courier New" w:hAnsi="Courier New"/>
          <w:sz w:val="15"/>
          <w:szCs w:val="15"/>
          <w:color w:val="auto"/>
        </w:rPr>
        <w:t>Home Finance utilized debt securities in addition to derivatives to hedge the value of the mortgage servicing rights it carries on the Balance Sheet. In the 2001 first quarter, Home Finance realized $315 million of gains from the sale of debt securities used to economically hedge the mortgage servicing rights which partially offset the decline in mortgage servicing fees. In the 2001 second quarter, no material gains were recorded from the sale of securities. (However, hedge contracts were acquired to cover impairment losses and the results were recorded within mortgage servicing fees.)</w:t>
      </w:r>
    </w:p>
    <w:p>
      <w:pPr>
        <w:sectPr>
          <w:pgSz w:w="11900" w:h="16838" w:orient="portrait"/>
          <w:cols w:equalWidth="0" w:num="1">
            <w:col w:w="11040"/>
          </w:cols>
          <w:pgMar w:left="220" w:top="261" w:right="639" w:bottom="0" w:gutter="0" w:footer="0" w:header="0"/>
        </w:sectPr>
      </w:pPr>
    </w:p>
    <w:p>
      <w:pPr>
        <w:spacing w:after="0" w:line="200" w:lineRule="exact"/>
        <w:rPr>
          <w:sz w:val="20"/>
          <w:szCs w:val="20"/>
          <w:color w:val="auto"/>
        </w:rPr>
      </w:pPr>
    </w:p>
    <w:p>
      <w:pPr>
        <w:spacing w:after="0" w:line="22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040"/>
          </w:cols>
          <w:pgMar w:left="220" w:top="261" w:right="639" w:bottom="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REVENUE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860" w:type="dxa"/>
            <w:vAlign w:val="bottom"/>
          </w:tcPr>
          <w:p>
            <w:pPr>
              <w:spacing w:after="0"/>
              <w:rPr>
                <w:sz w:val="14"/>
                <w:szCs w:val="14"/>
                <w:color w:val="auto"/>
              </w:rPr>
            </w:pPr>
          </w:p>
        </w:tc>
        <w:tc>
          <w:tcPr>
            <w:tcW w:w="232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spacing w:after="0"/>
              <w:rPr>
                <w:sz w:val="14"/>
                <w:szCs w:val="14"/>
                <w:color w:val="auto"/>
              </w:rPr>
            </w:pPr>
          </w:p>
        </w:tc>
        <w:tc>
          <w:tcPr>
            <w:tcW w:w="13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SIX MONTHS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7"/>
                <w:szCs w:val="7"/>
                <w:color w:val="auto"/>
                <w:w w:val="79"/>
              </w:rPr>
              <w:t>-------------------------</w:t>
            </w:r>
          </w:p>
        </w:tc>
        <w:tc>
          <w:tcPr>
            <w:tcW w:w="8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4"/>
                <w:szCs w:val="14"/>
                <w:color w:val="auto"/>
              </w:rPr>
            </w:pPr>
          </w:p>
        </w:tc>
        <w:tc>
          <w:tcPr>
            <w:tcW w:w="108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w w:val="88"/>
              </w:rPr>
              <w:t>2000</w:t>
            </w:r>
          </w:p>
        </w:tc>
        <w:tc>
          <w:tcPr>
            <w:tcW w:w="27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1"/>
                <w:szCs w:val="21"/>
                <w:color w:val="auto"/>
              </w:rPr>
            </w:pP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Residential Mortgage Origination / Sales Activities</w:t>
            </w:r>
          </w:p>
        </w:tc>
        <w:tc>
          <w:tcPr>
            <w:tcW w:w="860" w:type="dxa"/>
            <w:vAlign w:val="bottom"/>
          </w:tcPr>
          <w:p>
            <w:pPr>
              <w:jc w:val="right"/>
              <w:ind w:right="9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41</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Revenue</w:t>
            </w:r>
          </w:p>
        </w:tc>
        <w:tc>
          <w:tcPr>
            <w:tcW w:w="8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c>
          <w:tcPr>
            <w:tcW w:w="44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164</w:t>
            </w:r>
          </w:p>
        </w:tc>
        <w:tc>
          <w:tcPr>
            <w:tcW w:w="76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w:t>
            </w:r>
          </w:p>
        </w:tc>
        <w:tc>
          <w:tcPr>
            <w:tcW w:w="44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w:t>
            </w:r>
          </w:p>
        </w:tc>
        <w:tc>
          <w:tcPr>
            <w:tcW w:w="0" w:type="dxa"/>
            <w:vAlign w:val="bottom"/>
          </w:tcPr>
          <w:p>
            <w:pPr>
              <w:spacing w:after="0"/>
              <w:rPr>
                <w:sz w:val="1"/>
                <w:szCs w:val="1"/>
                <w:color w:val="auto"/>
              </w:rPr>
            </w:pPr>
          </w:p>
        </w:tc>
      </w:tr>
      <w:tr>
        <w:trPr>
          <w:trHeight w:val="168"/>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Other Revenue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274</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205</w:t>
            </w:r>
          </w:p>
        </w:tc>
        <w:tc>
          <w:tcPr>
            <w:tcW w:w="76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525</w:t>
            </w:r>
          </w:p>
        </w:tc>
        <w:tc>
          <w:tcPr>
            <w:tcW w:w="44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w:t>
            </w: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Economic Hedge of the Flemings</w:t>
            </w:r>
          </w:p>
        </w:tc>
        <w:tc>
          <w:tcPr>
            <w:tcW w:w="8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(141)</w:t>
            </w:r>
          </w:p>
        </w:tc>
        <w:tc>
          <w:tcPr>
            <w:tcW w:w="760" w:type="dxa"/>
            <w:vAlign w:val="bottom"/>
          </w:tcPr>
          <w:p>
            <w:pPr>
              <w:spacing w:after="0"/>
              <w:rPr>
                <w:sz w:val="14"/>
                <w:szCs w:val="14"/>
                <w:color w:val="auto"/>
              </w:rPr>
            </w:pPr>
          </w:p>
        </w:tc>
        <w:tc>
          <w:tcPr>
            <w:tcW w:w="9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(141)</w:t>
            </w:r>
          </w:p>
        </w:tc>
        <w:tc>
          <w:tcPr>
            <w:tcW w:w="0" w:type="dxa"/>
            <w:vAlign w:val="bottom"/>
          </w:tcPr>
          <w:p>
            <w:pPr>
              <w:spacing w:after="0"/>
              <w:rPr>
                <w:sz w:val="1"/>
                <w:szCs w:val="1"/>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Price</w:t>
            </w: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 - Credit Card Securitizations</w:t>
            </w:r>
          </w:p>
        </w:tc>
        <w:tc>
          <w:tcPr>
            <w:tcW w:w="8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76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Reported Other Revenue</w:t>
            </w:r>
          </w:p>
        </w:tc>
        <w:tc>
          <w:tcPr>
            <w:tcW w:w="860" w:type="dxa"/>
            <w:vAlign w:val="bottom"/>
            <w:vMerge w:val="restart"/>
          </w:tcPr>
          <w:p>
            <w:pPr>
              <w:jc w:val="right"/>
              <w:spacing w:after="0"/>
              <w:rPr>
                <w:sz w:val="20"/>
                <w:szCs w:val="20"/>
                <w:color w:val="auto"/>
              </w:rPr>
            </w:pPr>
            <w:r>
              <w:rPr>
                <w:rFonts w:ascii="Courier New" w:cs="Courier New" w:eastAsia="Courier New" w:hAnsi="Courier New"/>
                <w:sz w:val="29"/>
                <w:szCs w:val="29"/>
                <w:color w:val="auto"/>
                <w:w w:val="82"/>
                <w:vertAlign w:val="subscript"/>
              </w:rPr>
              <w:t>$</w:t>
            </w:r>
            <w:r>
              <w:rPr>
                <w:rFonts w:ascii="Courier New" w:cs="Courier New" w:eastAsia="Courier New" w:hAnsi="Courier New"/>
                <w:sz w:val="15"/>
                <w:szCs w:val="15"/>
                <w:color w:val="auto"/>
                <w:w w:val="82"/>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274</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67</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w:t>
            </w:r>
          </w:p>
        </w:tc>
        <w:tc>
          <w:tcPr>
            <w:tcW w:w="0" w:type="dxa"/>
            <w:vAlign w:val="bottom"/>
          </w:tcPr>
          <w:p>
            <w:pPr>
              <w:spacing w:after="0"/>
              <w:rPr>
                <w:sz w:val="1"/>
                <w:szCs w:val="1"/>
                <w:color w:val="auto"/>
              </w:rPr>
            </w:pPr>
          </w:p>
        </w:tc>
      </w:tr>
      <w:tr>
        <w:trPr>
          <w:trHeight w:val="194"/>
        </w:trPr>
        <w:tc>
          <w:tcPr>
            <w:tcW w:w="5000" w:type="dxa"/>
            <w:vAlign w:val="bottom"/>
          </w:tcPr>
          <w:p>
            <w:pPr>
              <w:spacing w:after="0"/>
              <w:rPr>
                <w:sz w:val="16"/>
                <w:szCs w:val="16"/>
                <w:color w:val="auto"/>
              </w:rPr>
            </w:pPr>
          </w:p>
        </w:tc>
        <w:tc>
          <w:tcPr>
            <w:tcW w:w="1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5"/>
          <w:szCs w:val="15"/>
          <w:color w:val="auto"/>
        </w:rPr>
        <w:t>Residential mortgage activities (which include originations and sales of loans and selective dispositions of mortgage servicing rights) in the 2001 second quarter and first six months rose $105 million and $160 million, respectively, from the comparable periods last year. The increases were the result of the higher volume of mortgage loans sold in 2001. The decline in mortgage interest rates and a strong housing market led to the growth of residential loan originations.</w:t>
      </w:r>
    </w:p>
    <w:p>
      <w:pPr>
        <w:spacing w:after="0" w:line="82"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5"/>
          <w:szCs w:val="15"/>
          <w:color w:val="auto"/>
        </w:rPr>
        <w:t>All other revenue decreased $36 million in the second quarter of this year versus the 2000 second quarter and decreased $160 million in the 2001 first six months compared with the prior year. These decreases were attributable to lower equity income from the American Century investment, reflecting the decline in the value of its funds under management. In addition, the second quarter and first half of 2001 included lower results related to economic hedges for planned overseas revenues.</w:t>
      </w:r>
    </w:p>
    <w:p>
      <w:pPr>
        <w:spacing w:after="0" w:line="82" w:lineRule="exact"/>
        <w:rPr>
          <w:sz w:val="20"/>
          <w:szCs w:val="20"/>
          <w:color w:val="auto"/>
        </w:rPr>
      </w:pPr>
    </w:p>
    <w:p>
      <w:pPr>
        <w:ind w:right="4460"/>
        <w:spacing w:after="0" w:line="264" w:lineRule="auto"/>
        <w:rPr>
          <w:sz w:val="20"/>
          <w:szCs w:val="20"/>
          <w:color w:val="auto"/>
        </w:rPr>
      </w:pPr>
      <w:r>
        <w:rPr>
          <w:rFonts w:ascii="Courier New" w:cs="Courier New" w:eastAsia="Courier New" w:hAnsi="Courier New"/>
          <w:sz w:val="15"/>
          <w:szCs w:val="15"/>
          <w:color w:val="auto"/>
        </w:rPr>
        <w:t>On a reported basis, the second quarter and six months of 2000 results also included a $141 million loss resulting from the economic hedge for the purchase price of Flemings prior to its acquisition. (The offsetting appreciation in the dollar versus pound sterling exchange rate was reflected as a reduction in the purchase price and corresponding goodwill.)</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INTEREST INCOME</w:t>
      </w:r>
    </w:p>
    <w:p>
      <w:pPr>
        <w:spacing w:after="0" w:line="166" w:lineRule="exact"/>
        <w:rPr>
          <w:sz w:val="20"/>
          <w:szCs w:val="20"/>
          <w:color w:val="auto"/>
        </w:rPr>
      </w:pPr>
    </w:p>
    <w:p>
      <w:pPr>
        <w:ind w:right="4380"/>
        <w:spacing w:after="0" w:line="320" w:lineRule="auto"/>
        <w:rPr>
          <w:sz w:val="20"/>
          <w:szCs w:val="20"/>
          <w:color w:val="auto"/>
        </w:rPr>
      </w:pPr>
      <w:r>
        <w:rPr>
          <w:rFonts w:ascii="Courier New" w:cs="Courier New" w:eastAsia="Courier New" w:hAnsi="Courier New"/>
          <w:sz w:val="14"/>
          <w:szCs w:val="14"/>
          <w:color w:val="auto"/>
        </w:rPr>
        <w:t>OPERATING NII adjusts reported NII for the impact of credit card securitizations and trading-related NII that is considered part of total trading-related revenue. The following table reconciles reported and operating NII.</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920" w:type="dxa"/>
            <w:vAlign w:val="bottom"/>
          </w:tcPr>
          <w:p>
            <w:pPr>
              <w:spacing w:after="0"/>
              <w:rPr>
                <w:sz w:val="14"/>
                <w:szCs w:val="14"/>
                <w:color w:val="auto"/>
              </w:rPr>
            </w:pPr>
          </w:p>
        </w:tc>
        <w:tc>
          <w:tcPr>
            <w:tcW w:w="19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SECOND QUARTER</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9"/>
              </w:rPr>
              <w:t>SIX MONTHS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3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920" w:type="dxa"/>
            <w:vAlign w:val="bottom"/>
          </w:tcPr>
          <w:p>
            <w:pPr>
              <w:spacing w:after="0"/>
              <w:rPr>
                <w:sz w:val="22"/>
                <w:szCs w:val="22"/>
                <w:color w:val="auto"/>
              </w:rPr>
            </w:pPr>
          </w:p>
        </w:tc>
        <w:tc>
          <w:tcPr>
            <w:tcW w:w="78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4"/>
              </w:rPr>
              <w:t>2001</w:t>
            </w:r>
          </w:p>
        </w:tc>
        <w:tc>
          <w:tcPr>
            <w:tcW w:w="320" w:type="dxa"/>
            <w:vAlign w:val="bottom"/>
          </w:tcPr>
          <w:p>
            <w:pPr>
              <w:spacing w:after="0"/>
              <w:rPr>
                <w:sz w:val="22"/>
                <w:szCs w:val="22"/>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2000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Change</w:t>
            </w:r>
          </w:p>
        </w:tc>
        <w:tc>
          <w:tcPr>
            <w:tcW w:w="600" w:type="dxa"/>
            <w:vAlign w:val="bottom"/>
          </w:tcPr>
          <w:p>
            <w:pPr>
              <w:spacing w:after="0"/>
              <w:rPr>
                <w:sz w:val="22"/>
                <w:szCs w:val="22"/>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22"/>
                <w:szCs w:val="22"/>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7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160" w:type="dxa"/>
            <w:vAlign w:val="bottom"/>
          </w:tcPr>
          <w:p>
            <w:pPr>
              <w:ind w:left="280"/>
              <w:spacing w:after="0"/>
              <w:rPr>
                <w:sz w:val="20"/>
                <w:szCs w:val="20"/>
                <w:color w:val="auto"/>
              </w:rPr>
            </w:pPr>
            <w:r>
              <w:rPr>
                <w:rFonts w:ascii="Courier New" w:cs="Courier New" w:eastAsia="Courier New" w:hAnsi="Courier New"/>
                <w:sz w:val="15"/>
                <w:szCs w:val="15"/>
                <w:color w:val="auto"/>
              </w:rPr>
              <w:t>Reported NII</w:t>
            </w:r>
          </w:p>
        </w:tc>
        <w:tc>
          <w:tcPr>
            <w:tcW w:w="9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2,294</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5,199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4,708</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 Impact of Credit Card Securitizations</w:t>
            </w:r>
          </w:p>
        </w:tc>
        <w:tc>
          <w:tcPr>
            <w:tcW w:w="9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596</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677</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Trading-Related NII</w:t>
            </w:r>
          </w:p>
        </w:tc>
        <w:tc>
          <w:tcPr>
            <w:tcW w:w="9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(333)</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(149)</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w:t>
            </w:r>
          </w:p>
        </w:tc>
        <w:tc>
          <w:tcPr>
            <w:tcW w:w="34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(395)</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Operating NII</w:t>
            </w:r>
          </w:p>
        </w:tc>
        <w:tc>
          <w:tcPr>
            <w:tcW w:w="920" w:type="dxa"/>
            <w:vAlign w:val="bottom"/>
            <w:vMerge w:val="restart"/>
          </w:tcPr>
          <w:p>
            <w:pPr>
              <w:ind w:left="580"/>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2,759</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2,494</w:t>
            </w:r>
          </w:p>
        </w:tc>
        <w:tc>
          <w:tcPr>
            <w:tcW w:w="1060" w:type="dxa"/>
            <w:vAlign w:val="bottom"/>
            <w:vMerge w:val="continue"/>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5,296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4,990</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1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6"/>
                <w:szCs w:val="16"/>
                <w:color w:val="auto"/>
              </w:rPr>
            </w:pP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5"/>
          <w:szCs w:val="15"/>
          <w:color w:val="auto"/>
        </w:rPr>
        <w:t>Net Interest Income in the 2001 second quarter and first six months, both on a reported and operating basis, grew from the comparable periods last year, primarily as a result of the interest rate environment this year. Since the start of 2001, the lower interest rate environment contributed to growth in consumer loans, and a decline in the funding costs to support these loans. Last year, on the other hand, interest rates were on the rise, and this depressed the growth of, and spread on, interest earning assets.</w:t>
      </w:r>
    </w:p>
    <w:p>
      <w:pPr>
        <w:spacing w:after="0" w:line="82" w:lineRule="exact"/>
        <w:rPr>
          <w:sz w:val="20"/>
          <w:szCs w:val="20"/>
          <w:color w:val="auto"/>
        </w:rPr>
      </w:pPr>
    </w:p>
    <w:p>
      <w:pPr>
        <w:ind w:right="4460"/>
        <w:spacing w:after="0" w:line="298" w:lineRule="auto"/>
        <w:rPr>
          <w:sz w:val="20"/>
          <w:szCs w:val="20"/>
          <w:color w:val="auto"/>
        </w:rPr>
      </w:pPr>
      <w:r>
        <w:rPr>
          <w:rFonts w:ascii="Courier New" w:cs="Courier New" w:eastAsia="Courier New" w:hAnsi="Courier New"/>
          <w:sz w:val="14"/>
          <w:szCs w:val="14"/>
          <w:color w:val="auto"/>
        </w:rPr>
        <w:t>Also contributing to the increase in both 2001 periods was the receipt in the second quarter of 2001 of several interest refunds aggregating $71 million on prior years' taxes. The first quarter of 2000 included a charge of $100 million for an estimated decrease in the residual value of auto leases.</w:t>
      </w:r>
    </w:p>
    <w:p>
      <w:pPr>
        <w:sectPr>
          <w:pgSz w:w="11900" w:h="16838" w:orient="portrait"/>
          <w:cols w:equalWidth="0" w:num="1">
            <w:col w:w="11380"/>
          </w:cols>
          <w:pgMar w:left="220" w:top="261" w:right="299" w:bottom="1440" w:gutter="0" w:footer="0" w:header="0"/>
        </w:sectPr>
      </w:pPr>
    </w:p>
    <w:p>
      <w:pPr>
        <w:spacing w:after="0" w:line="22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380"/>
          </w:cols>
          <w:pgMar w:left="220" w:top="261" w:right="299"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NONINTEREST EXPENSE</w:t>
      </w:r>
    </w:p>
    <w:p>
      <w:pPr>
        <w:spacing w:after="0" w:line="166" w:lineRule="exact"/>
        <w:rPr>
          <w:sz w:val="20"/>
          <w:szCs w:val="20"/>
          <w:color w:val="auto"/>
        </w:rPr>
      </w:pPr>
    </w:p>
    <w:p>
      <w:pPr>
        <w:ind w:right="4620"/>
        <w:spacing w:after="0" w:line="255" w:lineRule="auto"/>
        <w:rPr>
          <w:sz w:val="20"/>
          <w:szCs w:val="20"/>
          <w:color w:val="auto"/>
        </w:rPr>
      </w:pPr>
      <w:r>
        <w:rPr>
          <w:rFonts w:ascii="Courier New" w:cs="Courier New" w:eastAsia="Courier New" w:hAnsi="Courier New"/>
          <w:sz w:val="15"/>
          <w:szCs w:val="15"/>
          <w:color w:val="auto"/>
        </w:rPr>
        <w:t>Total operating noninterest expenses were $5.3 billion in the second quarter of 2001, up 5% from the second quarter of 2000. The increase reflected the higher investments in businesses and, in particular, the acquisition of Flemings. On a pro forma basis, total 2001 operating expenses declined from last year as a result of focused expense management initiatives, which include headcount reductions. The following table presents the components of noninterest expense on an operating and reported basis.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 millions, except ratios)</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SECOND QUARTER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SIX MONTHS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50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5"/>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Pro Forma</w:t>
            </w:r>
          </w:p>
        </w:tc>
        <w:tc>
          <w:tcPr>
            <w:tcW w:w="3500" w:type="dxa"/>
            <w:vAlign w:val="bottom"/>
            <w:gridSpan w:val="6"/>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EXPENSE:</w:t>
            </w:r>
          </w:p>
        </w:tc>
        <w:tc>
          <w:tcPr>
            <w:tcW w:w="760" w:type="dxa"/>
            <w:vAlign w:val="bottom"/>
          </w:tcPr>
          <w:p>
            <w:pPr>
              <w:spacing w:after="0"/>
              <w:rPr>
                <w:sz w:val="14"/>
                <w:szCs w:val="14"/>
                <w:color w:val="auto"/>
              </w:rPr>
            </w:pPr>
          </w:p>
        </w:tc>
        <w:tc>
          <w:tcPr>
            <w:tcW w:w="7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88"/>
              </w:rPr>
              <w:t>2001</w:t>
            </w:r>
          </w:p>
        </w:tc>
        <w:tc>
          <w:tcPr>
            <w:tcW w:w="260" w:type="dxa"/>
            <w:vAlign w:val="bottom"/>
          </w:tcPr>
          <w:p>
            <w:pPr>
              <w:spacing w:after="0"/>
              <w:rPr>
                <w:sz w:val="14"/>
                <w:szCs w:val="14"/>
                <w:color w:val="auto"/>
              </w:rPr>
            </w:pPr>
          </w:p>
        </w:tc>
        <w:tc>
          <w:tcPr>
            <w:tcW w:w="10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w w:val="99"/>
              </w:rPr>
              <w:t>2000</w:t>
            </w:r>
          </w:p>
        </w:tc>
        <w:tc>
          <w:tcPr>
            <w:tcW w:w="12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4"/>
                <w:szCs w:val="14"/>
                <w:color w:val="auto"/>
              </w:rPr>
            </w:pP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2000 (a)</w:t>
            </w: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2000 (a)</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5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Compensation Expense</w:t>
            </w:r>
          </w:p>
        </w:tc>
        <w:tc>
          <w:tcPr>
            <w:tcW w:w="7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2,963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3,249</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6,409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6,303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6,938</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7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327</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297</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315</w:t>
            </w:r>
          </w:p>
        </w:tc>
        <w:tc>
          <w:tcPr>
            <w:tcW w:w="5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675</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642</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Technology and Communications</w:t>
            </w:r>
          </w:p>
        </w:tc>
        <w:tc>
          <w:tcPr>
            <w:tcW w:w="7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674</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574</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599</w:t>
            </w:r>
          </w:p>
        </w:tc>
        <w:tc>
          <w:tcPr>
            <w:tcW w:w="5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1,328</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1,206</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7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1,047</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1,099</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1,175</w:t>
            </w:r>
          </w:p>
        </w:tc>
        <w:tc>
          <w:tcPr>
            <w:tcW w:w="5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2,109</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2,275</w:t>
            </w:r>
          </w:p>
        </w:tc>
        <w:tc>
          <w:tcPr>
            <w:tcW w:w="0" w:type="dxa"/>
            <w:vAlign w:val="bottom"/>
          </w:tcPr>
          <w:p>
            <w:pPr>
              <w:spacing w:after="0"/>
              <w:rPr>
                <w:sz w:val="1"/>
                <w:szCs w:val="1"/>
                <w:color w:val="auto"/>
              </w:rPr>
            </w:pPr>
          </w:p>
        </w:tc>
      </w:tr>
      <w:tr>
        <w:trPr>
          <w:trHeight w:val="168"/>
        </w:trPr>
        <w:tc>
          <w:tcPr>
            <w:tcW w:w="37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CASH OPERATING NONINTEREST EXPENSE</w:t>
            </w:r>
          </w:p>
        </w:tc>
        <w:tc>
          <w:tcPr>
            <w:tcW w:w="760" w:type="dxa"/>
            <w:vAlign w:val="bottom"/>
          </w:tcPr>
          <w:p>
            <w:pPr>
              <w:ind w:left="480"/>
              <w:spacing w:after="0"/>
              <w:rPr>
                <w:sz w:val="20"/>
                <w:szCs w:val="20"/>
                <w:color w:val="auto"/>
              </w:rPr>
            </w:pPr>
            <w:r>
              <w:rPr>
                <w:rFonts w:ascii="Courier New" w:cs="Courier New" w:eastAsia="Courier New" w:hAnsi="Courier New"/>
                <w:sz w:val="6"/>
                <w:szCs w:val="6"/>
                <w:color w:val="auto"/>
                <w:w w:val="72"/>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5,100</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4,933</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5,338</w:t>
            </w:r>
          </w:p>
        </w:tc>
        <w:tc>
          <w:tcPr>
            <w:tcW w:w="5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10,521</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11,061</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7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182</w:t>
            </w:r>
          </w:p>
        </w:tc>
        <w:tc>
          <w:tcPr>
            <w:tcW w:w="5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360</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365</w:t>
            </w:r>
          </w:p>
        </w:tc>
        <w:tc>
          <w:tcPr>
            <w:tcW w:w="0" w:type="dxa"/>
            <w:vAlign w:val="bottom"/>
          </w:tcPr>
          <w:p>
            <w:pPr>
              <w:spacing w:after="0"/>
              <w:rPr>
                <w:sz w:val="1"/>
                <w:szCs w:val="1"/>
                <w:color w:val="auto"/>
              </w:rPr>
            </w:pPr>
          </w:p>
        </w:tc>
      </w:tr>
      <w:tr>
        <w:trPr>
          <w:trHeight w:val="168"/>
        </w:trPr>
        <w:tc>
          <w:tcPr>
            <w:tcW w:w="37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OPERATING NONINTEREST EXPENSE</w:t>
            </w:r>
          </w:p>
        </w:tc>
        <w:tc>
          <w:tcPr>
            <w:tcW w:w="760" w:type="dxa"/>
            <w:vAlign w:val="bottom"/>
          </w:tcPr>
          <w:p>
            <w:pPr>
              <w:ind w:left="480"/>
              <w:spacing w:after="0"/>
              <w:rPr>
                <w:sz w:val="20"/>
                <w:szCs w:val="20"/>
                <w:color w:val="auto"/>
              </w:rPr>
            </w:pPr>
            <w:r>
              <w:rPr>
                <w:rFonts w:ascii="Courier New" w:cs="Courier New" w:eastAsia="Courier New" w:hAnsi="Courier New"/>
                <w:sz w:val="6"/>
                <w:szCs w:val="6"/>
                <w:color w:val="auto"/>
                <w:w w:val="72"/>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5,283</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5,025</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5,520</w:t>
            </w:r>
          </w:p>
        </w:tc>
        <w:tc>
          <w:tcPr>
            <w:tcW w:w="5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10,881</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10,378</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11,426</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and Restructuring Costs</w:t>
            </w:r>
          </w:p>
        </w:tc>
        <w:tc>
          <w:tcPr>
            <w:tcW w:w="7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w:t>
            </w:r>
          </w:p>
        </w:tc>
        <w:tc>
          <w:tcPr>
            <w:tcW w:w="1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5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806</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37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REPORTED NONINTEREST EXPENSE</w:t>
            </w:r>
          </w:p>
        </w:tc>
        <w:tc>
          <w:tcPr>
            <w:tcW w:w="760" w:type="dxa"/>
            <w:vAlign w:val="bottom"/>
            <w:vMerge w:val="restart"/>
          </w:tcPr>
          <w:p>
            <w:pPr>
              <w:ind w:left="48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5,761</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5,075</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5,570</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11,476</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5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Overhead Ratio (b)</w:t>
            </w:r>
          </w:p>
        </w:tc>
        <w:tc>
          <w:tcPr>
            <w:tcW w:w="7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22"/>
                <w:szCs w:val="22"/>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22"/>
                <w:szCs w:val="22"/>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4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Cash Operating Overhead Ratio (b)</w:t>
            </w:r>
          </w:p>
        </w:tc>
        <w:tc>
          <w:tcPr>
            <w:tcW w:w="760" w:type="dxa"/>
            <w:vAlign w:val="bottom"/>
          </w:tcPr>
          <w:p>
            <w:pPr>
              <w:spacing w:after="0"/>
              <w:rPr>
                <w:sz w:val="16"/>
                <w:szCs w:val="16"/>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6"/>
                <w:szCs w:val="16"/>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60</w:t>
            </w:r>
          </w:p>
        </w:tc>
        <w:tc>
          <w:tcPr>
            <w:tcW w:w="140" w:type="dxa"/>
            <w:vAlign w:val="bottom"/>
          </w:tcPr>
          <w:p>
            <w:pPr>
              <w:spacing w:after="0"/>
              <w:rPr>
                <w:sz w:val="16"/>
                <w:szCs w:val="16"/>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w:t>
            </w:r>
          </w:p>
        </w:tc>
        <w:tc>
          <w:tcPr>
            <w:tcW w:w="52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w:t>
            </w:r>
          </w:p>
        </w:tc>
        <w:tc>
          <w:tcPr>
            <w:tcW w:w="140" w:type="dxa"/>
            <w:vAlign w:val="bottom"/>
          </w:tcPr>
          <w:p>
            <w:pPr>
              <w:spacing w:after="0"/>
              <w:rPr>
                <w:sz w:val="16"/>
                <w:szCs w:val="16"/>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16"/>
                <w:szCs w:val="16"/>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p>
      <w:pPr>
        <w:ind w:left="440" w:right="4620" w:hanging="430"/>
        <w:spacing w:after="0" w:line="255"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expense treats the purchase of Flemings as if it had occurred at the beginning of 2000.</w:t>
      </w:r>
    </w:p>
    <w:p>
      <w:pPr>
        <w:spacing w:after="0" w:line="1" w:lineRule="exact"/>
        <w:rPr>
          <w:rFonts w:ascii="Courier New" w:cs="Courier New" w:eastAsia="Courier New" w:hAnsi="Courier New"/>
          <w:sz w:val="15"/>
          <w:szCs w:val="15"/>
          <w:color w:val="auto"/>
        </w:rPr>
      </w:pPr>
    </w:p>
    <w:p>
      <w:pPr>
        <w:ind w:left="440" w:right="4880" w:hanging="430"/>
        <w:spacing w:after="0" w:line="254"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overhead ratio is defined as noninterest expense as a percentage of total operating revenue (excluding merger and restructuring costs and</w:t>
      </w:r>
    </w:p>
    <w:p>
      <w:pPr>
        <w:spacing w:after="0" w:line="1" w:lineRule="exact"/>
        <w:rPr>
          <w:sz w:val="20"/>
          <w:szCs w:val="20"/>
          <w:color w:val="auto"/>
        </w:rPr>
      </w:pPr>
    </w:p>
    <w:p>
      <w:pPr>
        <w:ind w:left="440" w:right="4800"/>
        <w:spacing w:after="0" w:line="237" w:lineRule="auto"/>
        <w:rPr>
          <w:sz w:val="20"/>
          <w:szCs w:val="20"/>
          <w:color w:val="auto"/>
        </w:rPr>
      </w:pPr>
      <w:r>
        <w:rPr>
          <w:rFonts w:ascii="Courier New" w:cs="Courier New" w:eastAsia="Courier New" w:hAnsi="Courier New"/>
          <w:sz w:val="15"/>
          <w:szCs w:val="15"/>
          <w:color w:val="auto"/>
        </w:rPr>
        <w:t>special items). The cash overhead ratio also excludes the impact of the amortization of intangibles.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EXPENSE</w:t>
      </w:r>
    </w:p>
    <w:p>
      <w:pPr>
        <w:spacing w:after="0" w:line="166" w:lineRule="exact"/>
        <w:rPr>
          <w:sz w:val="20"/>
          <w:szCs w:val="20"/>
          <w:color w:val="auto"/>
        </w:rPr>
      </w:pPr>
    </w:p>
    <w:p>
      <w:pPr>
        <w:ind w:right="4620"/>
        <w:spacing w:after="0" w:line="255" w:lineRule="auto"/>
        <w:rPr>
          <w:sz w:val="20"/>
          <w:szCs w:val="20"/>
          <w:color w:val="auto"/>
        </w:rPr>
      </w:pPr>
      <w:r>
        <w:rPr>
          <w:rFonts w:ascii="Courier New" w:cs="Courier New" w:eastAsia="Courier New" w:hAnsi="Courier New"/>
          <w:sz w:val="15"/>
          <w:szCs w:val="15"/>
          <w:color w:val="auto"/>
        </w:rPr>
        <w:t>Compensation expense rose 3% from the 2000 second quarter and 2% from the first half of last year. The increases were attributable to the additions of Flemings and the mortgage business of Advanta. Partially offsetting the increases were the effect of headcount reductions, in particular in the Investment Bank and Investment Management &amp; Private Banking, and lower incentive costs as a result of the decrease in revenues. Further reductions in headcount are anticipated during the rest of the year and in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FULL-TIME EQUIVALENT EMPLOYEES</w:t>
            </w:r>
          </w:p>
        </w:tc>
        <w:tc>
          <w:tcPr>
            <w:tcW w:w="2700" w:type="dxa"/>
            <w:vAlign w:val="bottom"/>
          </w:tcPr>
          <w:p>
            <w:pPr>
              <w:spacing w:after="0"/>
              <w:rPr>
                <w:sz w:val="14"/>
                <w:szCs w:val="14"/>
                <w:color w:val="auto"/>
              </w:rPr>
            </w:pPr>
          </w:p>
        </w:tc>
        <w:tc>
          <w:tcPr>
            <w:tcW w:w="188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9"/>
              </w:rPr>
              <w:t>JUNE 30,</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4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2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2001</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Domestic Offices</w:t>
            </w:r>
          </w:p>
        </w:tc>
        <w:tc>
          <w:tcPr>
            <w:tcW w:w="2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58,369</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56,351</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Offices</w:t>
            </w:r>
          </w:p>
        </w:tc>
        <w:tc>
          <w:tcPr>
            <w:tcW w:w="2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38,855</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33,849</w:t>
            </w:r>
          </w:p>
        </w:tc>
        <w:tc>
          <w:tcPr>
            <w:tcW w:w="0" w:type="dxa"/>
            <w:vAlign w:val="bottom"/>
          </w:tcPr>
          <w:p>
            <w:pPr>
              <w:spacing w:after="0"/>
              <w:rPr>
                <w:sz w:val="1"/>
                <w:szCs w:val="1"/>
                <w:color w:val="auto"/>
              </w:rPr>
            </w:pPr>
          </w:p>
        </w:tc>
      </w:tr>
      <w:tr>
        <w:trPr>
          <w:trHeight w:val="168"/>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Total Full-Time Equivalent Employees</w:t>
            </w:r>
          </w:p>
        </w:tc>
        <w:tc>
          <w:tcPr>
            <w:tcW w:w="27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97,224</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2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90,200</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2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right="5400"/>
        <w:spacing w:after="0" w:line="344" w:lineRule="auto"/>
        <w:rPr>
          <w:sz w:val="20"/>
          <w:szCs w:val="20"/>
          <w:color w:val="auto"/>
        </w:rPr>
      </w:pPr>
      <w:r>
        <w:rPr>
          <w:rFonts w:ascii="Courier New" w:cs="Courier New" w:eastAsia="Courier New" w:hAnsi="Courier New"/>
          <w:sz w:val="15"/>
          <w:szCs w:val="15"/>
          <w:color w:val="auto"/>
        </w:rPr>
        <w:t>The increase in full-time equivalent employees was attributable to the acquisition of Flemings and the mortgage business of Advanta.</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OCCUPANCY EXPENSE</w:t>
      </w:r>
    </w:p>
    <w:p>
      <w:pPr>
        <w:spacing w:after="0" w:line="166" w:lineRule="exact"/>
        <w:rPr>
          <w:sz w:val="20"/>
          <w:szCs w:val="20"/>
          <w:color w:val="auto"/>
        </w:rPr>
      </w:pPr>
    </w:p>
    <w:p>
      <w:pPr>
        <w:ind w:right="4540"/>
        <w:spacing w:after="0" w:line="287" w:lineRule="auto"/>
        <w:rPr>
          <w:sz w:val="20"/>
          <w:szCs w:val="20"/>
          <w:color w:val="auto"/>
        </w:rPr>
      </w:pPr>
      <w:r>
        <w:rPr>
          <w:rFonts w:ascii="Courier New" w:cs="Courier New" w:eastAsia="Courier New" w:hAnsi="Courier New"/>
          <w:sz w:val="14"/>
          <w:szCs w:val="14"/>
          <w:color w:val="auto"/>
        </w:rPr>
        <w:t>The increases from the second quarter and first half of last year reflected Flemings, as well as growing occupancy requirements of Investment Bank, IMPB and T&amp;SS. Also contributing to the increases were higher leasing costs for several locations. These increases were partially offset by the impact of relocations of certain T&amp;SS operations from the New York area to the South and Southwest.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COMMUNICATIONS</w:t>
      </w:r>
    </w:p>
    <w:p>
      <w:pPr>
        <w:spacing w:after="0" w:line="166" w:lineRule="exact"/>
        <w:rPr>
          <w:sz w:val="20"/>
          <w:szCs w:val="20"/>
          <w:color w:val="auto"/>
        </w:rPr>
      </w:pPr>
    </w:p>
    <w:p>
      <w:pPr>
        <w:ind w:right="4700"/>
        <w:spacing w:after="0" w:line="287" w:lineRule="auto"/>
        <w:rPr>
          <w:sz w:val="20"/>
          <w:szCs w:val="20"/>
          <w:color w:val="auto"/>
        </w:rPr>
      </w:pPr>
      <w:r>
        <w:rPr>
          <w:rFonts w:ascii="Courier New" w:cs="Courier New" w:eastAsia="Courier New" w:hAnsi="Courier New"/>
          <w:sz w:val="14"/>
          <w:szCs w:val="14"/>
          <w:color w:val="auto"/>
        </w:rPr>
        <w:t>Technology and Communications expense rose from both the second quarter and first half of 2000, primarily due to the addition of Flemings and the depreciation of more sophisticated hardware systems and software applications throughout the Firm. The increases also were attributable to higher leasing of and maintenance expenses for advanced computer and other office equipment.</w:t>
      </w:r>
    </w:p>
    <w:p>
      <w:pPr>
        <w:sectPr>
          <w:pgSz w:w="11900" w:h="16838" w:orient="portrait"/>
          <w:cols w:equalWidth="0" w:num="1">
            <w:col w:w="11540"/>
          </w:cols>
          <w:pgMar w:left="220" w:top="261" w:right="139" w:bottom="0" w:gutter="0" w:footer="0" w:header="0"/>
        </w:sectPr>
      </w:pPr>
    </w:p>
    <w:p>
      <w:pPr>
        <w:spacing w:after="0" w:line="22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540"/>
          </w:cols>
          <w:pgMar w:left="220" w:top="261" w:right="139" w:bottom="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33</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w:t>
      </w:r>
    </w:p>
    <w:p>
      <w:pPr>
        <w:spacing w:after="0" w:line="166" w:lineRule="exact"/>
        <w:rPr>
          <w:sz w:val="20"/>
          <w:szCs w:val="20"/>
          <w:color w:val="auto"/>
        </w:rPr>
      </w:pPr>
    </w:p>
    <w:p>
      <w:pPr>
        <w:ind w:right="4380"/>
        <w:spacing w:after="0" w:line="344" w:lineRule="auto"/>
        <w:rPr>
          <w:sz w:val="20"/>
          <w:szCs w:val="20"/>
          <w:color w:val="auto"/>
        </w:rPr>
      </w:pPr>
      <w:r>
        <w:rPr>
          <w:rFonts w:ascii="Courier New" w:cs="Courier New" w:eastAsia="Courier New" w:hAnsi="Courier New"/>
          <w:sz w:val="15"/>
          <w:szCs w:val="15"/>
          <w:color w:val="auto"/>
        </w:rPr>
        <w:t>Other expense declined 5% from the second quarter and 1% from the first half of 2000. The following table presents the components of other expense.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980" w:type="dxa"/>
            <w:vAlign w:val="bottom"/>
          </w:tcPr>
          <w:p>
            <w:pPr>
              <w:spacing w:after="0"/>
              <w:rPr>
                <w:sz w:val="14"/>
                <w:szCs w:val="14"/>
                <w:color w:val="auto"/>
              </w:rPr>
            </w:pPr>
          </w:p>
        </w:tc>
        <w:tc>
          <w:tcPr>
            <w:tcW w:w="236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SECOND QUARTER</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SIX MONTHS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1980" w:type="dxa"/>
            <w:vAlign w:val="bottom"/>
          </w:tcPr>
          <w:p>
            <w:pPr>
              <w:ind w:left="1620"/>
              <w:spacing w:after="0"/>
              <w:rPr>
                <w:sz w:val="20"/>
                <w:szCs w:val="20"/>
                <w:color w:val="auto"/>
              </w:rPr>
            </w:pPr>
            <w:r>
              <w:rPr>
                <w:rFonts w:ascii="Courier New" w:cs="Courier New" w:eastAsia="Courier New" w:hAnsi="Courier New"/>
                <w:sz w:val="2"/>
                <w:szCs w:val="2"/>
                <w:color w:val="auto"/>
                <w:w w:val="97"/>
              </w:rPr>
              <w:t>-----------------------------</w:t>
            </w:r>
          </w:p>
        </w:tc>
        <w:tc>
          <w:tcPr>
            <w:tcW w:w="8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2001</w:t>
            </w:r>
          </w:p>
        </w:tc>
        <w:tc>
          <w:tcPr>
            <w:tcW w:w="480" w:type="dxa"/>
            <w:vAlign w:val="bottom"/>
          </w:tcPr>
          <w:p>
            <w:pPr>
              <w:spacing w:after="0"/>
              <w:rPr>
                <w:sz w:val="14"/>
                <w:szCs w:val="14"/>
                <w:color w:val="auto"/>
              </w:rPr>
            </w:pPr>
          </w:p>
        </w:tc>
        <w:tc>
          <w:tcPr>
            <w:tcW w:w="10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28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280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Professional Services</w:t>
            </w:r>
          </w:p>
        </w:tc>
        <w:tc>
          <w:tcPr>
            <w:tcW w:w="198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288</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c>
          <w:tcPr>
            <w:tcW w:w="9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563</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Outside Services</w:t>
            </w:r>
          </w:p>
        </w:tc>
        <w:tc>
          <w:tcPr>
            <w:tcW w:w="19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157</w:t>
            </w:r>
          </w:p>
        </w:tc>
        <w:tc>
          <w:tcPr>
            <w:tcW w:w="5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w:t>
            </w:r>
          </w:p>
        </w:tc>
        <w:tc>
          <w:tcPr>
            <w:tcW w:w="9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w:t>
            </w:r>
          </w:p>
        </w:tc>
        <w:tc>
          <w:tcPr>
            <w:tcW w:w="19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w:t>
            </w:r>
          </w:p>
        </w:tc>
        <w:tc>
          <w:tcPr>
            <w:tcW w:w="5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w:t>
            </w:r>
          </w:p>
        </w:tc>
        <w:tc>
          <w:tcPr>
            <w:tcW w:w="9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Travel and Entertainment</w:t>
            </w:r>
          </w:p>
        </w:tc>
        <w:tc>
          <w:tcPr>
            <w:tcW w:w="19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w:t>
            </w:r>
          </w:p>
        </w:tc>
        <w:tc>
          <w:tcPr>
            <w:tcW w:w="5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w:t>
            </w:r>
          </w:p>
        </w:tc>
        <w:tc>
          <w:tcPr>
            <w:tcW w:w="9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 Other</w:t>
            </w:r>
          </w:p>
        </w:tc>
        <w:tc>
          <w:tcPr>
            <w:tcW w:w="19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312</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397</w:t>
            </w:r>
          </w:p>
        </w:tc>
        <w:tc>
          <w:tcPr>
            <w:tcW w:w="5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w:t>
            </w:r>
          </w:p>
        </w:tc>
        <w:tc>
          <w:tcPr>
            <w:tcW w:w="9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759</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OTHER EXPENSE</w:t>
            </w:r>
          </w:p>
        </w:tc>
        <w:tc>
          <w:tcPr>
            <w:tcW w:w="1980" w:type="dxa"/>
            <w:vAlign w:val="bottom"/>
            <w:vMerge w:val="restart"/>
          </w:tcPr>
          <w:p>
            <w:pPr>
              <w:ind w:left="162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1,047</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1,099</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2,109</w:t>
            </w:r>
          </w:p>
        </w:tc>
        <w:tc>
          <w:tcPr>
            <w:tcW w:w="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2,131</w:t>
            </w: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440" w:right="4120" w:hanging="430"/>
        <w:spacing w:after="0" w:line="249"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PROFESSIONAL SERVICES for the first half of 2001 was mainly driven by higher applications and systems consulting services to support various business-related projects.</w:t>
      </w:r>
    </w:p>
    <w:p>
      <w:pPr>
        <w:spacing w:after="0" w:line="1" w:lineRule="exact"/>
        <w:rPr>
          <w:rFonts w:ascii="Courier New" w:cs="Courier New" w:eastAsia="Courier New" w:hAnsi="Courier New"/>
          <w:sz w:val="15"/>
          <w:szCs w:val="15"/>
          <w:color w:val="auto"/>
        </w:rPr>
      </w:pPr>
    </w:p>
    <w:p>
      <w:pPr>
        <w:ind w:left="440" w:right="4120" w:hanging="430"/>
        <w:spacing w:after="0" w:line="237"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SERVICES increased in both periods of 2001, primarily due to higher outside data processing fees related to the rise in volume of activities at Home Finance and Investor Services.</w:t>
      </w:r>
    </w:p>
    <w:p>
      <w:pPr>
        <w:spacing w:after="0" w:line="1" w:lineRule="exact"/>
        <w:rPr>
          <w:rFonts w:ascii="Courier New" w:cs="Courier New" w:eastAsia="Courier New" w:hAnsi="Courier New"/>
          <w:sz w:val="15"/>
          <w:szCs w:val="15"/>
          <w:color w:val="auto"/>
        </w:rPr>
      </w:pPr>
    </w:p>
    <w:p>
      <w:pPr>
        <w:ind w:left="440" w:right="4300" w:hanging="430"/>
        <w:spacing w:after="0" w:line="237"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expense rose for the six months of 2001, principally due to the branding campaigns to introduce the new Firm, coupled with more active efforts to reach retail customers nationwide, particularly for the credit card business.</w:t>
      </w:r>
    </w:p>
    <w:p>
      <w:pPr>
        <w:spacing w:after="0" w:line="1"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increase in TRAVEL AND ENTERTAINMENT in both periods of 2001 reflected</w:t>
      </w:r>
    </w:p>
    <w:p>
      <w:pPr>
        <w:ind w:left="440" w:right="44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higher travel and hotel expenses in connection with global businesses generated by the Investment Bank, coupled with nonreservable activities related to the merger.</w:t>
      </w:r>
    </w:p>
    <w:p>
      <w:pPr>
        <w:spacing w:after="0" w:line="1" w:lineRule="exact"/>
        <w:rPr>
          <w:rFonts w:ascii="Courier New" w:cs="Courier New" w:eastAsia="Courier New" w:hAnsi="Courier New"/>
          <w:sz w:val="15"/>
          <w:szCs w:val="15"/>
          <w:color w:val="auto"/>
        </w:rPr>
      </w:pPr>
    </w:p>
    <w:p>
      <w:pPr>
        <w:ind w:left="440" w:right="4120" w:hanging="430"/>
        <w:spacing w:after="0" w:line="300"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declines in ALL OTHER expense of 21% for the second quarter and 14% for the first half of 2001 were partly the result of decreases in recruitment costs associated with the reduced requirements across the Firm.</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INTANGIBLES</w:t>
      </w:r>
    </w:p>
    <w:p>
      <w:pPr>
        <w:spacing w:after="0" w:line="166" w:lineRule="exact"/>
        <w:rPr>
          <w:sz w:val="20"/>
          <w:szCs w:val="20"/>
          <w:color w:val="auto"/>
        </w:rPr>
      </w:pPr>
    </w:p>
    <w:p>
      <w:pPr>
        <w:ind w:right="4560"/>
        <w:spacing w:after="0" w:line="290" w:lineRule="auto"/>
        <w:rPr>
          <w:sz w:val="20"/>
          <w:szCs w:val="20"/>
          <w:color w:val="auto"/>
        </w:rPr>
      </w:pPr>
      <w:r>
        <w:rPr>
          <w:rFonts w:ascii="Courier New" w:cs="Courier New" w:eastAsia="Courier New" w:hAnsi="Courier New"/>
          <w:sz w:val="15"/>
          <w:szCs w:val="15"/>
          <w:color w:val="auto"/>
        </w:rPr>
        <w:t>The increases in amortization of intangibles over both periods in 2000 were attributable to the acquisitions of Flemings and The Beacon Group, LLC in the third quarter of 2000.</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AND RESTRUCTURING COSTS</w:t>
      </w:r>
    </w:p>
    <w:p>
      <w:pPr>
        <w:spacing w:after="0" w:line="166" w:lineRule="exact"/>
        <w:rPr>
          <w:sz w:val="20"/>
          <w:szCs w:val="20"/>
          <w:color w:val="auto"/>
        </w:rPr>
      </w:pPr>
    </w:p>
    <w:p>
      <w:pPr>
        <w:ind w:right="4300"/>
        <w:spacing w:after="0" w:line="252" w:lineRule="auto"/>
        <w:rPr>
          <w:sz w:val="20"/>
          <w:szCs w:val="20"/>
          <w:color w:val="auto"/>
        </w:rPr>
      </w:pPr>
      <w:r>
        <w:rPr>
          <w:rFonts w:ascii="Courier New" w:cs="Courier New" w:eastAsia="Courier New" w:hAnsi="Courier New"/>
          <w:sz w:val="15"/>
          <w:szCs w:val="15"/>
          <w:color w:val="auto"/>
        </w:rPr>
        <w:t>The Firm incurred $478 million of restructuring costs in the second quarter of 2001 related to previously announced merger actions and relocation and other business initiatives ($405 million and $73 million, respectively). Under current accounting pronouncements, these costs (primarily systems integration costs, facilities costs and retention payments) are not recognized until incurred. For a further discussion of JPMorgan Chase's merger and restructuring costs, refer to Note 4 of this Form 10-Q and Note 7 and page 42 of JPMorgan Chase's 2000 Annual Report.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COSTS</w:t>
      </w:r>
    </w:p>
    <w:p>
      <w:pPr>
        <w:spacing w:after="0" w:line="166" w:lineRule="exact"/>
        <w:rPr>
          <w:sz w:val="20"/>
          <w:szCs w:val="20"/>
          <w:color w:val="auto"/>
        </w:rPr>
      </w:pPr>
    </w:p>
    <w:p>
      <w:pPr>
        <w:ind w:right="4300"/>
        <w:spacing w:after="0" w:line="290" w:lineRule="auto"/>
        <w:rPr>
          <w:sz w:val="20"/>
          <w:szCs w:val="20"/>
          <w:color w:val="auto"/>
        </w:rPr>
      </w:pPr>
      <w:r>
        <w:rPr>
          <w:rFonts w:ascii="Courier New" w:cs="Courier New" w:eastAsia="Courier New" w:hAnsi="Courier New"/>
          <w:sz w:val="15"/>
          <w:szCs w:val="15"/>
          <w:color w:val="auto"/>
        </w:rPr>
        <w:t>Credit costs on an operating basis are composed of the provision for loan losses related to loans on the Consolidated Balance Sheet and to the credit costs associated with credit card receivables that have been securitized.</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340" w:type="dxa"/>
            <w:vAlign w:val="bottom"/>
          </w:tcPr>
          <w:p>
            <w:pPr>
              <w:spacing w:after="0"/>
              <w:rPr>
                <w:sz w:val="14"/>
                <w:szCs w:val="14"/>
                <w:color w:val="auto"/>
              </w:rPr>
            </w:pPr>
          </w:p>
        </w:tc>
        <w:tc>
          <w:tcPr>
            <w:tcW w:w="2580" w:type="dxa"/>
            <w:vAlign w:val="bottom"/>
            <w:gridSpan w:val="3"/>
          </w:tcPr>
          <w:p>
            <w:pPr>
              <w:jc w:val="right"/>
              <w:ind w:right="1107"/>
              <w:spacing w:after="0"/>
              <w:rPr>
                <w:sz w:val="20"/>
                <w:szCs w:val="20"/>
                <w:color w:val="auto"/>
              </w:rPr>
            </w:pPr>
            <w:r>
              <w:rPr>
                <w:rFonts w:ascii="Courier New" w:cs="Courier New" w:eastAsia="Courier New" w:hAnsi="Courier New"/>
                <w:sz w:val="15"/>
                <w:szCs w:val="15"/>
                <w:color w:val="auto"/>
              </w:rPr>
              <w:t>SECOND QUARTER</w:t>
            </w:r>
          </w:p>
        </w:tc>
        <w:tc>
          <w:tcPr>
            <w:tcW w:w="92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1340" w:type="dxa"/>
            <w:vAlign w:val="bottom"/>
          </w:tcPr>
          <w:p>
            <w:pPr>
              <w:ind w:left="920"/>
              <w:spacing w:after="0"/>
              <w:rPr>
                <w:sz w:val="20"/>
                <w:szCs w:val="20"/>
                <w:color w:val="auto"/>
              </w:rPr>
            </w:pPr>
            <w:r>
              <w:rPr>
                <w:rFonts w:ascii="Courier New" w:cs="Courier New" w:eastAsia="Courier New" w:hAnsi="Courier New"/>
                <w:sz w:val="3"/>
                <w:szCs w:val="3"/>
                <w:color w:val="auto"/>
                <w:w w:val="82"/>
              </w:rPr>
              <w:t>---------------------------</w:t>
            </w:r>
          </w:p>
        </w:tc>
        <w:tc>
          <w:tcPr>
            <w:tcW w:w="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4"/>
              </w:rPr>
              <w:t>2001</w:t>
            </w:r>
          </w:p>
        </w:tc>
        <w:tc>
          <w:tcPr>
            <w:tcW w:w="520" w:type="dxa"/>
            <w:vAlign w:val="bottom"/>
          </w:tcPr>
          <w:p>
            <w:pPr>
              <w:spacing w:after="0"/>
              <w:rPr>
                <w:sz w:val="14"/>
                <w:szCs w:val="14"/>
                <w:color w:val="auto"/>
              </w:rPr>
            </w:pPr>
          </w:p>
        </w:tc>
        <w:tc>
          <w:tcPr>
            <w:tcW w:w="1400" w:type="dxa"/>
            <w:vAlign w:val="bottom"/>
            <w:vMerge w:val="restart"/>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3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1"/>
                <w:szCs w:val="21"/>
                <w:color w:val="auto"/>
              </w:rPr>
            </w:pPr>
          </w:p>
        </w:tc>
        <w:tc>
          <w:tcPr>
            <w:tcW w:w="2000" w:type="dxa"/>
            <w:vAlign w:val="bottom"/>
            <w:gridSpan w:val="2"/>
          </w:tcPr>
          <w:p>
            <w:pPr>
              <w:ind w:left="920"/>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134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525</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328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Costs Associated with</w:t>
            </w:r>
          </w:p>
        </w:tc>
        <w:tc>
          <w:tcPr>
            <w:tcW w:w="1340" w:type="dxa"/>
            <w:vAlign w:val="bottom"/>
          </w:tcPr>
          <w:p>
            <w:pPr>
              <w:spacing w:after="0"/>
              <w:rPr>
                <w:sz w:val="14"/>
                <w:szCs w:val="14"/>
                <w:color w:val="auto"/>
              </w:rPr>
            </w:pPr>
          </w:p>
        </w:tc>
        <w:tc>
          <w:tcPr>
            <w:tcW w:w="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273</w:t>
            </w:r>
          </w:p>
        </w:tc>
        <w:tc>
          <w:tcPr>
            <w:tcW w:w="520" w:type="dxa"/>
            <w:vAlign w:val="bottom"/>
          </w:tcPr>
          <w:p>
            <w:pPr>
              <w:spacing w:after="0"/>
              <w:rPr>
                <w:sz w:val="14"/>
                <w:szCs w:val="14"/>
                <w:color w:val="auto"/>
              </w:rPr>
            </w:pPr>
          </w:p>
        </w:tc>
        <w:tc>
          <w:tcPr>
            <w:tcW w:w="1400" w:type="dxa"/>
            <w:vAlign w:val="bottom"/>
            <w:vMerge w:val="restart"/>
          </w:tcPr>
          <w:p>
            <w:pPr>
              <w:jc w:val="right"/>
              <w:ind w:right="847"/>
              <w:spacing w:after="0"/>
              <w:rPr>
                <w:sz w:val="20"/>
                <w:szCs w:val="20"/>
                <w:color w:val="auto"/>
              </w:rPr>
            </w:pPr>
            <w:r>
              <w:rPr>
                <w:rFonts w:ascii="Courier New" w:cs="Courier New" w:eastAsia="Courier New" w:hAnsi="Courier New"/>
                <w:sz w:val="15"/>
                <w:szCs w:val="15"/>
                <w:color w:val="auto"/>
              </w:rPr>
              <w:t>242</w:t>
            </w:r>
          </w:p>
        </w:tc>
        <w:tc>
          <w:tcPr>
            <w:tcW w:w="920" w:type="dxa"/>
            <w:vAlign w:val="bottom"/>
          </w:tcPr>
          <w:p>
            <w:pPr>
              <w:spacing w:after="0"/>
              <w:rPr>
                <w:sz w:val="14"/>
                <w:szCs w:val="14"/>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514</w:t>
            </w:r>
          </w:p>
        </w:tc>
        <w:tc>
          <w:tcPr>
            <w:tcW w:w="5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496</w:t>
            </w: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Credit Card Securitizations</w:t>
            </w:r>
          </w:p>
        </w:tc>
        <w:tc>
          <w:tcPr>
            <w:tcW w:w="13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Credit Costs</w:t>
            </w:r>
          </w:p>
        </w:tc>
        <w:tc>
          <w:tcPr>
            <w:tcW w:w="1340" w:type="dxa"/>
            <w:vAlign w:val="bottom"/>
            <w:vMerge w:val="restart"/>
          </w:tcPr>
          <w:p>
            <w:pPr>
              <w:ind w:left="920"/>
              <w:spacing w:after="0"/>
              <w:rPr>
                <w:sz w:val="20"/>
                <w:szCs w:val="20"/>
                <w:color w:val="auto"/>
              </w:rPr>
            </w:pPr>
            <w:r>
              <w:rPr>
                <w:rFonts w:ascii="Courier New" w:cs="Courier New" w:eastAsia="Courier New" w:hAnsi="Courier New"/>
                <w:sz w:val="14"/>
                <w:szCs w:val="14"/>
                <w:color w:val="auto"/>
                <w:w w:val="73"/>
                <w:vertAlign w:val="subscript"/>
              </w:rPr>
              <w:t>$</w:t>
            </w:r>
            <w:r>
              <w:rPr>
                <w:rFonts w:ascii="Courier New" w:cs="Courier New" w:eastAsia="Courier New" w:hAnsi="Courier New"/>
                <w:sz w:val="9"/>
                <w:szCs w:val="9"/>
                <w:color w:val="auto"/>
                <w:w w:val="73"/>
              </w:rPr>
              <w:t>---------</w:t>
            </w:r>
          </w:p>
        </w:tc>
        <w:tc>
          <w:tcPr>
            <w:tcW w:w="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798</w:t>
            </w:r>
          </w:p>
        </w:tc>
        <w:tc>
          <w:tcPr>
            <w:tcW w:w="192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570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1,166</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2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right="4300"/>
        <w:spacing w:after="0" w:line="287" w:lineRule="auto"/>
        <w:rPr>
          <w:sz w:val="20"/>
          <w:szCs w:val="20"/>
          <w:color w:val="auto"/>
        </w:rPr>
      </w:pPr>
      <w:r>
        <w:rPr>
          <w:rFonts w:ascii="Courier New" w:cs="Courier New" w:eastAsia="Courier New" w:hAnsi="Courier New"/>
          <w:sz w:val="14"/>
          <w:szCs w:val="14"/>
          <w:color w:val="auto"/>
        </w:rPr>
        <w:t>Credit costs in the second quarter and six months of 2001 increased $228 million and $320 million, respectively, as a result of increases in charge-offs in the commercial loan portfolios, primarily in the telecommunications industry, and in the consumer loan portfolio due to increased bankruptcies. See page 39 of this Form 10-Q for a discussion of the allowance for credit losses.</w:t>
      </w:r>
    </w:p>
    <w:p>
      <w:pPr>
        <w:sectPr>
          <w:pgSz w:w="11900" w:h="16838" w:orient="portrait"/>
          <w:cols w:equalWidth="0" w:num="1">
            <w:col w:w="11300"/>
          </w:cols>
          <w:pgMar w:left="220" w:top="261" w:right="379" w:bottom="0" w:gutter="0" w:footer="0" w:header="0"/>
        </w:sectPr>
      </w:pPr>
    </w:p>
    <w:p>
      <w:pPr>
        <w:spacing w:after="0" w:line="39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300"/>
          </w:cols>
          <w:pgMar w:left="220" w:top="261" w:right="379" w:bottom="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right="4620"/>
        <w:spacing w:after="0" w:line="255" w:lineRule="auto"/>
        <w:rPr>
          <w:sz w:val="20"/>
          <w:szCs w:val="20"/>
          <w:color w:val="auto"/>
        </w:rPr>
      </w:pPr>
      <w:r>
        <w:rPr>
          <w:rFonts w:ascii="Courier New" w:cs="Courier New" w:eastAsia="Courier New" w:hAnsi="Courier New"/>
          <w:sz w:val="15"/>
          <w:szCs w:val="15"/>
          <w:color w:val="auto"/>
        </w:rPr>
        <w:t>JPMorgan Chase recognized income tax expense of $207 million in the second quarter of 2001 compared with $863 million in the second quarter of 2000. For the first half of 2001, JPMorgan Chase recorded income tax expense of $863 million, compared with $1,949 million for the first half of 2000. The effective tax rates were 35.4% in the second quarter of 2001 and 35.0% in the first half of 2001, compared with 34.6% and 35.0% in the second quarter of 2000 and first half of 2000, respectively.</w:t>
      </w:r>
    </w:p>
    <w:p>
      <w:pPr>
        <w:spacing w:after="0" w:line="82" w:lineRule="exact"/>
        <w:rPr>
          <w:sz w:val="20"/>
          <w:szCs w:val="20"/>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RISK MANAGEMENT</w:t>
      </w: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4540"/>
        <w:spacing w:after="0" w:line="258" w:lineRule="auto"/>
        <w:rPr>
          <w:sz w:val="20"/>
          <w:szCs w:val="20"/>
          <w:color w:val="auto"/>
        </w:rPr>
      </w:pPr>
      <w:r>
        <w:rPr>
          <w:rFonts w:ascii="Courier New" w:cs="Courier New" w:eastAsia="Courier New" w:hAnsi="Courier New"/>
          <w:sz w:val="15"/>
          <w:szCs w:val="15"/>
          <w:color w:val="auto"/>
        </w:rPr>
        <w:t>JPMorgan Chase is in the business of managing risk to create shareholder value. The major risks to which the Firm is exposed are credit, market, operational and liquidity risk. For a discussion of these risks and definition of terms associated with managing these risks, please refer to the Glossary of Terms on page 50 of this Form 10-Q and pages 43-59 of JPMorgan Chase's 2000 Annual Report.</w:t>
      </w:r>
    </w:p>
    <w:p>
      <w:pPr>
        <w:spacing w:after="0" w:line="81"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CREDIT RISK MANAGEMENT</w:t>
      </w: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4980"/>
        <w:spacing w:after="0" w:line="290" w:lineRule="auto"/>
        <w:rPr>
          <w:sz w:val="20"/>
          <w:szCs w:val="20"/>
          <w:color w:val="auto"/>
        </w:rPr>
      </w:pPr>
      <w:r>
        <w:rPr>
          <w:rFonts w:ascii="Courier New" w:cs="Courier New" w:eastAsia="Courier New" w:hAnsi="Courier New"/>
          <w:sz w:val="15"/>
          <w:szCs w:val="15"/>
          <w:color w:val="auto"/>
        </w:rPr>
        <w:t>The following discussion of credit risk management focuses primarily on developments since December 31, 2000 and should be read in conjunction with pages 46-53 and 67-68 of JPMorgan Chase's 2000 Annual Report.</w:t>
      </w:r>
    </w:p>
    <w:p>
      <w:pPr>
        <w:spacing w:after="0" w:line="57" w:lineRule="exact"/>
        <w:rPr>
          <w:sz w:val="20"/>
          <w:szCs w:val="20"/>
          <w:color w:val="auto"/>
        </w:rPr>
      </w:pPr>
    </w:p>
    <w:p>
      <w:pPr>
        <w:ind w:right="4540"/>
        <w:spacing w:after="0" w:line="344" w:lineRule="auto"/>
        <w:rPr>
          <w:sz w:val="20"/>
          <w:szCs w:val="20"/>
          <w:color w:val="auto"/>
        </w:rPr>
      </w:pPr>
      <w:r>
        <w:rPr>
          <w:rFonts w:ascii="Courier New" w:cs="Courier New" w:eastAsia="Courier New" w:hAnsi="Courier New"/>
          <w:sz w:val="15"/>
          <w:szCs w:val="15"/>
          <w:color w:val="auto"/>
        </w:rPr>
        <w:t>The following table presents the Firm's credit-related information for the dates indicated.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gridSpan w:val="3"/>
            <w:vMerge w:val="restart"/>
          </w:tcPr>
          <w:p>
            <w:pPr>
              <w:jc w:val="right"/>
              <w:ind w:right="407"/>
              <w:spacing w:after="0"/>
              <w:rPr>
                <w:sz w:val="20"/>
                <w:szCs w:val="20"/>
                <w:color w:val="auto"/>
              </w:rPr>
            </w:pPr>
            <w:r>
              <w:rPr>
                <w:rFonts w:ascii="Courier New" w:cs="Courier New" w:eastAsia="Courier New" w:hAnsi="Courier New"/>
                <w:sz w:val="15"/>
                <w:szCs w:val="15"/>
                <w:color w:val="auto"/>
                <w:w w:val="96"/>
              </w:rPr>
              <w:t>CREDIT-RELATED ASSETS</w:t>
            </w:r>
          </w:p>
        </w:tc>
        <w:tc>
          <w:tcPr>
            <w:tcW w:w="380" w:type="dxa"/>
            <w:vAlign w:val="bottom"/>
          </w:tcPr>
          <w:p>
            <w:pPr>
              <w:spacing w:after="0"/>
              <w:rPr>
                <w:sz w:val="14"/>
                <w:szCs w:val="14"/>
                <w:color w:val="auto"/>
              </w:rPr>
            </w:pPr>
          </w:p>
        </w:tc>
        <w:tc>
          <w:tcPr>
            <w:tcW w:w="2460" w:type="dxa"/>
            <w:vAlign w:val="bottom"/>
            <w:gridSpan w:val="3"/>
            <w:vMerge w:val="restart"/>
          </w:tcPr>
          <w:p>
            <w:pPr>
              <w:jc w:val="right"/>
              <w:ind w:right="287"/>
              <w:spacing w:after="0"/>
              <w:rPr>
                <w:sz w:val="20"/>
                <w:szCs w:val="20"/>
                <w:color w:val="auto"/>
              </w:rPr>
            </w:pPr>
            <w:r>
              <w:rPr>
                <w:rFonts w:ascii="Courier New" w:cs="Courier New" w:eastAsia="Courier New" w:hAnsi="Courier New"/>
                <w:sz w:val="15"/>
                <w:szCs w:val="15"/>
                <w:color w:val="auto"/>
                <w:w w:val="96"/>
              </w:rPr>
              <w:t>NONPERFORMING ASSETS (c)</w:t>
            </w:r>
          </w:p>
        </w:tc>
        <w:tc>
          <w:tcPr>
            <w:tcW w:w="620" w:type="dxa"/>
            <w:vAlign w:val="bottom"/>
          </w:tcPr>
          <w:p>
            <w:pPr>
              <w:spacing w:after="0"/>
              <w:rPr>
                <w:sz w:val="14"/>
                <w:szCs w:val="14"/>
                <w:color w:val="auto"/>
              </w:rPr>
            </w:pPr>
          </w:p>
        </w:tc>
        <w:tc>
          <w:tcPr>
            <w:tcW w:w="18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PAST DUE 90 DAYS</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&amp; OVER AND ACCRUING</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320" w:type="dxa"/>
            <w:vAlign w:val="bottom"/>
          </w:tcPr>
          <w:p>
            <w:pPr>
              <w:spacing w:after="0"/>
              <w:rPr>
                <w:sz w:val="14"/>
                <w:szCs w:val="14"/>
                <w:color w:val="auto"/>
              </w:rPr>
            </w:pPr>
          </w:p>
        </w:tc>
        <w:tc>
          <w:tcPr>
            <w:tcW w:w="9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8"/>
              </w:rPr>
              <w:t>Dec 31,</w:t>
            </w:r>
          </w:p>
        </w:tc>
        <w:tc>
          <w:tcPr>
            <w:tcW w:w="284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4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JUNE 30,</w:t>
            </w:r>
          </w:p>
        </w:tc>
        <w:tc>
          <w:tcPr>
            <w:tcW w:w="3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Dec 31,</w:t>
            </w:r>
          </w:p>
        </w:tc>
        <w:tc>
          <w:tcPr>
            <w:tcW w:w="6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Dec 31,</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15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Commercial Loans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112,790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119,460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1,890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 and FX Contracts (a)</w:t>
            </w:r>
          </w:p>
        </w:tc>
        <w:tc>
          <w:tcPr>
            <w:tcW w:w="4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68,910</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76,373</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w:t>
            </w:r>
          </w:p>
        </w:tc>
        <w:tc>
          <w:tcPr>
            <w:tcW w:w="3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Loans (b)</w:t>
            </w:r>
          </w:p>
        </w:tc>
        <w:tc>
          <w:tcPr>
            <w:tcW w:w="4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124,881</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114,461</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401</w:t>
            </w:r>
          </w:p>
        </w:tc>
        <w:tc>
          <w:tcPr>
            <w:tcW w:w="3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384</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767</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w:t>
            </w: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TOTAL MANAGED CREDIT-RELATED</w:t>
            </w:r>
          </w:p>
        </w:tc>
        <w:tc>
          <w:tcPr>
            <w:tcW w:w="480" w:type="dxa"/>
            <w:vAlign w:val="bottom"/>
            <w:vMerge w:val="restart"/>
          </w:tcPr>
          <w:p>
            <w:pPr>
              <w:ind w:left="300"/>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306,581</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310,294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w:t>
            </w: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Assets Acquired as Loan Satisfactions</w:t>
            </w:r>
          </w:p>
        </w:tc>
        <w:tc>
          <w:tcPr>
            <w:tcW w:w="15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1"/>
                <w:szCs w:val="21"/>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119</w:t>
            </w:r>
          </w:p>
        </w:tc>
        <w:tc>
          <w:tcPr>
            <w:tcW w:w="360" w:type="dxa"/>
            <w:vAlign w:val="bottom"/>
          </w:tcPr>
          <w:p>
            <w:pPr>
              <w:spacing w:after="0"/>
              <w:rPr>
                <w:sz w:val="21"/>
                <w:szCs w:val="21"/>
                <w:color w:val="auto"/>
              </w:rPr>
            </w:pPr>
          </w:p>
        </w:tc>
        <w:tc>
          <w:tcPr>
            <w:tcW w:w="10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68</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TOTAL NONPERFORMING ASSETS</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9"/>
                <w:vertAlign w:val="subscript"/>
              </w:rPr>
              <w:t>$</w:t>
            </w:r>
            <w:r>
              <w:rPr>
                <w:rFonts w:ascii="Courier New" w:cs="Courier New" w:eastAsia="Courier New" w:hAnsi="Courier New"/>
                <w:sz w:val="7"/>
                <w:szCs w:val="7"/>
                <w:color w:val="auto"/>
                <w:w w:val="79"/>
              </w:rPr>
              <w:t>----------</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2,498</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1,923</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CHARGE-OFFS</w:t>
            </w:r>
          </w:p>
        </w:tc>
        <w:tc>
          <w:tcPr>
            <w:tcW w:w="880" w:type="dxa"/>
            <w:vAlign w:val="bottom"/>
          </w:tcPr>
          <w:p>
            <w:pPr>
              <w:spacing w:after="0"/>
              <w:rPr>
                <w:sz w:val="14"/>
                <w:szCs w:val="14"/>
                <w:color w:val="auto"/>
              </w:rPr>
            </w:pPr>
          </w:p>
        </w:tc>
        <w:tc>
          <w:tcPr>
            <w:tcW w:w="440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96"/>
              </w:rPr>
              <w:t>ANNUAL AVERAGE NET CHARGE-OFF RATES (d)</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 except ratios)</w:t>
            </w:r>
          </w:p>
        </w:tc>
        <w:tc>
          <w:tcPr>
            <w:tcW w:w="1220" w:type="dxa"/>
            <w:vAlign w:val="bottom"/>
          </w:tcPr>
          <w:p>
            <w:pPr>
              <w:jc w:val="right"/>
              <w:spacing w:after="0"/>
              <w:rPr>
                <w:sz w:val="20"/>
                <w:szCs w:val="20"/>
                <w:color w:val="auto"/>
              </w:rPr>
            </w:pPr>
            <w:r>
              <w:rPr>
                <w:rFonts w:ascii="Courier New" w:cs="Courier New" w:eastAsia="Courier New" w:hAnsi="Courier New"/>
                <w:sz w:val="7"/>
                <w:szCs w:val="7"/>
                <w:color w:val="auto"/>
                <w:w w:val="79"/>
              </w:rPr>
              <w:t>------------------------------------</w:t>
            </w:r>
          </w:p>
        </w:tc>
        <w:tc>
          <w:tcPr>
            <w:tcW w:w="18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SECOND QUARTER</w:t>
            </w:r>
          </w:p>
        </w:tc>
        <w:tc>
          <w:tcPr>
            <w:tcW w:w="880" w:type="dxa"/>
            <w:vAlign w:val="bottom"/>
          </w:tcPr>
          <w:p>
            <w:pPr>
              <w:spacing w:after="0"/>
              <w:rPr>
                <w:sz w:val="14"/>
                <w:szCs w:val="14"/>
                <w:color w:val="auto"/>
              </w:rPr>
            </w:pPr>
          </w:p>
        </w:tc>
        <w:tc>
          <w:tcPr>
            <w:tcW w:w="4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314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w w:val="98"/>
              </w:rPr>
              <w:t>SECOND QUARTER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7"/>
                <w:szCs w:val="7"/>
                <w:color w:val="auto"/>
                <w:w w:val="79"/>
              </w:rPr>
              <w:t>------------------------------------</w:t>
            </w: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4"/>
              </w:rPr>
              <w:t>2001</w:t>
            </w:r>
          </w:p>
        </w:tc>
        <w:tc>
          <w:tcPr>
            <w:tcW w:w="1220" w:type="dxa"/>
            <w:vAlign w:val="bottom"/>
          </w:tcPr>
          <w:p>
            <w:pPr>
              <w:spacing w:after="0"/>
              <w:rPr>
                <w:sz w:val="14"/>
                <w:szCs w:val="14"/>
                <w:color w:val="auto"/>
              </w:rPr>
            </w:pPr>
          </w:p>
        </w:tc>
        <w:tc>
          <w:tcPr>
            <w:tcW w:w="88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w w:val="99"/>
              </w:rPr>
              <w:t>2000</w:t>
            </w:r>
          </w:p>
        </w:tc>
        <w:tc>
          <w:tcPr>
            <w:tcW w:w="4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1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2001</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427"/>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Commercial Loans</w:t>
            </w:r>
          </w:p>
        </w:tc>
        <w:tc>
          <w:tcPr>
            <w:tcW w:w="1220" w:type="dxa"/>
            <w:vAlign w:val="bottom"/>
          </w:tcPr>
          <w:p>
            <w:pPr>
              <w:jc w:val="right"/>
              <w:ind w:right="1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w:t>
            </w:r>
          </w:p>
        </w:tc>
        <w:tc>
          <w:tcPr>
            <w:tcW w:w="3140" w:type="dxa"/>
            <w:vAlign w:val="bottom"/>
          </w:tcPr>
          <w:p>
            <w:pPr>
              <w:ind w:left="1440"/>
              <w:spacing w:after="0"/>
              <w:rPr>
                <w:sz w:val="20"/>
                <w:szCs w:val="20"/>
                <w:color w:val="auto"/>
              </w:rPr>
            </w:pPr>
            <w:r>
              <w:rPr>
                <w:rFonts w:ascii="Courier New" w:cs="Courier New" w:eastAsia="Courier New" w:hAnsi="Courier New"/>
                <w:sz w:val="15"/>
                <w:szCs w:val="15"/>
                <w:color w:val="auto"/>
              </w:rPr>
              <w:t>0.77%</w:t>
            </w: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0.32%</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Loans</w:t>
            </w:r>
          </w:p>
        </w:tc>
        <w:tc>
          <w:tcPr>
            <w:tcW w:w="12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w:t>
            </w:r>
          </w:p>
        </w:tc>
        <w:tc>
          <w:tcPr>
            <w:tcW w:w="122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482</w:t>
            </w:r>
          </w:p>
        </w:tc>
        <w:tc>
          <w:tcPr>
            <w:tcW w:w="31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1.89</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1.81</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TOTAL MANAGED CREDIT-RELATED</w:t>
            </w:r>
          </w:p>
        </w:tc>
        <w:tc>
          <w:tcPr>
            <w:tcW w:w="122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798</w:t>
            </w:r>
          </w:p>
        </w:tc>
        <w:tc>
          <w:tcPr>
            <w:tcW w:w="2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vMerge w:val="restart"/>
          </w:tcPr>
          <w:p>
            <w:pPr>
              <w:ind w:left="1440"/>
              <w:spacing w:after="0"/>
              <w:rPr>
                <w:sz w:val="20"/>
                <w:szCs w:val="20"/>
                <w:color w:val="auto"/>
              </w:rPr>
            </w:pPr>
            <w:r>
              <w:rPr>
                <w:rFonts w:ascii="Courier New" w:cs="Courier New" w:eastAsia="Courier New" w:hAnsi="Courier New"/>
                <w:sz w:val="15"/>
                <w:szCs w:val="15"/>
                <w:color w:val="auto"/>
              </w:rPr>
              <w:t>1.37%</w:t>
            </w:r>
          </w:p>
        </w:tc>
        <w:tc>
          <w:tcPr>
            <w:tcW w:w="12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577</w:t>
            </w:r>
          </w:p>
        </w:tc>
        <w:tc>
          <w:tcPr>
            <w:tcW w:w="31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CHARGE-OFFS</w:t>
            </w:r>
          </w:p>
        </w:tc>
        <w:tc>
          <w:tcPr>
            <w:tcW w:w="880" w:type="dxa"/>
            <w:vAlign w:val="bottom"/>
          </w:tcPr>
          <w:p>
            <w:pPr>
              <w:spacing w:after="0"/>
              <w:rPr>
                <w:sz w:val="24"/>
                <w:szCs w:val="24"/>
                <w:color w:val="auto"/>
              </w:rPr>
            </w:pPr>
          </w:p>
        </w:tc>
        <w:tc>
          <w:tcPr>
            <w:tcW w:w="440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96"/>
              </w:rPr>
              <w:t>ANNUAL AVERAGE NET CHARGE-OFF RATES (d)</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12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7"/>
              </w:rPr>
              <w:t>SIX MONTHS</w:t>
            </w:r>
          </w:p>
        </w:tc>
        <w:tc>
          <w:tcPr>
            <w:tcW w:w="880" w:type="dxa"/>
            <w:vAlign w:val="bottom"/>
          </w:tcPr>
          <w:p>
            <w:pPr>
              <w:spacing w:after="0"/>
              <w:rPr>
                <w:sz w:val="14"/>
                <w:szCs w:val="14"/>
                <w:color w:val="auto"/>
              </w:rPr>
            </w:pPr>
          </w:p>
        </w:tc>
        <w:tc>
          <w:tcPr>
            <w:tcW w:w="4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140" w:type="dxa"/>
            <w:vAlign w:val="bottom"/>
          </w:tcPr>
          <w:p>
            <w:pPr>
              <w:ind w:left="2040"/>
              <w:spacing w:after="0" w:line="168" w:lineRule="exact"/>
              <w:rPr>
                <w:sz w:val="20"/>
                <w:szCs w:val="20"/>
                <w:color w:val="auto"/>
              </w:rPr>
            </w:pPr>
            <w:r>
              <w:rPr>
                <w:rFonts w:ascii="Courier New" w:cs="Courier New" w:eastAsia="Courier New" w:hAnsi="Courier New"/>
                <w:sz w:val="15"/>
                <w:szCs w:val="15"/>
                <w:color w:val="auto"/>
              </w:rPr>
              <w:t>SIX MONTHS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7"/>
                <w:szCs w:val="7"/>
                <w:color w:val="auto"/>
                <w:w w:val="79"/>
              </w:rPr>
              <w:t>------------------------------------</w:t>
            </w: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4"/>
              </w:rPr>
              <w:t>2001</w:t>
            </w:r>
          </w:p>
        </w:tc>
        <w:tc>
          <w:tcPr>
            <w:tcW w:w="1220" w:type="dxa"/>
            <w:vAlign w:val="bottom"/>
          </w:tcPr>
          <w:p>
            <w:pPr>
              <w:spacing w:after="0"/>
              <w:rPr>
                <w:sz w:val="14"/>
                <w:szCs w:val="14"/>
                <w:color w:val="auto"/>
              </w:rPr>
            </w:pPr>
          </w:p>
        </w:tc>
        <w:tc>
          <w:tcPr>
            <w:tcW w:w="88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w w:val="99"/>
              </w:rPr>
              <w:t>2000</w:t>
            </w:r>
          </w:p>
        </w:tc>
        <w:tc>
          <w:tcPr>
            <w:tcW w:w="4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1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2001</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427"/>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Commercial Loans</w:t>
            </w:r>
          </w:p>
        </w:tc>
        <w:tc>
          <w:tcPr>
            <w:tcW w:w="1220" w:type="dxa"/>
            <w:vAlign w:val="bottom"/>
          </w:tcPr>
          <w:p>
            <w:pPr>
              <w:jc w:val="right"/>
              <w:ind w:right="1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158</w:t>
            </w:r>
          </w:p>
        </w:tc>
        <w:tc>
          <w:tcPr>
            <w:tcW w:w="3140" w:type="dxa"/>
            <w:vAlign w:val="bottom"/>
          </w:tcPr>
          <w:p>
            <w:pPr>
              <w:ind w:left="1440"/>
              <w:spacing w:after="0"/>
              <w:rPr>
                <w:sz w:val="20"/>
                <w:szCs w:val="20"/>
                <w:color w:val="auto"/>
              </w:rPr>
            </w:pPr>
            <w:r>
              <w:rPr>
                <w:rFonts w:ascii="Courier New" w:cs="Courier New" w:eastAsia="Courier New" w:hAnsi="Courier New"/>
                <w:sz w:val="15"/>
                <w:szCs w:val="15"/>
                <w:color w:val="auto"/>
              </w:rPr>
              <w:t>0.64%</w:t>
            </w: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0.27%</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Loans</w:t>
            </w:r>
          </w:p>
        </w:tc>
        <w:tc>
          <w:tcPr>
            <w:tcW w:w="12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w:t>
            </w:r>
          </w:p>
        </w:tc>
        <w:tc>
          <w:tcPr>
            <w:tcW w:w="122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1,006</w:t>
            </w:r>
          </w:p>
        </w:tc>
        <w:tc>
          <w:tcPr>
            <w:tcW w:w="31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1.87</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1.89</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TOTAL MANAGED CREDIT-RELATED</w:t>
            </w:r>
          </w:p>
        </w:tc>
        <w:tc>
          <w:tcPr>
            <w:tcW w:w="122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1,486</w:t>
            </w:r>
          </w:p>
        </w:tc>
        <w:tc>
          <w:tcPr>
            <w:tcW w:w="2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vMerge w:val="restart"/>
          </w:tcPr>
          <w:p>
            <w:pPr>
              <w:ind w:left="1440"/>
              <w:spacing w:after="0"/>
              <w:rPr>
                <w:sz w:val="20"/>
                <w:szCs w:val="20"/>
                <w:color w:val="auto"/>
              </w:rPr>
            </w:pPr>
            <w:r>
              <w:rPr>
                <w:rFonts w:ascii="Courier New" w:cs="Courier New" w:eastAsia="Courier New" w:hAnsi="Courier New"/>
                <w:sz w:val="15"/>
                <w:szCs w:val="15"/>
                <w:color w:val="auto"/>
              </w:rPr>
              <w:t>1.28%</w:t>
            </w:r>
          </w:p>
        </w:tc>
        <w:tc>
          <w:tcPr>
            <w:tcW w:w="12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1,164</w:t>
            </w:r>
          </w:p>
        </w:tc>
        <w:tc>
          <w:tcPr>
            <w:tcW w:w="31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1" w:lineRule="exact"/>
        <w:rPr>
          <w:rFonts w:ascii="Courier New" w:cs="Courier New" w:eastAsia="Courier New" w:hAnsi="Courier New"/>
          <w:sz w:val="14"/>
          <w:szCs w:val="14"/>
          <w:color w:val="auto"/>
        </w:rPr>
      </w:pPr>
    </w:p>
    <w:p>
      <w:pPr>
        <w:ind w:left="440" w:hanging="343"/>
        <w:spacing w:after="0"/>
        <w:tabs>
          <w:tab w:leader="none" w:pos="44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Charge-offs for derivative receivables are included in trading revenue.</w:t>
      </w:r>
    </w:p>
    <w:p>
      <w:pPr>
        <w:sectPr>
          <w:pgSz w:w="11900" w:h="16838" w:orient="portrait"/>
          <w:cols w:equalWidth="0" w:num="1">
            <w:col w:w="11540"/>
          </w:cols>
          <w:pgMar w:left="220" w:top="261" w:right="139" w:bottom="0" w:gutter="0" w:footer="0" w:header="0"/>
        </w:sectPr>
      </w:pPr>
    </w:p>
    <w:bookmarkStart w:id="38" w:name="page39"/>
    <w:bookmarkEnd w:id="38"/>
    <w:p>
      <w:pPr>
        <w:ind w:left="440" w:hanging="343"/>
        <w:spacing w:after="0"/>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credit card receivables that have been securitized.</w:t>
      </w:r>
    </w:p>
    <w:p>
      <w:pPr>
        <w:spacing w:after="0" w:line="24" w:lineRule="exact"/>
        <w:rPr>
          <w:rFonts w:ascii="Courier New" w:cs="Courier New" w:eastAsia="Courier New" w:hAnsi="Courier New"/>
          <w:sz w:val="15"/>
          <w:szCs w:val="15"/>
          <w:color w:val="auto"/>
        </w:rPr>
      </w:pPr>
    </w:p>
    <w:p>
      <w:pPr>
        <w:ind w:left="440" w:right="3319" w:hanging="343"/>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assets have not been reduced for credit protection (single name credit default swaps and collateralized loan obligations) aggregating $112 million related to nonperforming counterparties.</w:t>
      </w:r>
    </w:p>
    <w:p>
      <w:pPr>
        <w:spacing w:after="0" w:line="1" w:lineRule="exact"/>
        <w:rPr>
          <w:rFonts w:ascii="Courier New" w:cs="Courier New" w:eastAsia="Courier New" w:hAnsi="Courier New"/>
          <w:sz w:val="15"/>
          <w:szCs w:val="15"/>
          <w:color w:val="auto"/>
        </w:rPr>
      </w:pPr>
    </w:p>
    <w:p>
      <w:pPr>
        <w:ind w:left="440" w:hanging="343"/>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w:t>
      </w: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115"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right="4460"/>
        <w:spacing w:after="0" w:line="276" w:lineRule="auto"/>
        <w:rPr>
          <w:sz w:val="20"/>
          <w:szCs w:val="20"/>
          <w:color w:val="auto"/>
        </w:rPr>
      </w:pPr>
      <w:r>
        <w:rPr>
          <w:rFonts w:ascii="Courier New" w:cs="Courier New" w:eastAsia="Courier New" w:hAnsi="Courier New"/>
          <w:sz w:val="14"/>
          <w:szCs w:val="14"/>
          <w:color w:val="auto"/>
        </w:rPr>
        <w:t>JPMorgan Chase's managed credit-related assets of $307 billion at June 30, 2001 decreased 1%, when compared with year-end 2000. Commercial loans decreased $6.7 billion, or 6%, reflecting the Firm's ongoing discipline of originating loans for distribution and sale. Derivative and foreign exchange instruments decreased by 10% from $76.4 billion at year-end 2000. Consumer managed credit-related assets increased $10.4 billion, or 9%, from December 31, 2000, largely in the 1-4 family residential mortgage and auto finance portfolios.</w:t>
      </w:r>
    </w:p>
    <w:p>
      <w:pPr>
        <w:spacing w:after="0" w:line="69" w:lineRule="exact"/>
        <w:rPr>
          <w:sz w:val="20"/>
          <w:szCs w:val="20"/>
          <w:color w:val="auto"/>
        </w:rPr>
      </w:pPr>
    </w:p>
    <w:p>
      <w:pPr>
        <w:ind w:right="4540"/>
        <w:spacing w:after="0" w:line="252" w:lineRule="auto"/>
        <w:rPr>
          <w:sz w:val="20"/>
          <w:szCs w:val="20"/>
          <w:color w:val="auto"/>
        </w:rPr>
      </w:pPr>
      <w:r>
        <w:rPr>
          <w:rFonts w:ascii="Courier New" w:cs="Courier New" w:eastAsia="Courier New" w:hAnsi="Courier New"/>
          <w:sz w:val="15"/>
          <w:szCs w:val="15"/>
          <w:color w:val="auto"/>
        </w:rPr>
        <w:t>The increase in nonperforming assets was primarily related to three domestic commercial credits. The portion of the commercial loan portfolio and counterparty credit outstanding considered investment grade was 67% at June 30, 2001, unchanged from year-end 2000. Management currently believes that credit conditions in the United States will remain challenging over the remainder of the year, which could cause a further increase in nonperforming assets in 2001. However, management believes that JPMC's credit performance this year will continue to be better than the industry average.</w:t>
      </w:r>
    </w:p>
    <w:p>
      <w:pPr>
        <w:spacing w:after="0" w:line="86" w:lineRule="exact"/>
        <w:rPr>
          <w:sz w:val="20"/>
          <w:szCs w:val="20"/>
          <w:color w:val="auto"/>
        </w:rPr>
      </w:pPr>
    </w:p>
    <w:p>
      <w:pPr>
        <w:ind w:right="4460"/>
        <w:spacing w:after="0" w:line="258" w:lineRule="auto"/>
        <w:rPr>
          <w:sz w:val="20"/>
          <w:szCs w:val="20"/>
          <w:color w:val="auto"/>
        </w:rPr>
      </w:pPr>
      <w:r>
        <w:rPr>
          <w:rFonts w:ascii="Courier New" w:cs="Courier New" w:eastAsia="Courier New" w:hAnsi="Courier New"/>
          <w:sz w:val="15"/>
          <w:szCs w:val="15"/>
          <w:color w:val="auto"/>
        </w:rPr>
        <w:t>Net charge-offs in the managed portfolio were $798 million and $1,486 million in the second quarter and six months 2001, respectively, an increase of $221 million and $322 million, respectively, from the same periods one year ago, primarily reflecting increased net charge-offs in the telecommunications portion of the domestic commercial loan portfolio and in the consumer credit card portfolio.</w:t>
      </w:r>
    </w:p>
    <w:p>
      <w:pPr>
        <w:spacing w:after="0" w:line="81" w:lineRule="exact"/>
        <w:rPr>
          <w:sz w:val="20"/>
          <w:szCs w:val="20"/>
          <w:color w:val="auto"/>
        </w:rPr>
      </w:pPr>
    </w:p>
    <w:p>
      <w:pPr>
        <w:ind w:right="4720"/>
        <w:spacing w:after="0" w:line="290" w:lineRule="auto"/>
        <w:rPr>
          <w:sz w:val="20"/>
          <w:szCs w:val="20"/>
          <w:color w:val="auto"/>
        </w:rPr>
      </w:pPr>
      <w:r>
        <w:rPr>
          <w:rFonts w:ascii="Courier New" w:cs="Courier New" w:eastAsia="Courier New" w:hAnsi="Courier New"/>
          <w:sz w:val="15"/>
          <w:szCs w:val="15"/>
          <w:color w:val="auto"/>
        </w:rPr>
        <w:t>For the remainder of the year, management expects commercial loan net charge-offs to remain at approximately the same level as in the first half of the year.</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PORTFOLIO</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700" w:type="dxa"/>
            <w:vAlign w:val="bottom"/>
          </w:tcPr>
          <w:p>
            <w:pPr>
              <w:spacing w:after="0"/>
              <w:rPr>
                <w:sz w:val="14"/>
                <w:szCs w:val="14"/>
                <w:color w:val="auto"/>
              </w:rPr>
            </w:pPr>
          </w:p>
        </w:tc>
        <w:tc>
          <w:tcPr>
            <w:tcW w:w="2360" w:type="dxa"/>
            <w:vAlign w:val="bottom"/>
            <w:gridSpan w:val="3"/>
            <w:vMerge w:val="restart"/>
          </w:tcPr>
          <w:p>
            <w:pPr>
              <w:jc w:val="right"/>
              <w:ind w:right="447"/>
              <w:spacing w:after="0"/>
              <w:rPr>
                <w:sz w:val="20"/>
                <w:szCs w:val="20"/>
                <w:color w:val="auto"/>
              </w:rPr>
            </w:pPr>
            <w:r>
              <w:rPr>
                <w:rFonts w:ascii="Courier New" w:cs="Courier New" w:eastAsia="Courier New" w:hAnsi="Courier New"/>
                <w:sz w:val="15"/>
                <w:szCs w:val="15"/>
                <w:color w:val="auto"/>
                <w:w w:val="96"/>
              </w:rPr>
              <w:t>CREDIT-RELATED ASSETS</w:t>
            </w:r>
          </w:p>
        </w:tc>
        <w:tc>
          <w:tcPr>
            <w:tcW w:w="2840" w:type="dxa"/>
            <w:vAlign w:val="bottom"/>
            <w:gridSpan w:val="3"/>
            <w:vMerge w:val="restart"/>
          </w:tcPr>
          <w:p>
            <w:pPr>
              <w:jc w:val="right"/>
              <w:ind w:right="487"/>
              <w:spacing w:after="0"/>
              <w:rPr>
                <w:sz w:val="20"/>
                <w:szCs w:val="20"/>
                <w:color w:val="auto"/>
              </w:rPr>
            </w:pPr>
            <w:r>
              <w:rPr>
                <w:rFonts w:ascii="Courier New" w:cs="Courier New" w:eastAsia="Courier New" w:hAnsi="Courier New"/>
                <w:sz w:val="15"/>
                <w:szCs w:val="15"/>
                <w:color w:val="auto"/>
              </w:rPr>
              <w:t>NONPERFORMING ASSETS (b)</w:t>
            </w: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PAST DUE 90 DAYS &amp; OVER</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gridSpan w:val="3"/>
            <w:vMerge w:val="continue"/>
          </w:tcPr>
          <w:p>
            <w:pPr>
              <w:spacing w:after="0"/>
              <w:rPr>
                <w:sz w:val="14"/>
                <w:szCs w:val="14"/>
                <w:color w:val="auto"/>
              </w:rPr>
            </w:pPr>
          </w:p>
        </w:tc>
        <w:tc>
          <w:tcPr>
            <w:tcW w:w="28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AND ACCRUING</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5"/>
                <w:szCs w:val="5"/>
                <w:color w:val="auto"/>
                <w:w w:val="78"/>
              </w:rPr>
              <w:t>-----------------------------</w:t>
            </w: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4"/>
                <w:szCs w:val="14"/>
                <w:color w:val="auto"/>
              </w:rPr>
            </w:pPr>
          </w:p>
        </w:tc>
        <w:tc>
          <w:tcPr>
            <w:tcW w:w="10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Dec 31,</w:t>
            </w:r>
          </w:p>
        </w:tc>
        <w:tc>
          <w:tcPr>
            <w:tcW w:w="2840" w:type="dxa"/>
            <w:vAlign w:val="bottom"/>
            <w:gridSpan w:val="3"/>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82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 LOANS:</w:t>
            </w: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JUNE 30,</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Dec 31,</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Dec 31,</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Domestic Commercial:</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62,932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64,031</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1,211</w:t>
            </w:r>
          </w:p>
        </w:tc>
        <w:tc>
          <w:tcPr>
            <w:tcW w:w="13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727</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and Industrial</w:t>
            </w:r>
          </w:p>
        </w:tc>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7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4,740</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4,834</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Institutions</w:t>
            </w:r>
          </w:p>
        </w:tc>
        <w:tc>
          <w:tcPr>
            <w:tcW w:w="7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6,891</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7,342</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249</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Total Domestic Commercial Loans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78"/>
              </w:rPr>
              <w:t>------------</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74,563</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76,207</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1,528</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821</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Commercial:</w:t>
            </w:r>
          </w:p>
        </w:tc>
        <w:tc>
          <w:tcPr>
            <w:tcW w:w="700" w:type="dxa"/>
            <w:vAlign w:val="bottom"/>
          </w:tcPr>
          <w:p>
            <w:pPr>
              <w:spacing w:after="0"/>
              <w:rPr>
                <w:sz w:val="14"/>
                <w:szCs w:val="14"/>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34,117</w:t>
            </w:r>
          </w:p>
        </w:tc>
        <w:tc>
          <w:tcPr>
            <w:tcW w:w="220" w:type="dxa"/>
            <w:vAlign w:val="bottom"/>
          </w:tcPr>
          <w:p>
            <w:pPr>
              <w:spacing w:after="0"/>
              <w:rPr>
                <w:sz w:val="14"/>
                <w:szCs w:val="14"/>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37,002</w:t>
            </w:r>
          </w:p>
        </w:tc>
        <w:tc>
          <w:tcPr>
            <w:tcW w:w="480" w:type="dxa"/>
            <w:vAlign w:val="bottom"/>
          </w:tcPr>
          <w:p>
            <w:pPr>
              <w:spacing w:after="0"/>
              <w:rPr>
                <w:sz w:val="14"/>
                <w:szCs w:val="14"/>
                <w:color w:val="auto"/>
              </w:rPr>
            </w:pPr>
          </w:p>
        </w:tc>
        <w:tc>
          <w:tcPr>
            <w:tcW w:w="10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312</w:t>
            </w:r>
          </w:p>
        </w:tc>
        <w:tc>
          <w:tcPr>
            <w:tcW w:w="13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556</w:t>
            </w:r>
          </w:p>
        </w:tc>
        <w:tc>
          <w:tcPr>
            <w:tcW w:w="58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and Industrial</w:t>
            </w: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7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1,665</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1,470</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Institutions</w:t>
            </w:r>
          </w:p>
        </w:tc>
        <w:tc>
          <w:tcPr>
            <w:tcW w:w="7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1,880</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3,976</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Governments</w:t>
            </w:r>
          </w:p>
        </w:tc>
        <w:tc>
          <w:tcPr>
            <w:tcW w:w="7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565</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805</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Total Foreign Commercial Loans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78"/>
              </w:rPr>
              <w:t>------------</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38,227</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43,253</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362</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613</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TOTAL COMMERCIAL LOANS</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78"/>
              </w:rPr>
              <w:t>------------</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112,790</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119,460</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1,890</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1,434</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 AND FX CONTRACTS (a)</w:t>
            </w:r>
          </w:p>
        </w:tc>
        <w:tc>
          <w:tcPr>
            <w:tcW w:w="7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68,910</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76,373</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TOTAL COMMERCIAL CREDIT-RELATED</w:t>
            </w:r>
          </w:p>
        </w:tc>
        <w:tc>
          <w:tcPr>
            <w:tcW w:w="700" w:type="dxa"/>
            <w:vAlign w:val="bottom"/>
            <w:vMerge w:val="restart"/>
          </w:tcPr>
          <w:p>
            <w:pPr>
              <w:jc w:val="right"/>
              <w:spacing w:after="0"/>
              <w:rPr>
                <w:sz w:val="20"/>
                <w:szCs w:val="20"/>
                <w:color w:val="auto"/>
              </w:rPr>
            </w:pPr>
            <w:r>
              <w:rPr>
                <w:rFonts w:ascii="Courier New" w:cs="Courier New" w:eastAsia="Courier New" w:hAnsi="Courier New"/>
                <w:sz w:val="22"/>
                <w:szCs w:val="22"/>
                <w:color w:val="auto"/>
                <w:w w:val="71"/>
                <w:vertAlign w:val="subscript"/>
              </w:rPr>
              <w:t>$</w:t>
            </w:r>
            <w:r>
              <w:rPr>
                <w:rFonts w:ascii="Courier New" w:cs="Courier New" w:eastAsia="Courier New" w:hAnsi="Courier New"/>
                <w:sz w:val="12"/>
                <w:szCs w:val="12"/>
                <w:color w:val="auto"/>
                <w:w w:val="71"/>
              </w:rPr>
              <w:t>------------</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181,700</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195,833</w:t>
            </w: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1,978</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$ 1,471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8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 millions, except ratios)</w:t>
            </w:r>
          </w:p>
        </w:tc>
        <w:tc>
          <w:tcPr>
            <w:tcW w:w="12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CHARGE-OFFS</w:t>
            </w:r>
          </w:p>
        </w:tc>
        <w:tc>
          <w:tcPr>
            <w:tcW w:w="740" w:type="dxa"/>
            <w:vAlign w:val="bottom"/>
          </w:tcPr>
          <w:p>
            <w:pPr>
              <w:spacing w:after="0"/>
              <w:rPr>
                <w:sz w:val="14"/>
                <w:szCs w:val="14"/>
                <w:color w:val="auto"/>
              </w:rPr>
            </w:pP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AVERAGE NET CHARGE-OFF RATES (c)</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9"/>
                <w:szCs w:val="9"/>
                <w:color w:val="auto"/>
                <w:w w:val="75"/>
              </w:rPr>
              <w:t>-------------------------------</w:t>
            </w:r>
          </w:p>
        </w:tc>
        <w:tc>
          <w:tcPr>
            <w:tcW w:w="15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SECOND QUARTER</w:t>
            </w:r>
          </w:p>
        </w:tc>
        <w:tc>
          <w:tcPr>
            <w:tcW w:w="740" w:type="dxa"/>
            <w:vAlign w:val="bottom"/>
          </w:tcPr>
          <w:p>
            <w:pPr>
              <w:spacing w:after="0"/>
              <w:rPr>
                <w:sz w:val="14"/>
                <w:szCs w:val="14"/>
                <w:color w:val="auto"/>
              </w:rPr>
            </w:pPr>
          </w:p>
        </w:tc>
        <w:tc>
          <w:tcPr>
            <w:tcW w:w="38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8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SECOND QUARTER</w:t>
            </w: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 LOANS:</w:t>
            </w:r>
          </w:p>
        </w:tc>
        <w:tc>
          <w:tcPr>
            <w:tcW w:w="1280" w:type="dxa"/>
            <w:vAlign w:val="bottom"/>
          </w:tcPr>
          <w:p>
            <w:pPr>
              <w:jc w:val="right"/>
              <w:spacing w:after="0"/>
              <w:rPr>
                <w:sz w:val="20"/>
                <w:szCs w:val="20"/>
                <w:color w:val="auto"/>
              </w:rPr>
            </w:pPr>
            <w:r>
              <w:rPr>
                <w:rFonts w:ascii="Courier New" w:cs="Courier New" w:eastAsia="Courier New" w:hAnsi="Courier New"/>
                <w:sz w:val="10"/>
                <w:szCs w:val="10"/>
                <w:color w:val="auto"/>
                <w:w w:val="72"/>
              </w:rPr>
              <w:t>-----------------------------</w:t>
            </w:r>
          </w:p>
        </w:tc>
        <w:tc>
          <w:tcPr>
            <w:tcW w:w="7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88"/>
              </w:rPr>
              <w:t>2001</w:t>
            </w:r>
          </w:p>
        </w:tc>
        <w:tc>
          <w:tcPr>
            <w:tcW w:w="1520" w:type="dxa"/>
            <w:vAlign w:val="bottom"/>
            <w:gridSpan w:val="2"/>
            <w:vMerge w:val="restart"/>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38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06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Domestic Commercial:</w:t>
            </w:r>
          </w:p>
        </w:tc>
        <w:tc>
          <w:tcPr>
            <w:tcW w:w="1280" w:type="dxa"/>
            <w:vAlign w:val="bottom"/>
            <w:vMerge w:val="restart"/>
          </w:tcPr>
          <w:p>
            <w:pPr>
              <w:ind w:left="100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158</w:t>
            </w:r>
          </w:p>
        </w:tc>
        <w:tc>
          <w:tcPr>
            <w:tcW w:w="7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88"/>
              </w:rPr>
              <w:t>64</w:t>
            </w:r>
          </w:p>
        </w:tc>
        <w:tc>
          <w:tcPr>
            <w:tcW w:w="22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0.89%</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0.34%</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and Industrial</w:t>
            </w:r>
          </w:p>
        </w:tc>
        <w:tc>
          <w:tcPr>
            <w:tcW w:w="12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12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w:t>
            </w:r>
          </w:p>
        </w:tc>
        <w:tc>
          <w:tcPr>
            <w:tcW w:w="22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Financial Institutions</w:t>
            </w:r>
          </w:p>
        </w:tc>
        <w:tc>
          <w:tcPr>
            <w:tcW w:w="12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780" w:type="dxa"/>
            <w:vAlign w:val="bottom"/>
          </w:tcPr>
          <w:p>
            <w:pPr>
              <w:spacing w:after="0"/>
              <w:rPr>
                <w:sz w:val="14"/>
                <w:szCs w:val="14"/>
                <w:color w:val="auto"/>
              </w:rPr>
            </w:pP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17</w:t>
            </w:r>
          </w:p>
        </w:tc>
        <w:tc>
          <w:tcPr>
            <w:tcW w:w="22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1.29</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0.98</w:t>
            </w: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Total Domestic Commercial</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177</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0.90</w:t>
            </w:r>
          </w:p>
        </w:tc>
        <w:tc>
          <w:tcPr>
            <w:tcW w:w="16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0.38</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80</w:t>
            </w:r>
          </w:p>
        </w:tc>
        <w:tc>
          <w:tcPr>
            <w:tcW w:w="22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Commercial:</w:t>
            </w:r>
          </w:p>
        </w:tc>
        <w:tc>
          <w:tcPr>
            <w:tcW w:w="1280" w:type="dxa"/>
            <w:vAlign w:val="bottom"/>
          </w:tcPr>
          <w:p>
            <w:pPr>
              <w:spacing w:after="0"/>
              <w:rPr>
                <w:sz w:val="14"/>
                <w:szCs w:val="14"/>
                <w:color w:val="auto"/>
              </w:rPr>
            </w:pPr>
          </w:p>
        </w:tc>
        <w:tc>
          <w:tcPr>
            <w:tcW w:w="7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spacing w:after="0"/>
              <w:rPr>
                <w:sz w:val="14"/>
                <w:szCs w:val="14"/>
                <w:color w:val="auto"/>
              </w:rPr>
            </w:pPr>
          </w:p>
        </w:tc>
        <w:tc>
          <w:tcPr>
            <w:tcW w:w="7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88"/>
              </w:rPr>
              <w:t>21</w:t>
            </w:r>
          </w:p>
        </w:tc>
        <w:tc>
          <w:tcPr>
            <w:tcW w:w="22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0.54</w:t>
            </w:r>
          </w:p>
        </w:tc>
        <w:tc>
          <w:tcPr>
            <w:tcW w:w="16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0.28</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and Industrial</w:t>
            </w:r>
          </w:p>
        </w:tc>
        <w:tc>
          <w:tcPr>
            <w:tcW w:w="1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12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w:t>
            </w:r>
          </w:p>
        </w:tc>
        <w:tc>
          <w:tcPr>
            <w:tcW w:w="22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Financial Institutions</w:t>
            </w:r>
          </w:p>
        </w:tc>
        <w:tc>
          <w:tcPr>
            <w:tcW w:w="128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(6)</w:t>
            </w:r>
          </w:p>
        </w:tc>
        <w:tc>
          <w:tcPr>
            <w:tcW w:w="22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NM</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Governments</w:t>
            </w:r>
          </w:p>
        </w:tc>
        <w:tc>
          <w:tcPr>
            <w:tcW w:w="12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w:t>
            </w:r>
          </w:p>
        </w:tc>
        <w:tc>
          <w:tcPr>
            <w:tcW w:w="22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Total Foreign Commercial</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35</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0.46</w:t>
            </w:r>
          </w:p>
        </w:tc>
        <w:tc>
          <w:tcPr>
            <w:tcW w:w="16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0.18</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15</w:t>
            </w:r>
          </w:p>
        </w:tc>
        <w:tc>
          <w:tcPr>
            <w:tcW w:w="22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TOTAL COMMERCIAL LOANS</w:t>
            </w:r>
          </w:p>
        </w:tc>
        <w:tc>
          <w:tcPr>
            <w:tcW w:w="128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7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212</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0.77%</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0.32%</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95</w:t>
            </w:r>
          </w:p>
        </w:tc>
        <w:tc>
          <w:tcPr>
            <w:tcW w:w="22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261" w:right="219" w:bottom="0" w:gutter="0" w:footer="0" w:header="0"/>
        </w:sectPr>
      </w:pPr>
    </w:p>
    <w:p>
      <w:pPr>
        <w:spacing w:after="0" w:line="39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1460"/>
          </w:cols>
          <w:pgMar w:left="220" w:top="261" w:right="219" w:bottom="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 millions, except ratios)</w:t>
            </w:r>
          </w:p>
        </w:tc>
        <w:tc>
          <w:tcPr>
            <w:tcW w:w="1280" w:type="dxa"/>
            <w:vAlign w:val="bottom"/>
          </w:tcPr>
          <w:p>
            <w:pPr>
              <w:spacing w:after="0"/>
              <w:rPr>
                <w:sz w:val="14"/>
                <w:szCs w:val="14"/>
                <w:color w:val="auto"/>
              </w:rPr>
            </w:pPr>
          </w:p>
        </w:tc>
        <w:tc>
          <w:tcPr>
            <w:tcW w:w="230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NET CHARGE-OFFS</w:t>
            </w:r>
          </w:p>
        </w:tc>
        <w:tc>
          <w:tcPr>
            <w:tcW w:w="38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6"/>
              </w:rPr>
              <w:t>ANNUAL AVERAGE NET CHARGE-OFF RATES (c)</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w:t>
            </w:r>
          </w:p>
        </w:tc>
        <w:tc>
          <w:tcPr>
            <w:tcW w:w="90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3"/>
              </w:rPr>
              <w:t>SIX MONTHS</w:t>
            </w:r>
          </w:p>
        </w:tc>
        <w:tc>
          <w:tcPr>
            <w:tcW w:w="920" w:type="dxa"/>
            <w:vAlign w:val="bottom"/>
          </w:tcPr>
          <w:p>
            <w:pPr>
              <w:spacing w:after="0"/>
              <w:rPr>
                <w:sz w:val="14"/>
                <w:szCs w:val="14"/>
                <w:color w:val="auto"/>
              </w:rPr>
            </w:pPr>
          </w:p>
        </w:tc>
        <w:tc>
          <w:tcPr>
            <w:tcW w:w="38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9"/>
              </w:rPr>
              <w:t>SIX MONTHS</w:t>
            </w: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 LOANS:</w:t>
            </w:r>
          </w:p>
        </w:tc>
        <w:tc>
          <w:tcPr>
            <w:tcW w:w="1280" w:type="dxa"/>
            <w:vAlign w:val="bottom"/>
          </w:tcPr>
          <w:p>
            <w:pPr>
              <w:ind w:left="920"/>
              <w:spacing w:after="0"/>
              <w:rPr>
                <w:sz w:val="20"/>
                <w:szCs w:val="20"/>
                <w:color w:val="auto"/>
              </w:rPr>
            </w:pPr>
            <w:r>
              <w:rPr>
                <w:rFonts w:ascii="Courier New" w:cs="Courier New" w:eastAsia="Courier New" w:hAnsi="Courier New"/>
                <w:sz w:val="2"/>
                <w:szCs w:val="2"/>
                <w:color w:val="auto"/>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88"/>
              </w:rPr>
              <w:t>2001</w:t>
            </w:r>
          </w:p>
        </w:tc>
        <w:tc>
          <w:tcPr>
            <w:tcW w:w="900" w:type="dxa"/>
            <w:vAlign w:val="bottom"/>
          </w:tcPr>
          <w:p>
            <w:pPr>
              <w:spacing w:after="0"/>
              <w:rPr>
                <w:sz w:val="14"/>
                <w:szCs w:val="14"/>
                <w:color w:val="auto"/>
              </w:rPr>
            </w:pPr>
          </w:p>
        </w:tc>
        <w:tc>
          <w:tcPr>
            <w:tcW w:w="9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94"/>
              </w:rPr>
              <w:t>2000</w:t>
            </w:r>
          </w:p>
        </w:tc>
        <w:tc>
          <w:tcPr>
            <w:tcW w:w="38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76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74"/>
              </w:rPr>
              <w:t>-----------</w:t>
            </w:r>
          </w:p>
        </w:tc>
        <w:tc>
          <w:tcPr>
            <w:tcW w:w="18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Domestic Commercial:</w:t>
            </w:r>
          </w:p>
        </w:tc>
        <w:tc>
          <w:tcPr>
            <w:tcW w:w="1280" w:type="dxa"/>
            <w:vAlign w:val="bottom"/>
            <w:vMerge w:val="restart"/>
          </w:tcPr>
          <w:p>
            <w:pPr>
              <w:ind w:left="1000"/>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272</w:t>
            </w:r>
          </w:p>
        </w:tc>
        <w:tc>
          <w:tcPr>
            <w:tcW w:w="90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100</w:t>
            </w:r>
          </w:p>
        </w:tc>
        <w:tc>
          <w:tcPr>
            <w:tcW w:w="1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0.77%</w:t>
            </w:r>
          </w:p>
        </w:tc>
        <w:tc>
          <w:tcPr>
            <w:tcW w:w="20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0.27%</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and Industrial</w:t>
            </w:r>
          </w:p>
        </w:tc>
        <w:tc>
          <w:tcPr>
            <w:tcW w:w="12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9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NM</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Financial Institutions</w:t>
            </w:r>
          </w:p>
        </w:tc>
        <w:tc>
          <w:tcPr>
            <w:tcW w:w="128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90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0.73</w:t>
            </w: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Total Domestic Commercial</w:t>
            </w:r>
          </w:p>
        </w:tc>
        <w:tc>
          <w:tcPr>
            <w:tcW w:w="1280" w:type="dxa"/>
            <w:vAlign w:val="bottom"/>
          </w:tcPr>
          <w:p>
            <w:pPr>
              <w:ind w:left="1000"/>
              <w:spacing w:after="0"/>
              <w:rPr>
                <w:sz w:val="20"/>
                <w:szCs w:val="20"/>
                <w:color w:val="auto"/>
              </w:rPr>
            </w:pPr>
            <w:r>
              <w:rPr>
                <w:rFonts w:ascii="Courier New" w:cs="Courier New" w:eastAsia="Courier New" w:hAnsi="Courier New"/>
                <w:sz w:val="8"/>
                <w:szCs w:val="8"/>
                <w:color w:val="auto"/>
                <w:w w:val="77"/>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303</w:t>
            </w:r>
          </w:p>
        </w:tc>
        <w:tc>
          <w:tcPr>
            <w:tcW w:w="18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0.76</w:t>
            </w:r>
          </w:p>
        </w:tc>
        <w:tc>
          <w:tcPr>
            <w:tcW w:w="20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0.29</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122</w:t>
            </w:r>
          </w:p>
        </w:tc>
        <w:tc>
          <w:tcPr>
            <w:tcW w:w="176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Commercial:</w:t>
            </w:r>
          </w:p>
        </w:tc>
        <w:tc>
          <w:tcPr>
            <w:tcW w:w="1280" w:type="dxa"/>
            <w:vAlign w:val="bottom"/>
          </w:tcPr>
          <w:p>
            <w:pPr>
              <w:spacing w:after="0"/>
              <w:rPr>
                <w:sz w:val="14"/>
                <w:szCs w:val="14"/>
                <w:color w:val="auto"/>
              </w:rPr>
            </w:pP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900" w:type="dxa"/>
            <w:vAlign w:val="bottom"/>
          </w:tcPr>
          <w:p>
            <w:pPr>
              <w:spacing w:after="0"/>
              <w:rPr>
                <w:sz w:val="14"/>
                <w:szCs w:val="14"/>
                <w:color w:val="auto"/>
              </w:rPr>
            </w:pPr>
          </w:p>
        </w:tc>
        <w:tc>
          <w:tcPr>
            <w:tcW w:w="9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39</w:t>
            </w:r>
          </w:p>
        </w:tc>
        <w:tc>
          <w:tcPr>
            <w:tcW w:w="1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0.39</w:t>
            </w:r>
          </w:p>
        </w:tc>
        <w:tc>
          <w:tcPr>
            <w:tcW w:w="20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0.27</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and Industrial</w:t>
            </w:r>
          </w:p>
        </w:tc>
        <w:tc>
          <w:tcPr>
            <w:tcW w:w="1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128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Financial Institutions</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9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NM</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Governments</w:t>
            </w:r>
          </w:p>
        </w:tc>
        <w:tc>
          <w:tcPr>
            <w:tcW w:w="128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Total Foreign Commercial</w:t>
            </w:r>
          </w:p>
        </w:tc>
        <w:tc>
          <w:tcPr>
            <w:tcW w:w="1280" w:type="dxa"/>
            <w:vAlign w:val="bottom"/>
          </w:tcPr>
          <w:p>
            <w:pPr>
              <w:ind w:left="1000"/>
              <w:spacing w:after="0"/>
              <w:rPr>
                <w:sz w:val="20"/>
                <w:szCs w:val="20"/>
                <w:color w:val="auto"/>
              </w:rPr>
            </w:pPr>
            <w:r>
              <w:rPr>
                <w:rFonts w:ascii="Courier New" w:cs="Courier New" w:eastAsia="Courier New" w:hAnsi="Courier New"/>
                <w:sz w:val="8"/>
                <w:szCs w:val="8"/>
                <w:color w:val="auto"/>
                <w:w w:val="77"/>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57</w:t>
            </w:r>
          </w:p>
        </w:tc>
        <w:tc>
          <w:tcPr>
            <w:tcW w:w="18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0.35</w:t>
            </w:r>
          </w:p>
        </w:tc>
        <w:tc>
          <w:tcPr>
            <w:tcW w:w="20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0.22</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w:t>
            </w:r>
          </w:p>
        </w:tc>
        <w:tc>
          <w:tcPr>
            <w:tcW w:w="176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TOTAL COMMERCIAL LOANS</w:t>
            </w:r>
          </w:p>
        </w:tc>
        <w:tc>
          <w:tcPr>
            <w:tcW w:w="1280" w:type="dxa"/>
            <w:vAlign w:val="bottom"/>
            <w:vMerge w:val="restart"/>
          </w:tcPr>
          <w:p>
            <w:pPr>
              <w:ind w:left="1000"/>
              <w:spacing w:after="0"/>
              <w:rPr>
                <w:sz w:val="20"/>
                <w:szCs w:val="20"/>
                <w:color w:val="auto"/>
              </w:rPr>
            </w:pPr>
            <w:r>
              <w:rPr>
                <w:rFonts w:ascii="Courier New" w:cs="Courier New" w:eastAsia="Courier New" w:hAnsi="Courier New"/>
                <w:sz w:val="8"/>
                <w:szCs w:val="8"/>
                <w:color w:val="auto"/>
                <w:w w:val="79"/>
                <w:vertAlign w:val="subscript"/>
              </w:rPr>
              <w:t>$</w:t>
            </w:r>
            <w:r>
              <w:rPr>
                <w:rFonts w:ascii="Courier New" w:cs="Courier New" w:eastAsia="Courier New" w:hAnsi="Courier New"/>
                <w:sz w:val="7"/>
                <w:szCs w:val="7"/>
                <w:color w:val="auto"/>
                <w:w w:val="79"/>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360</w:t>
            </w:r>
          </w:p>
        </w:tc>
        <w:tc>
          <w:tcPr>
            <w:tcW w:w="18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0.64%</w:t>
            </w:r>
          </w:p>
        </w:tc>
        <w:tc>
          <w:tcPr>
            <w:tcW w:w="20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0.27%</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158</w:t>
            </w:r>
          </w:p>
        </w:tc>
        <w:tc>
          <w:tcPr>
            <w:tcW w:w="176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(a)</w:t>
        <w:tab/>
        <w:t>Charge-offs for derivative receivables are included in trading revenue.</w:t>
      </w:r>
    </w:p>
    <w:p>
      <w:pPr>
        <w:spacing w:after="0" w:line="24" w:lineRule="exact"/>
        <w:rPr>
          <w:sz w:val="20"/>
          <w:szCs w:val="20"/>
          <w:color w:val="auto"/>
        </w:rPr>
      </w:pPr>
    </w:p>
    <w:p>
      <w:pPr>
        <w:ind w:left="440" w:right="3940" w:hanging="439"/>
        <w:spacing w:after="0" w:line="237" w:lineRule="auto"/>
        <w:tabs>
          <w:tab w:leader="none" w:pos="420" w:val="left"/>
        </w:tabs>
        <w:rPr>
          <w:sz w:val="20"/>
          <w:szCs w:val="20"/>
          <w:color w:val="auto"/>
        </w:rPr>
      </w:pPr>
      <w:r>
        <w:rPr>
          <w:rFonts w:ascii="Courier New" w:cs="Courier New" w:eastAsia="Courier New" w:hAnsi="Courier New"/>
          <w:sz w:val="15"/>
          <w:szCs w:val="15"/>
          <w:color w:val="auto"/>
        </w:rPr>
        <w:t>(b)</w:t>
        <w:tab/>
        <w:t>Nonperforming assets have not been reduced for credit protection (single name credit default swaps and collateralized loan obligations) aggregating $112 million related to nonperforming counterparties.</w:t>
      </w:r>
    </w:p>
    <w:p>
      <w:pPr>
        <w:spacing w:after="0"/>
        <w:tabs>
          <w:tab w:leader="none" w:pos="420" w:val="left"/>
        </w:tabs>
        <w:rPr>
          <w:sz w:val="20"/>
          <w:szCs w:val="20"/>
          <w:color w:val="auto"/>
        </w:rPr>
      </w:pPr>
      <w:r>
        <w:rPr>
          <w:rFonts w:ascii="Courier New" w:cs="Courier New" w:eastAsia="Courier New" w:hAnsi="Courier New"/>
          <w:sz w:val="15"/>
          <w:szCs w:val="15"/>
          <w:color w:val="auto"/>
        </w:rPr>
        <w:t>(c)</w:t>
        <w:tab/>
        <w:t>Annualized.</w:t>
      </w:r>
    </w:p>
    <w:p>
      <w:pPr>
        <w:spacing w:after="0" w:line="237" w:lineRule="auto"/>
        <w:rPr>
          <w:sz w:val="20"/>
          <w:szCs w:val="20"/>
          <w:color w:val="auto"/>
        </w:rPr>
      </w:pPr>
      <w:r>
        <w:rPr>
          <w:rFonts w:ascii="Courier New" w:cs="Courier New" w:eastAsia="Courier New" w:hAnsi="Courier New"/>
          <w:sz w:val="15"/>
          <w:szCs w:val="15"/>
          <w:color w:val="auto"/>
        </w:rPr>
        <w:t>NM - Not meaningful.</w:t>
      </w: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4020"/>
        <w:spacing w:after="0" w:line="266" w:lineRule="auto"/>
        <w:rPr>
          <w:sz w:val="20"/>
          <w:szCs w:val="20"/>
          <w:color w:val="auto"/>
        </w:rPr>
      </w:pPr>
      <w:r>
        <w:rPr>
          <w:rFonts w:ascii="Courier New" w:cs="Courier New" w:eastAsia="Courier New" w:hAnsi="Courier New"/>
          <w:sz w:val="14"/>
          <w:szCs w:val="14"/>
          <w:color w:val="auto"/>
        </w:rPr>
        <w:t>COMMERCIAL AND INDUSTRIAL: The domestic commercial and industrial portfolio decreased $1.1 billion from 2000 year-end. Domestic commercial and industrial net charge-offs in the 2001 second quarter amounted to $158 million, compared with $64 million in the 2000 second quarter. Nonperforming domestic commercial and industrial loans were $1.2 billion, an increase of $484 million from the 2000 year-end. The foreign commercial and industrial portfolio totaled $34.1 billion at June 30, 2001, a decrease of 8% from the 2000 year-end level. Nonperforming foreign commercial and industrial loans were $312 million, a decrease of $244 million from year-end 2000 due in large part to continuing improvement in the Asian loan portfolio. Net charge-offs in the foreign commercial and industrial loan portfolio for the second quarter of 2001 increased to $39 million, from $21 million in the same period last year.</w:t>
      </w:r>
    </w:p>
    <w:p>
      <w:pPr>
        <w:spacing w:after="0" w:line="77" w:lineRule="exact"/>
        <w:rPr>
          <w:sz w:val="20"/>
          <w:szCs w:val="20"/>
          <w:color w:val="auto"/>
        </w:rPr>
      </w:pPr>
    </w:p>
    <w:p>
      <w:pPr>
        <w:ind w:right="3860"/>
        <w:spacing w:after="0" w:line="269" w:lineRule="auto"/>
        <w:rPr>
          <w:sz w:val="20"/>
          <w:szCs w:val="20"/>
          <w:color w:val="auto"/>
        </w:rPr>
      </w:pPr>
      <w:r>
        <w:rPr>
          <w:rFonts w:ascii="Courier New" w:cs="Courier New" w:eastAsia="Courier New" w:hAnsi="Courier New"/>
          <w:sz w:val="14"/>
          <w:szCs w:val="14"/>
          <w:color w:val="auto"/>
        </w:rPr>
        <w:t>The telecommunications credit-related asset portfolio at June 30, 2001 was $10.1 billion, representing 5.5% of total JPMorgan Chase commercial credit-related assets, which is consistent with the Firm's strategy of maintaining portfolio diversification. The portion of the telecommunications portfolio considered investment grade as of June 30, 2001 was 60%, which compares with 67% for the aggregate portfolio. At June 30, 2001, 2.3% of the telecommunications portfolio was nonperforming. The more traditional (wireless and wireline) components of total telecommunications credit-related assets represented 86% of the total telecommunications portfolio, with 69% considered investment grade, while emerging telecommunications represented the balance.</w:t>
      </w:r>
    </w:p>
    <w:p>
      <w:pPr>
        <w:spacing w:after="0" w:line="73" w:lineRule="exact"/>
        <w:rPr>
          <w:sz w:val="20"/>
          <w:szCs w:val="20"/>
          <w:color w:val="auto"/>
        </w:rPr>
      </w:pPr>
    </w:p>
    <w:p>
      <w:pPr>
        <w:ind w:right="3860"/>
        <w:spacing w:after="0" w:line="287" w:lineRule="auto"/>
        <w:rPr>
          <w:sz w:val="20"/>
          <w:szCs w:val="20"/>
          <w:color w:val="auto"/>
        </w:rPr>
      </w:pPr>
      <w:r>
        <w:rPr>
          <w:rFonts w:ascii="Courier New" w:cs="Courier New" w:eastAsia="Courier New" w:hAnsi="Courier New"/>
          <w:sz w:val="14"/>
          <w:szCs w:val="14"/>
          <w:color w:val="auto"/>
        </w:rPr>
        <w:t>FINANCIAL INSTITUTIONS: Loans to financial institutions decreased $2.5 billion during 2001, when compared with year-end, primarily as a result of reductions in the foreign portion of the portfolio. Nonperforming financial institution loans increased to $257 million from $42 million at December 31, 2000, primarily because of one borrower in the domestic portion of that portfolio.</w:t>
      </w:r>
    </w:p>
    <w:p>
      <w:pPr>
        <w:spacing w:after="0" w:line="39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860"/>
          </w:cols>
          <w:pgMar w:left="220" w:top="261" w:right="819"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37</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AND FOREIGN EXCHANGE CONTRACTS</w:t>
      </w:r>
    </w:p>
    <w:p>
      <w:pPr>
        <w:spacing w:after="0" w:line="24"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5"/>
          <w:szCs w:val="15"/>
          <w:color w:val="auto"/>
        </w:rPr>
        <w:t>For a discussion of the derivative and foreign exchange contracts used by JPMorgan Chase, see Note 3 of this Form 10-Q, and page 50 and Notes 1 and 25 of JPMorgan Chase's 2000 Annual Report. The following table provides the remaining maturities of derivative and foreign exchange contracts outstanding at June 30, 2001 and December 31, 2000.</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AT JUNE 30, 2001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At December 31, 2000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8"/>
              </w:rPr>
              <w:t>-----------------------------------------------------</w:t>
            </w:r>
            <w:r>
              <w:rPr>
                <w:rFonts w:ascii="Courier New" w:cs="Courier New" w:eastAsia="Courier New" w:hAnsi="Courier New"/>
                <w:sz w:val="7"/>
                <w:szCs w:val="7"/>
                <w:color w:val="auto"/>
                <w:w w:val="98"/>
                <w:vertAlign w:val="subscript"/>
              </w:rPr>
              <w:t>INTEREST</w:t>
            </w:r>
          </w:p>
        </w:tc>
        <w:tc>
          <w:tcPr>
            <w:tcW w:w="10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FOREIGN</w:t>
            </w:r>
          </w:p>
        </w:tc>
        <w:tc>
          <w:tcPr>
            <w:tcW w:w="17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EQUITY,</w:t>
            </w:r>
          </w:p>
        </w:tc>
        <w:tc>
          <w:tcPr>
            <w:tcW w:w="800" w:type="dxa"/>
            <w:vAlign w:val="bottom"/>
          </w:tcPr>
          <w:p>
            <w:pPr>
              <w:spacing w:after="0"/>
              <w:rPr>
                <w:sz w:val="14"/>
                <w:szCs w:val="14"/>
                <w:color w:val="auto"/>
              </w:rPr>
            </w:pPr>
          </w:p>
        </w:tc>
        <w:tc>
          <w:tcPr>
            <w:tcW w:w="47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Interest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Foreign</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Equity,</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500" w:type="dxa"/>
            <w:vAlign w:val="bottom"/>
          </w:tcPr>
          <w:p>
            <w:pPr>
              <w:jc w:val="right"/>
              <w:ind w:right="553"/>
              <w:spacing w:after="0" w:line="168" w:lineRule="exact"/>
              <w:rPr>
                <w:sz w:val="20"/>
                <w:szCs w:val="20"/>
                <w:color w:val="auto"/>
              </w:rPr>
            </w:pPr>
            <w:r>
              <w:rPr>
                <w:rFonts w:ascii="Courier New" w:cs="Courier New" w:eastAsia="Courier New" w:hAnsi="Courier New"/>
                <w:sz w:val="15"/>
                <w:szCs w:val="15"/>
                <w:color w:val="auto"/>
              </w:rPr>
              <w:t>RATE</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w:t>
            </w:r>
          </w:p>
        </w:tc>
        <w:tc>
          <w:tcPr>
            <w:tcW w:w="1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COMMODITY AND</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TOTAL</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Rate</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Exchange</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Commodity and</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500" w:type="dxa"/>
            <w:vAlign w:val="bottom"/>
          </w:tcPr>
          <w:p>
            <w:pPr>
              <w:jc w:val="right"/>
              <w:ind w:right="293"/>
              <w:spacing w:after="0" w:line="168" w:lineRule="exact"/>
              <w:rPr>
                <w:sz w:val="20"/>
                <w:szCs w:val="20"/>
                <w:color w:val="auto"/>
              </w:rPr>
            </w:pPr>
            <w:r>
              <w:rPr>
                <w:rFonts w:ascii="Courier New" w:cs="Courier New" w:eastAsia="Courier New" w:hAnsi="Courier New"/>
                <w:sz w:val="15"/>
                <w:szCs w:val="15"/>
                <w:color w:val="auto"/>
              </w:rPr>
              <w:t>CONTRACTS</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CONTRACTS</w:t>
            </w:r>
          </w:p>
        </w:tc>
        <w:tc>
          <w:tcPr>
            <w:tcW w:w="1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OTHER CONTRACTS</w:t>
            </w:r>
          </w:p>
        </w:tc>
        <w:tc>
          <w:tcPr>
            <w:tcW w:w="800" w:type="dxa"/>
            <w:vAlign w:val="bottom"/>
            <w:vMerge w:val="continue"/>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Contracts</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Contracts</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Other Contracts</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500" w:type="dxa"/>
            <w:vAlign w:val="bottom"/>
          </w:tcPr>
          <w:p>
            <w:pPr>
              <w:jc w:val="right"/>
              <w:ind w:right="29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Less Than 1 Year</w:t>
            </w:r>
          </w:p>
        </w:tc>
        <w:tc>
          <w:tcPr>
            <w:tcW w:w="1500" w:type="dxa"/>
            <w:vAlign w:val="bottom"/>
          </w:tcPr>
          <w:p>
            <w:pPr>
              <w:jc w:val="right"/>
              <w:ind w:right="473"/>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w:t>
            </w:r>
          </w:p>
        </w:tc>
        <w:tc>
          <w:tcPr>
            <w:tcW w:w="17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w:t>
            </w:r>
          </w:p>
        </w:tc>
        <w:tc>
          <w:tcPr>
            <w:tcW w:w="17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40%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1 to 5 Years</w:t>
            </w:r>
          </w:p>
        </w:tc>
        <w:tc>
          <w:tcPr>
            <w:tcW w:w="1500" w:type="dxa"/>
            <w:vAlign w:val="bottom"/>
          </w:tcPr>
          <w:p>
            <w:pPr>
              <w:jc w:val="right"/>
              <w:ind w:right="553"/>
              <w:spacing w:after="0" w:line="168" w:lineRule="exact"/>
              <w:rPr>
                <w:sz w:val="20"/>
                <w:szCs w:val="20"/>
                <w:color w:val="auto"/>
              </w:rPr>
            </w:pPr>
            <w:r>
              <w:rPr>
                <w:rFonts w:ascii="Courier New" w:cs="Courier New" w:eastAsia="Courier New" w:hAnsi="Courier New"/>
                <w:sz w:val="15"/>
                <w:szCs w:val="15"/>
                <w:color w:val="auto"/>
              </w:rPr>
              <w:t>45</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17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59</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57</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Over 5 Years</w:t>
            </w:r>
          </w:p>
        </w:tc>
        <w:tc>
          <w:tcPr>
            <w:tcW w:w="1500" w:type="dxa"/>
            <w:vAlign w:val="bottom"/>
          </w:tcPr>
          <w:p>
            <w:pPr>
              <w:jc w:val="right"/>
              <w:ind w:right="553"/>
              <w:spacing w:after="0" w:line="168" w:lineRule="exact"/>
              <w:rPr>
                <w:sz w:val="20"/>
                <w:szCs w:val="20"/>
                <w:color w:val="auto"/>
              </w:rPr>
            </w:pPr>
            <w:r>
              <w:rPr>
                <w:rFonts w:ascii="Courier New" w:cs="Courier New" w:eastAsia="Courier New" w:hAnsi="Courier New"/>
                <w:sz w:val="15"/>
                <w:szCs w:val="15"/>
                <w:color w:val="auto"/>
              </w:rPr>
              <w:t>42</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17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500" w:type="dxa"/>
            <w:vAlign w:val="bottom"/>
          </w:tcPr>
          <w:p>
            <w:pPr>
              <w:jc w:val="right"/>
              <w:ind w:right="553"/>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1500" w:type="dxa"/>
            <w:vAlign w:val="bottom"/>
          </w:tcPr>
          <w:p>
            <w:pPr>
              <w:jc w:val="right"/>
              <w:ind w:right="473"/>
              <w:spacing w:after="0" w:line="168" w:lineRule="exact"/>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w:t>
            </w:r>
          </w:p>
        </w:tc>
        <w:tc>
          <w:tcPr>
            <w:tcW w:w="17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1500" w:type="dxa"/>
            <w:vAlign w:val="bottom"/>
          </w:tcPr>
          <w:p>
            <w:pPr>
              <w:jc w:val="right"/>
              <w:ind w:right="55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COUNTRY EXPOSURE</w:t>
      </w:r>
    </w:p>
    <w:p>
      <w:pPr>
        <w:spacing w:after="0" w:line="24" w:lineRule="exact"/>
        <w:rPr>
          <w:sz w:val="20"/>
          <w:szCs w:val="20"/>
          <w:color w:val="auto"/>
        </w:rPr>
      </w:pPr>
    </w:p>
    <w:p>
      <w:pPr>
        <w:ind w:right="4380"/>
        <w:spacing w:after="0" w:line="246" w:lineRule="auto"/>
        <w:rPr>
          <w:sz w:val="20"/>
          <w:szCs w:val="20"/>
          <w:color w:val="auto"/>
        </w:rPr>
      </w:pPr>
      <w:r>
        <w:rPr>
          <w:rFonts w:ascii="Courier New" w:cs="Courier New" w:eastAsia="Courier New" w:hAnsi="Courier New"/>
          <w:sz w:val="15"/>
          <w:szCs w:val="15"/>
          <w:color w:val="auto"/>
        </w:rPr>
        <w:t>The following table presents JPMorgan Chase's exposure to selected countries. This disclosure is based on management's view of country exposure. The difference between the current presentation and that used at the two prior quarter-ends is primarily as follows: (1) collateral held is used to reduce exposure on counterparty trades within a country; and (2) disclosure is based on total exposure, which includes local exposure funded locally in addition to cross-border exposure. Management believes the current presentation more accurately reflects JPMorgan Chase's country exposure. Amounts as of December 31, 2000 have been restated to conform to the current presentation.</w:t>
      </w:r>
    </w:p>
    <w:p>
      <w:pPr>
        <w:spacing w:after="0" w:line="200" w:lineRule="exact"/>
        <w:rPr>
          <w:sz w:val="20"/>
          <w:szCs w:val="20"/>
          <w:color w:val="auto"/>
        </w:rPr>
      </w:pPr>
    </w:p>
    <w:p>
      <w:pPr>
        <w:spacing w:after="0" w:line="225" w:lineRule="exact"/>
        <w:rPr>
          <w:sz w:val="20"/>
          <w:szCs w:val="20"/>
          <w:color w:val="auto"/>
        </w:rPr>
      </w:pPr>
    </w:p>
    <w:p>
      <w:pPr>
        <w:ind w:right="340"/>
        <w:spacing w:after="0" w:line="381" w:lineRule="auto"/>
        <w:rPr>
          <w:sz w:val="20"/>
          <w:szCs w:val="20"/>
          <w:color w:val="auto"/>
        </w:rPr>
      </w:pPr>
      <w:r>
        <w:rPr>
          <w:rFonts w:ascii="Courier New" w:cs="Courier New" w:eastAsia="Courier New" w:hAnsi="Courier New"/>
          <w:sz w:val="14"/>
          <w:szCs w:val="14"/>
          <w:color w:val="auto"/>
        </w:rPr>
        <w:t>============================================================================================================================== SELECTED COUNTRY EXPOSURE</w:t>
      </w:r>
    </w:p>
    <w:tbl>
      <w:tblPr>
        <w:tblLayout w:type="fixed"/>
        <w:tblInd w:w="0" w:type="dxa"/>
        <w:tblCellMar>
          <w:top w:w="0" w:type="dxa"/>
          <w:left w:w="0" w:type="dxa"/>
          <w:bottom w:w="0" w:type="dxa"/>
          <w:right w:w="0" w:type="dxa"/>
        </w:tblCellMar>
      </w:tblPr>
      <w:tr>
        <w:trPr>
          <w:trHeight w:val="169"/>
        </w:trPr>
        <w:tc>
          <w:tcPr>
            <w:tcW w:w="1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AT JUNE 30, 2001</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6"/>
              </w:rPr>
              <w:t>At Dec 31, 2000</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7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2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CROSS BORDER</w:t>
            </w:r>
          </w:p>
        </w:tc>
        <w:tc>
          <w:tcPr>
            <w:tcW w:w="1540" w:type="dxa"/>
            <w:vAlign w:val="bottom"/>
          </w:tcPr>
          <w:p>
            <w:pPr>
              <w:spacing w:after="0"/>
              <w:rPr>
                <w:sz w:val="22"/>
                <w:szCs w:val="22"/>
                <w:color w:val="auto"/>
              </w:rPr>
            </w:pPr>
          </w:p>
        </w:tc>
        <w:tc>
          <w:tcPr>
            <w:tcW w:w="11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LOCAL (d)</w:t>
            </w:r>
          </w:p>
        </w:tc>
        <w:tc>
          <w:tcPr>
            <w:tcW w:w="480" w:type="dxa"/>
            <w:vAlign w:val="bottom"/>
          </w:tcPr>
          <w:p>
            <w:pPr>
              <w:spacing w:after="0"/>
              <w:rPr>
                <w:sz w:val="22"/>
                <w:szCs w:val="22"/>
                <w:color w:val="auto"/>
              </w:rPr>
            </w:pP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TOTAL</w:t>
            </w:r>
          </w:p>
        </w:tc>
        <w:tc>
          <w:tcPr>
            <w:tcW w:w="17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Total</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EXPOSURE (e)</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Exposure</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2"/>
              </w:rPr>
              <w:t>---------------------------------------------</w:t>
            </w:r>
          </w:p>
        </w:tc>
        <w:tc>
          <w:tcPr>
            <w:tcW w:w="15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(in billions)</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rPr>
              <w:t>LENDING (a)</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TRADING (b)</w:t>
            </w: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OTHER (c)</w:t>
            </w: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540" w:type="dxa"/>
            <w:vAlign w:val="bottom"/>
          </w:tcPr>
          <w:p>
            <w:pPr>
              <w:spacing w:after="0"/>
              <w:rPr>
                <w:sz w:val="20"/>
                <w:szCs w:val="20"/>
                <w:color w:val="auto"/>
              </w:rPr>
            </w:pPr>
            <w:r>
              <w:rPr>
                <w:rFonts w:ascii="Courier New" w:cs="Courier New" w:eastAsia="Courier New" w:hAnsi="Courier New"/>
                <w:sz w:val="15"/>
                <w:szCs w:val="15"/>
                <w:color w:val="auto"/>
              </w:rPr>
              <w:t>Mexico</w:t>
            </w:r>
          </w:p>
        </w:tc>
        <w:tc>
          <w:tcPr>
            <w:tcW w:w="2140" w:type="dxa"/>
            <w:vAlign w:val="bottom"/>
          </w:tcPr>
          <w:p>
            <w:pPr>
              <w:jc w:val="right"/>
              <w:ind w:right="809"/>
              <w:spacing w:after="0"/>
              <w:rPr>
                <w:sz w:val="20"/>
                <w:szCs w:val="20"/>
                <w:color w:val="auto"/>
              </w:rPr>
            </w:pPr>
            <w:r>
              <w:rPr>
                <w:rFonts w:ascii="Courier New" w:cs="Courier New" w:eastAsia="Courier New" w:hAnsi="Courier New"/>
                <w:sz w:val="15"/>
                <w:szCs w:val="15"/>
                <w:color w:val="auto"/>
              </w:rPr>
              <w:t>$  1.2</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5"/>
              </w:rPr>
              <w:t>$   1.2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  0.7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3.3</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Brazil</w:t>
            </w:r>
          </w:p>
        </w:tc>
        <w:tc>
          <w:tcPr>
            <w:tcW w:w="2140" w:type="dxa"/>
            <w:vAlign w:val="bottom"/>
          </w:tcPr>
          <w:p>
            <w:pPr>
              <w:jc w:val="right"/>
              <w:ind w:right="809"/>
              <w:spacing w:after="0" w:line="168" w:lineRule="exact"/>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0.2</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0.8</w:t>
            </w: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0.9</w:t>
            </w:r>
          </w:p>
        </w:tc>
        <w:tc>
          <w:tcPr>
            <w:tcW w:w="480" w:type="dxa"/>
            <w:vAlign w:val="bottom"/>
          </w:tcPr>
          <w:p>
            <w:pPr>
              <w:spacing w:after="0"/>
              <w:rPr>
                <w:sz w:val="14"/>
                <w:szCs w:val="14"/>
                <w:color w:val="auto"/>
              </w:rPr>
            </w:pP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2.8</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Argentina</w:t>
            </w:r>
          </w:p>
        </w:tc>
        <w:tc>
          <w:tcPr>
            <w:tcW w:w="2140" w:type="dxa"/>
            <w:vAlign w:val="bottom"/>
          </w:tcPr>
          <w:p>
            <w:pPr>
              <w:jc w:val="right"/>
              <w:ind w:right="809"/>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0.8</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0.1</w:t>
            </w:r>
          </w:p>
        </w:tc>
        <w:tc>
          <w:tcPr>
            <w:tcW w:w="480" w:type="dxa"/>
            <w:vAlign w:val="bottom"/>
          </w:tcPr>
          <w:p>
            <w:pPr>
              <w:spacing w:after="0"/>
              <w:rPr>
                <w:sz w:val="14"/>
                <w:szCs w:val="14"/>
                <w:color w:val="auto"/>
              </w:rPr>
            </w:pP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 Africa</w:t>
            </w:r>
          </w:p>
        </w:tc>
        <w:tc>
          <w:tcPr>
            <w:tcW w:w="2140" w:type="dxa"/>
            <w:vAlign w:val="bottom"/>
          </w:tcPr>
          <w:p>
            <w:pPr>
              <w:jc w:val="right"/>
              <w:ind w:right="809"/>
              <w:spacing w:after="0" w:line="168" w:lineRule="exact"/>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0.8</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Indonesia</w:t>
            </w:r>
          </w:p>
        </w:tc>
        <w:tc>
          <w:tcPr>
            <w:tcW w:w="2140" w:type="dxa"/>
            <w:vAlign w:val="bottom"/>
          </w:tcPr>
          <w:p>
            <w:pPr>
              <w:jc w:val="right"/>
              <w:ind w:right="809"/>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0.1</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0.5</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0.9</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Turkey</w:t>
            </w:r>
          </w:p>
        </w:tc>
        <w:tc>
          <w:tcPr>
            <w:tcW w:w="2140" w:type="dxa"/>
            <w:vAlign w:val="bottom"/>
          </w:tcPr>
          <w:p>
            <w:pPr>
              <w:jc w:val="right"/>
              <w:ind w:right="809"/>
              <w:spacing w:after="0" w:line="168" w:lineRule="exact"/>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0.2</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20"/>
                <w:szCs w:val="20"/>
                <w:color w:val="auto"/>
              </w:rPr>
            </w:pPr>
            <w:r>
              <w:rPr>
                <w:rFonts w:ascii="Courier New" w:cs="Courier New" w:eastAsia="Courier New" w:hAnsi="Courier New"/>
                <w:sz w:val="15"/>
                <w:szCs w:val="15"/>
                <w:color w:val="auto"/>
              </w:rPr>
              <w:t>Russia</w:t>
            </w:r>
          </w:p>
        </w:tc>
        <w:tc>
          <w:tcPr>
            <w:tcW w:w="2140" w:type="dxa"/>
            <w:vAlign w:val="bottom"/>
          </w:tcPr>
          <w:p>
            <w:pPr>
              <w:jc w:val="right"/>
              <w:ind w:right="809"/>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0.1</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6"/>
                <w:szCs w:val="16"/>
                <w:color w:val="auto"/>
              </w:rPr>
            </w:pP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20" w:lineRule="exact"/>
        <w:rPr>
          <w:sz w:val="20"/>
          <w:szCs w:val="20"/>
          <w:color w:val="auto"/>
        </w:rPr>
      </w:pPr>
    </w:p>
    <w:p>
      <w:pPr>
        <w:ind w:left="440" w:right="4460" w:hanging="430"/>
        <w:spacing w:after="0" w:line="249"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Lending includes loans and accrued interest receivable, interest-bearing deposits with banks, acceptances, other monetary assets, issued letters of credit, and undrawn commitments to extend credit.</w:t>
      </w:r>
    </w:p>
    <w:p>
      <w:pPr>
        <w:spacing w:after="0" w:line="1" w:lineRule="exact"/>
        <w:rPr>
          <w:rFonts w:ascii="Courier New" w:cs="Courier New" w:eastAsia="Courier New" w:hAnsi="Courier New"/>
          <w:sz w:val="15"/>
          <w:szCs w:val="15"/>
          <w:color w:val="auto"/>
        </w:rPr>
      </w:pPr>
    </w:p>
    <w:p>
      <w:pPr>
        <w:ind w:left="440" w:right="4380" w:hanging="430"/>
        <w:spacing w:after="0" w:line="254"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includes (1) issuer exposure on cross-border debt and equity instruments, held in both trading and investment accounts, adjusted for the impact of issuer hedges including credit derivatives; and (2) counterparty exposure on derivative and foreign exchange contracts as well as security financing trades (resale agreements and securities borrowed).</w:t>
      </w:r>
    </w:p>
    <w:p>
      <w:pPr>
        <w:spacing w:after="0" w:line="1" w:lineRule="exact"/>
        <w:rPr>
          <w:rFonts w:ascii="Courier New" w:cs="Courier New" w:eastAsia="Courier New" w:hAnsi="Courier New"/>
          <w:sz w:val="14"/>
          <w:szCs w:val="14"/>
          <w:color w:val="auto"/>
        </w:rPr>
      </w:pPr>
    </w:p>
    <w:p>
      <w:pPr>
        <w:ind w:left="440" w:right="4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amounts associated with derivative and foreign exchange contracts are presented after taking into account the impact of legally enforceable master netting agreements.</w:t>
      </w:r>
    </w:p>
    <w:p>
      <w:pPr>
        <w:spacing w:after="0" w:line="1" w:lineRule="exact"/>
        <w:rPr>
          <w:rFonts w:ascii="Courier New" w:cs="Courier New" w:eastAsia="Courier New" w:hAnsi="Courier New"/>
          <w:sz w:val="14"/>
          <w:szCs w:val="14"/>
          <w:color w:val="auto"/>
        </w:rPr>
      </w:pPr>
    </w:p>
    <w:p>
      <w:pPr>
        <w:ind w:left="440" w:hanging="430"/>
        <w:spacing w:after="0" w:line="237"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Mainly local exposure funded cross border.</w:t>
      </w:r>
    </w:p>
    <w:p>
      <w:pPr>
        <w:ind w:left="440" w:right="4720" w:hanging="430"/>
        <w:spacing w:after="0" w:line="237"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exposure is defined as exposure to a country denominated in local currency, booked and funded locally.</w:t>
      </w:r>
    </w:p>
    <w:p>
      <w:pPr>
        <w:ind w:left="440" w:right="4820" w:hanging="430"/>
        <w:spacing w:after="0" w:line="237"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exposure includes exposure to both government and private sector entities in a country.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380"/>
          </w:cols>
          <w:pgMar w:left="220" w:top="261" w:right="299" w:bottom="1052"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380"/>
          </w:cols>
          <w:pgMar w:left="220" w:top="261" w:right="299" w:bottom="1052" w:gutter="0" w:footer="0" w:header="0"/>
          <w:type w:val="continuous"/>
        </w:sectPr>
      </w:pPr>
    </w:p>
    <w:bookmarkStart w:id="42" w:name="page43"/>
    <w:bookmarkEnd w:id="42"/>
    <w:p>
      <w:pPr>
        <w:spacing w:after="0" w:line="11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PORTFOLIO</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gridSpan w:val="3"/>
            <w:vMerge w:val="restart"/>
          </w:tcPr>
          <w:p>
            <w:pPr>
              <w:jc w:val="right"/>
              <w:ind w:right="427"/>
              <w:spacing w:after="0"/>
              <w:rPr>
                <w:sz w:val="20"/>
                <w:szCs w:val="20"/>
                <w:color w:val="auto"/>
              </w:rPr>
            </w:pPr>
            <w:r>
              <w:rPr>
                <w:rFonts w:ascii="Courier New" w:cs="Courier New" w:eastAsia="Courier New" w:hAnsi="Courier New"/>
                <w:sz w:val="15"/>
                <w:szCs w:val="15"/>
                <w:color w:val="auto"/>
                <w:w w:val="95"/>
              </w:rPr>
              <w:t>CREDIT-RELATED ASSETS</w:t>
            </w:r>
          </w:p>
        </w:tc>
        <w:tc>
          <w:tcPr>
            <w:tcW w:w="380" w:type="dxa"/>
            <w:vAlign w:val="bottom"/>
          </w:tcPr>
          <w:p>
            <w:pPr>
              <w:spacing w:after="0"/>
              <w:rPr>
                <w:sz w:val="14"/>
                <w:szCs w:val="14"/>
                <w:color w:val="auto"/>
              </w:rPr>
            </w:pPr>
          </w:p>
        </w:tc>
        <w:tc>
          <w:tcPr>
            <w:tcW w:w="2200" w:type="dxa"/>
            <w:vAlign w:val="bottom"/>
            <w:gridSpan w:val="3"/>
            <w:vMerge w:val="restart"/>
          </w:tcPr>
          <w:p>
            <w:pPr>
              <w:jc w:val="right"/>
              <w:ind w:right="287"/>
              <w:spacing w:after="0"/>
              <w:rPr>
                <w:sz w:val="20"/>
                <w:szCs w:val="20"/>
                <w:color w:val="auto"/>
              </w:rPr>
            </w:pPr>
            <w:r>
              <w:rPr>
                <w:rFonts w:ascii="Courier New" w:cs="Courier New" w:eastAsia="Courier New" w:hAnsi="Courier New"/>
                <w:sz w:val="15"/>
                <w:szCs w:val="15"/>
                <w:color w:val="auto"/>
              </w:rPr>
              <w:t>NONPERFORMING ASSETS</w:t>
            </w:r>
          </w:p>
        </w:tc>
        <w:tc>
          <w:tcPr>
            <w:tcW w:w="252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PAST DUE 90 DAYS &amp; OVER</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AND ACCRUING</w:t>
            </w:r>
          </w:p>
        </w:tc>
        <w:tc>
          <w:tcPr>
            <w:tcW w:w="0" w:type="dxa"/>
            <w:vAlign w:val="bottom"/>
          </w:tcPr>
          <w:p>
            <w:pPr>
              <w:spacing w:after="0"/>
              <w:rPr>
                <w:sz w:val="1"/>
                <w:szCs w:val="1"/>
                <w:color w:val="auto"/>
              </w:rPr>
            </w:pPr>
          </w:p>
        </w:tc>
      </w:tr>
      <w:tr>
        <w:trPr>
          <w:trHeight w:val="168"/>
        </w:trPr>
        <w:tc>
          <w:tcPr>
            <w:tcW w:w="150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5"/>
              </w:rPr>
              <w:t>---------------------</w:t>
            </w:r>
            <w:r>
              <w:rPr>
                <w:rFonts w:ascii="Courier New" w:cs="Courier New" w:eastAsia="Courier New" w:hAnsi="Courier New"/>
                <w:sz w:val="14"/>
                <w:szCs w:val="14"/>
                <w:color w:val="auto"/>
                <w:w w:val="75"/>
                <w:vertAlign w:val="subscript"/>
              </w:rPr>
              <w:t>JUNE30,</w:t>
            </w:r>
          </w:p>
        </w:tc>
        <w:tc>
          <w:tcPr>
            <w:tcW w:w="114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w w:val="98"/>
              </w:rPr>
              <w:t>Dec 31,</w:t>
            </w:r>
          </w:p>
        </w:tc>
        <w:tc>
          <w:tcPr>
            <w:tcW w:w="380" w:type="dxa"/>
            <w:vAlign w:val="bottom"/>
          </w:tcPr>
          <w:p>
            <w:pPr>
              <w:spacing w:after="0"/>
              <w:rPr>
                <w:sz w:val="14"/>
                <w:szCs w:val="14"/>
                <w:color w:val="auto"/>
              </w:rPr>
            </w:pPr>
          </w:p>
        </w:tc>
        <w:tc>
          <w:tcPr>
            <w:tcW w:w="220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JUNE 30,</w:t>
            </w:r>
          </w:p>
        </w:tc>
        <w:tc>
          <w:tcPr>
            <w:tcW w:w="11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Dec 31,</w:t>
            </w:r>
          </w:p>
        </w:tc>
        <w:tc>
          <w:tcPr>
            <w:tcW w:w="7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Dec 31,</w:t>
            </w:r>
          </w:p>
        </w:tc>
        <w:tc>
          <w:tcPr>
            <w:tcW w:w="0" w:type="dxa"/>
            <w:vAlign w:val="bottom"/>
          </w:tcPr>
          <w:p>
            <w:pPr>
              <w:spacing w:after="0"/>
              <w:rPr>
                <w:sz w:val="1"/>
                <w:szCs w:val="1"/>
                <w:color w:val="auto"/>
              </w:rPr>
            </w:pPr>
          </w:p>
        </w:tc>
      </w:tr>
      <w:tr>
        <w:trPr>
          <w:trHeight w:val="168"/>
        </w:trPr>
        <w:tc>
          <w:tcPr>
            <w:tcW w:w="1500" w:type="dxa"/>
            <w:vAlign w:val="bottom"/>
            <w:vMerge w:val="restart"/>
          </w:tcPr>
          <w:p>
            <w:pPr>
              <w:spacing w:after="0"/>
              <w:rPr>
                <w:sz w:val="20"/>
                <w:szCs w:val="20"/>
                <w:color w:val="auto"/>
              </w:rPr>
            </w:pPr>
            <w:r>
              <w:rPr>
                <w:rFonts w:ascii="Courier New" w:cs="Courier New" w:eastAsia="Courier New" w:hAnsi="Courier New"/>
                <w:sz w:val="15"/>
                <w:szCs w:val="15"/>
                <w:color w:val="auto"/>
              </w:rPr>
              <w:t>CONSUMER LOANS:</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530"/>
              <w:spacing w:after="0" w:line="168" w:lineRule="exact"/>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38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2000</w:t>
            </w:r>
          </w:p>
        </w:tc>
        <w:tc>
          <w:tcPr>
            <w:tcW w:w="78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1500" w:type="dxa"/>
            <w:vAlign w:val="bottom"/>
            <w:vMerge w:val="continue"/>
          </w:tcPr>
          <w:p>
            <w:pPr>
              <w:spacing w:after="0"/>
              <w:rPr>
                <w:sz w:val="21"/>
                <w:szCs w:val="21"/>
                <w:color w:val="auto"/>
              </w:rPr>
            </w:pPr>
          </w:p>
        </w:tc>
        <w:tc>
          <w:tcPr>
            <w:tcW w:w="1840" w:type="dxa"/>
            <w:vAlign w:val="bottom"/>
          </w:tcPr>
          <w:p>
            <w:pPr>
              <w:spacing w:after="0"/>
              <w:rPr>
                <w:sz w:val="21"/>
                <w:szCs w:val="21"/>
                <w:color w:val="auto"/>
              </w:rPr>
            </w:pPr>
          </w:p>
        </w:tc>
        <w:tc>
          <w:tcPr>
            <w:tcW w:w="1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1-4 Family Residential Mortgages</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70"/>
              <w:spacing w:after="0"/>
              <w:rPr>
                <w:sz w:val="20"/>
                <w:szCs w:val="20"/>
                <w:color w:val="auto"/>
              </w:rPr>
            </w:pPr>
            <w:r>
              <w:rPr>
                <w:rFonts w:ascii="Courier New" w:cs="Courier New" w:eastAsia="Courier New" w:hAnsi="Courier New"/>
                <w:sz w:val="15"/>
                <w:szCs w:val="15"/>
                <w:color w:val="auto"/>
              </w:rPr>
              <w:t>56,743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50,302</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Credit Card -</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Reported</w:t>
            </w:r>
          </w:p>
        </w:tc>
        <w:tc>
          <w:tcPr>
            <w:tcW w:w="700" w:type="dxa"/>
            <w:vAlign w:val="bottom"/>
          </w:tcPr>
          <w:p>
            <w:pPr>
              <w:spacing w:after="0"/>
              <w:rPr>
                <w:sz w:val="14"/>
                <w:szCs w:val="14"/>
                <w:color w:val="auto"/>
              </w:rPr>
            </w:pPr>
          </w:p>
        </w:tc>
        <w:tc>
          <w:tcPr>
            <w:tcW w:w="104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19,531</w:t>
            </w:r>
          </w:p>
        </w:tc>
        <w:tc>
          <w:tcPr>
            <w:tcW w:w="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18,495</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w:t>
            </w:r>
          </w:p>
        </w:tc>
        <w:tc>
          <w:tcPr>
            <w:tcW w:w="0" w:type="dxa"/>
            <w:vAlign w:val="bottom"/>
          </w:tcPr>
          <w:p>
            <w:pPr>
              <w:spacing w:after="0"/>
              <w:rPr>
                <w:sz w:val="1"/>
                <w:szCs w:val="1"/>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Credit Card Securitizations (a)</w:t>
            </w:r>
          </w:p>
        </w:tc>
        <w:tc>
          <w:tcPr>
            <w:tcW w:w="700" w:type="dxa"/>
            <w:vAlign w:val="bottom"/>
          </w:tcPr>
          <w:p>
            <w:pPr>
              <w:spacing w:after="0"/>
              <w:rPr>
                <w:sz w:val="14"/>
                <w:szCs w:val="14"/>
                <w:color w:val="auto"/>
              </w:rPr>
            </w:pPr>
          </w:p>
        </w:tc>
        <w:tc>
          <w:tcPr>
            <w:tcW w:w="104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17,753</w:t>
            </w:r>
          </w:p>
        </w:tc>
        <w:tc>
          <w:tcPr>
            <w:tcW w:w="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17,871</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w:t>
            </w:r>
          </w:p>
        </w:tc>
        <w:tc>
          <w:tcPr>
            <w:tcW w:w="0" w:type="dxa"/>
            <w:vAlign w:val="bottom"/>
          </w:tcPr>
          <w:p>
            <w:pPr>
              <w:spacing w:after="0"/>
              <w:rPr>
                <w:sz w:val="1"/>
                <w:szCs w:val="1"/>
                <w:color w:val="auto"/>
              </w:rPr>
            </w:pPr>
          </w:p>
        </w:tc>
      </w:tr>
      <w:tr>
        <w:trPr>
          <w:trHeight w:val="168"/>
        </w:trPr>
        <w:tc>
          <w:tcPr>
            <w:tcW w:w="15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Credit Card -</w:t>
            </w:r>
          </w:p>
        </w:tc>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Managed</w:t>
            </w:r>
          </w:p>
        </w:tc>
        <w:tc>
          <w:tcPr>
            <w:tcW w:w="700" w:type="dxa"/>
            <w:vAlign w:val="bottom"/>
          </w:tcPr>
          <w:p>
            <w:pPr>
              <w:ind w:left="340"/>
              <w:spacing w:after="0"/>
              <w:rPr>
                <w:sz w:val="20"/>
                <w:szCs w:val="20"/>
                <w:color w:val="auto"/>
              </w:rPr>
            </w:pPr>
            <w:r>
              <w:rPr>
                <w:rFonts w:ascii="Courier New" w:cs="Courier New" w:eastAsia="Courier New" w:hAnsi="Courier New"/>
                <w:sz w:val="6"/>
                <w:szCs w:val="6"/>
                <w:color w:val="auto"/>
                <w:w w:val="78"/>
              </w:rPr>
              <w:t>------------</w:t>
            </w:r>
          </w:p>
        </w:tc>
        <w:tc>
          <w:tcPr>
            <w:tcW w:w="1040" w:type="dxa"/>
            <w:vAlign w:val="bottom"/>
            <w:vMerge w:val="restart"/>
          </w:tcPr>
          <w:p>
            <w:pPr>
              <w:jc w:val="right"/>
              <w:ind w:right="270"/>
              <w:spacing w:after="0"/>
              <w:rPr>
                <w:sz w:val="20"/>
                <w:szCs w:val="20"/>
                <w:color w:val="auto"/>
              </w:rPr>
            </w:pPr>
            <w:r>
              <w:rPr>
                <w:rFonts w:ascii="Courier New" w:cs="Courier New" w:eastAsia="Courier New" w:hAnsi="Courier New"/>
                <w:sz w:val="15"/>
                <w:szCs w:val="15"/>
                <w:color w:val="auto"/>
              </w:rPr>
              <w:t>37,284</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36,366</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w:t>
            </w:r>
          </w:p>
        </w:tc>
        <w:tc>
          <w:tcPr>
            <w:tcW w:w="0" w:type="dxa"/>
            <w:vAlign w:val="bottom"/>
          </w:tcPr>
          <w:p>
            <w:pPr>
              <w:spacing w:after="0"/>
              <w:rPr>
                <w:sz w:val="1"/>
                <w:szCs w:val="1"/>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Auto Financings</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23,322</w:t>
            </w:r>
          </w:p>
        </w:tc>
        <w:tc>
          <w:tcPr>
            <w:tcW w:w="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19,802</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 Consumer (b)</w:t>
            </w:r>
          </w:p>
        </w:tc>
        <w:tc>
          <w:tcPr>
            <w:tcW w:w="700" w:type="dxa"/>
            <w:vAlign w:val="bottom"/>
          </w:tcPr>
          <w:p>
            <w:pPr>
              <w:spacing w:after="0"/>
              <w:rPr>
                <w:sz w:val="14"/>
                <w:szCs w:val="14"/>
                <w:color w:val="auto"/>
              </w:rPr>
            </w:pPr>
          </w:p>
        </w:tc>
        <w:tc>
          <w:tcPr>
            <w:tcW w:w="104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7,532</w:t>
            </w:r>
          </w:p>
        </w:tc>
        <w:tc>
          <w:tcPr>
            <w:tcW w:w="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7,991</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68"/>
        </w:trPr>
        <w:tc>
          <w:tcPr>
            <w:tcW w:w="33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CONSUMER LOANS</w:t>
            </w:r>
          </w:p>
        </w:tc>
        <w:tc>
          <w:tcPr>
            <w:tcW w:w="700" w:type="dxa"/>
            <w:vAlign w:val="bottom"/>
            <w:vMerge w:val="restart"/>
          </w:tcPr>
          <w:p>
            <w:pPr>
              <w:ind w:left="3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40" w:type="dxa"/>
            <w:vAlign w:val="bottom"/>
            <w:vMerge w:val="restart"/>
          </w:tcPr>
          <w:p>
            <w:pPr>
              <w:jc w:val="right"/>
              <w:ind w:right="270"/>
              <w:spacing w:after="0"/>
              <w:rPr>
                <w:sz w:val="20"/>
                <w:szCs w:val="20"/>
                <w:color w:val="auto"/>
              </w:rPr>
            </w:pPr>
            <w:r>
              <w:rPr>
                <w:rFonts w:ascii="Courier New" w:cs="Courier New" w:eastAsia="Courier New" w:hAnsi="Courier New"/>
                <w:sz w:val="15"/>
                <w:szCs w:val="15"/>
                <w:color w:val="auto"/>
              </w:rPr>
              <w:t>124,881</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114,461</w:t>
            </w:r>
          </w:p>
        </w:tc>
        <w:tc>
          <w:tcPr>
            <w:tcW w:w="3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401</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w:t>
            </w:r>
          </w:p>
        </w:tc>
        <w:tc>
          <w:tcPr>
            <w:tcW w:w="0" w:type="dxa"/>
            <w:vAlign w:val="bottom"/>
          </w:tcPr>
          <w:p>
            <w:pPr>
              <w:spacing w:after="0"/>
              <w:rPr>
                <w:sz w:val="1"/>
                <w:szCs w:val="1"/>
                <w:color w:val="auto"/>
              </w:rPr>
            </w:pPr>
          </w:p>
        </w:tc>
      </w:tr>
      <w:tr>
        <w:trPr>
          <w:trHeight w:val="194"/>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40" w:type="dxa"/>
            <w:vAlign w:val="bottom"/>
            <w:gridSpan w:val="2"/>
          </w:tcPr>
          <w:p>
            <w:pPr>
              <w:jc w:val="right"/>
              <w:ind w:right="27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NET CHARGE-OFFS</w:t>
            </w:r>
          </w:p>
        </w:tc>
        <w:tc>
          <w:tcPr>
            <w:tcW w:w="39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ANNUAL AVERAGE NET CHARGE-OFF RATES (c)</w:t>
            </w:r>
          </w:p>
        </w:tc>
        <w:tc>
          <w:tcPr>
            <w:tcW w:w="0" w:type="dxa"/>
            <w:vAlign w:val="bottom"/>
          </w:tcPr>
          <w:p>
            <w:pPr>
              <w:spacing w:after="0"/>
              <w:rPr>
                <w:sz w:val="1"/>
                <w:szCs w:val="1"/>
                <w:color w:val="auto"/>
              </w:rPr>
            </w:pPr>
          </w:p>
        </w:tc>
      </w:tr>
      <w:tr>
        <w:trPr>
          <w:trHeight w:val="168"/>
        </w:trPr>
        <w:tc>
          <w:tcPr>
            <w:tcW w:w="34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 millions, except ratios)</w:t>
            </w:r>
          </w:p>
        </w:tc>
        <w:tc>
          <w:tcPr>
            <w:tcW w:w="1140" w:type="dxa"/>
            <w:vAlign w:val="bottom"/>
          </w:tcPr>
          <w:p>
            <w:pPr>
              <w:jc w:val="right"/>
              <w:spacing w:after="0"/>
              <w:rPr>
                <w:sz w:val="20"/>
                <w:szCs w:val="20"/>
                <w:color w:val="auto"/>
              </w:rPr>
            </w:pPr>
            <w:r>
              <w:rPr>
                <w:rFonts w:ascii="Courier New" w:cs="Courier New" w:eastAsia="Courier New" w:hAnsi="Courier New"/>
                <w:sz w:val="8"/>
                <w:szCs w:val="8"/>
                <w:color w:val="auto"/>
                <w:w w:val="77"/>
              </w:rPr>
              <w:t>------------------------------</w:t>
            </w:r>
          </w:p>
        </w:tc>
        <w:tc>
          <w:tcPr>
            <w:tcW w:w="2140" w:type="dxa"/>
            <w:vAlign w:val="bottom"/>
            <w:gridSpan w:val="3"/>
            <w:vMerge w:val="restart"/>
          </w:tcPr>
          <w:p>
            <w:pPr>
              <w:jc w:val="right"/>
              <w:ind w:right="767"/>
              <w:spacing w:after="0"/>
              <w:rPr>
                <w:sz w:val="20"/>
                <w:szCs w:val="20"/>
                <w:color w:val="auto"/>
              </w:rPr>
            </w:pPr>
            <w:r>
              <w:rPr>
                <w:rFonts w:ascii="Courier New" w:cs="Courier New" w:eastAsia="Courier New" w:hAnsi="Courier New"/>
                <w:sz w:val="15"/>
                <w:szCs w:val="15"/>
                <w:color w:val="auto"/>
              </w:rPr>
              <w:t>SECOND QUARTER</w:t>
            </w:r>
          </w:p>
        </w:tc>
        <w:tc>
          <w:tcPr>
            <w:tcW w:w="39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3900" w:type="dxa"/>
            <w:vAlign w:val="bottom"/>
            <w:gridSpan w:val="2"/>
          </w:tcPr>
          <w:p>
            <w:pPr>
              <w:ind w:left="1540"/>
              <w:spacing w:after="0" w:line="168" w:lineRule="exact"/>
              <w:rPr>
                <w:sz w:val="20"/>
                <w:szCs w:val="20"/>
                <w:color w:val="auto"/>
              </w:rPr>
            </w:pPr>
            <w:r>
              <w:rPr>
                <w:rFonts w:ascii="Courier New" w:cs="Courier New" w:eastAsia="Courier New" w:hAnsi="Courier New"/>
                <w:sz w:val="15"/>
                <w:szCs w:val="15"/>
                <w:color w:val="auto"/>
              </w:rPr>
              <w:t>SECOND QUARTER</w:t>
            </w:r>
          </w:p>
        </w:tc>
        <w:tc>
          <w:tcPr>
            <w:tcW w:w="0" w:type="dxa"/>
            <w:vAlign w:val="bottom"/>
          </w:tcPr>
          <w:p>
            <w:pPr>
              <w:spacing w:after="0"/>
              <w:rPr>
                <w:sz w:val="1"/>
                <w:szCs w:val="1"/>
                <w:color w:val="auto"/>
              </w:rPr>
            </w:pPr>
          </w:p>
        </w:tc>
      </w:tr>
      <w:tr>
        <w:trPr>
          <w:trHeight w:val="168"/>
        </w:trPr>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rPr>
              <w:t>CONSUMER LOANS:</w:t>
            </w:r>
          </w:p>
        </w:tc>
        <w:tc>
          <w:tcPr>
            <w:tcW w:w="2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0"/>
                <w:szCs w:val="10"/>
                <w:color w:val="auto"/>
                <w:w w:val="74"/>
              </w:rPr>
              <w:t>-------------------------</w:t>
            </w:r>
          </w:p>
        </w:tc>
        <w:tc>
          <w:tcPr>
            <w:tcW w:w="700" w:type="dxa"/>
            <w:vAlign w:val="bottom"/>
            <w:vMerge w:val="restart"/>
          </w:tcPr>
          <w:p>
            <w:pPr>
              <w:jc w:val="center"/>
              <w:ind w:right="287"/>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114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39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2001</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40" w:type="dxa"/>
            <w:vAlign w:val="bottom"/>
            <w:gridSpan w:val="2"/>
          </w:tcPr>
          <w:p>
            <w:pPr>
              <w:jc w:val="center"/>
              <w:ind w:left="735"/>
              <w:spacing w:after="0"/>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1-4 Family Residential Mortgages</w:t>
            </w:r>
          </w:p>
        </w:tc>
        <w:tc>
          <w:tcPr>
            <w:tcW w:w="1140" w:type="dxa"/>
            <w:vAlign w:val="bottom"/>
          </w:tcPr>
          <w:p>
            <w:pPr>
              <w:jc w:val="right"/>
              <w:ind w:right="1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w:t>
            </w:r>
          </w:p>
        </w:tc>
        <w:tc>
          <w:tcPr>
            <w:tcW w:w="1960" w:type="dxa"/>
            <w:vAlign w:val="bottom"/>
          </w:tcPr>
          <w:p>
            <w:pPr>
              <w:ind w:left="1360"/>
              <w:spacing w:after="0"/>
              <w:rPr>
                <w:sz w:val="20"/>
                <w:szCs w:val="20"/>
                <w:color w:val="auto"/>
              </w:rPr>
            </w:pPr>
            <w:r>
              <w:rPr>
                <w:rFonts w:ascii="Courier New" w:cs="Courier New" w:eastAsia="Courier New" w:hAnsi="Courier New"/>
                <w:sz w:val="15"/>
                <w:szCs w:val="15"/>
                <w:color w:val="auto"/>
              </w:rPr>
              <w:t>0.05%</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168"/>
        </w:trPr>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Credit Card -</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Reported</w:t>
            </w: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166</w:t>
            </w: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4.69</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5.52</w:t>
            </w:r>
          </w:p>
        </w:tc>
        <w:tc>
          <w:tcPr>
            <w:tcW w:w="0" w:type="dxa"/>
            <w:vAlign w:val="bottom"/>
          </w:tcPr>
          <w:p>
            <w:pPr>
              <w:spacing w:after="0"/>
              <w:rPr>
                <w:sz w:val="1"/>
                <w:szCs w:val="1"/>
                <w:color w:val="auto"/>
              </w:rPr>
            </w:pPr>
          </w:p>
        </w:tc>
      </w:tr>
      <w:tr>
        <w:trPr>
          <w:trHeight w:val="168"/>
        </w:trPr>
        <w:tc>
          <w:tcPr>
            <w:tcW w:w="34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Credit Card Securitizations (a)</w:t>
            </w: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242</w:t>
            </w: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6.55</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4.93</w:t>
            </w:r>
          </w:p>
        </w:tc>
        <w:tc>
          <w:tcPr>
            <w:tcW w:w="0" w:type="dxa"/>
            <w:vAlign w:val="bottom"/>
          </w:tcPr>
          <w:p>
            <w:pPr>
              <w:spacing w:after="0"/>
              <w:rPr>
                <w:sz w:val="1"/>
                <w:szCs w:val="1"/>
                <w:color w:val="auto"/>
              </w:rPr>
            </w:pPr>
          </w:p>
        </w:tc>
      </w:tr>
      <w:tr>
        <w:trPr>
          <w:trHeight w:val="168"/>
        </w:trPr>
        <w:tc>
          <w:tcPr>
            <w:tcW w:w="14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Credit Card -</w:t>
            </w:r>
          </w:p>
        </w:tc>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Managed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507</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ind w:left="1360"/>
              <w:spacing w:after="0"/>
              <w:rPr>
                <w:sz w:val="20"/>
                <w:szCs w:val="20"/>
                <w:color w:val="auto"/>
              </w:rPr>
            </w:pPr>
            <w:r>
              <w:rPr>
                <w:rFonts w:ascii="Courier New" w:cs="Courier New" w:eastAsia="Courier New" w:hAnsi="Courier New"/>
                <w:sz w:val="15"/>
                <w:szCs w:val="15"/>
                <w:color w:val="auto"/>
              </w:rPr>
              <w:t>5.54</w:t>
            </w:r>
          </w:p>
        </w:tc>
        <w:tc>
          <w:tcPr>
            <w:tcW w:w="19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r>
        <w:trPr>
          <w:trHeight w:val="168"/>
        </w:trPr>
        <w:tc>
          <w:tcPr>
            <w:tcW w:w="140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408</w:t>
            </w:r>
          </w:p>
        </w:tc>
        <w:tc>
          <w:tcPr>
            <w:tcW w:w="19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Auto Financings</w:t>
            </w: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w:t>
            </w: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0.46</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0.47</w:t>
            </w:r>
          </w:p>
        </w:tc>
        <w:tc>
          <w:tcPr>
            <w:tcW w:w="0" w:type="dxa"/>
            <w:vAlign w:val="bottom"/>
          </w:tcPr>
          <w:p>
            <w:pPr>
              <w:spacing w:after="0"/>
              <w:rPr>
                <w:sz w:val="1"/>
                <w:szCs w:val="1"/>
                <w:color w:val="auto"/>
              </w:rPr>
            </w:pPr>
          </w:p>
        </w:tc>
      </w:tr>
      <w:tr>
        <w:trPr>
          <w:trHeight w:val="168"/>
        </w:trPr>
        <w:tc>
          <w:tcPr>
            <w:tcW w:w="34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Other Consumer (b)</w:t>
            </w: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42</w:t>
            </w: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2.30</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68"/>
        </w:trPr>
        <w:tc>
          <w:tcPr>
            <w:tcW w:w="34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CONSUMER LOANS</w:t>
            </w:r>
          </w:p>
        </w:tc>
        <w:tc>
          <w:tcPr>
            <w:tcW w:w="114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586</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ind w:left="1360"/>
              <w:spacing w:after="0"/>
              <w:rPr>
                <w:sz w:val="20"/>
                <w:szCs w:val="20"/>
                <w:color w:val="auto"/>
              </w:rPr>
            </w:pPr>
            <w:r>
              <w:rPr>
                <w:rFonts w:ascii="Courier New" w:cs="Courier New" w:eastAsia="Courier New" w:hAnsi="Courier New"/>
                <w:sz w:val="15"/>
                <w:szCs w:val="15"/>
                <w:color w:val="auto"/>
              </w:rPr>
              <w:t>1.89%</w:t>
            </w:r>
          </w:p>
        </w:tc>
        <w:tc>
          <w:tcPr>
            <w:tcW w:w="19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1.81%</w:t>
            </w:r>
          </w:p>
        </w:tc>
        <w:tc>
          <w:tcPr>
            <w:tcW w:w="0" w:type="dxa"/>
            <w:vAlign w:val="bottom"/>
          </w:tcPr>
          <w:p>
            <w:pPr>
              <w:spacing w:after="0"/>
              <w:rPr>
                <w:sz w:val="1"/>
                <w:szCs w:val="1"/>
                <w:color w:val="auto"/>
              </w:rPr>
            </w:pPr>
          </w:p>
        </w:tc>
      </w:tr>
      <w:tr>
        <w:trPr>
          <w:trHeight w:val="168"/>
        </w:trPr>
        <w:tc>
          <w:tcPr>
            <w:tcW w:w="34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482</w:t>
            </w:r>
          </w:p>
        </w:tc>
        <w:tc>
          <w:tcPr>
            <w:tcW w:w="19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NET CHARGE-OFFS</w:t>
            </w:r>
          </w:p>
        </w:tc>
        <w:tc>
          <w:tcPr>
            <w:tcW w:w="39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ANNUAL AVERAGE NET CHARGE-OFF RATES (c)</w:t>
            </w:r>
          </w:p>
        </w:tc>
        <w:tc>
          <w:tcPr>
            <w:tcW w:w="0" w:type="dxa"/>
            <w:vAlign w:val="bottom"/>
          </w:tcPr>
          <w:p>
            <w:pPr>
              <w:spacing w:after="0"/>
              <w:rPr>
                <w:sz w:val="1"/>
                <w:szCs w:val="1"/>
                <w:color w:val="auto"/>
              </w:rPr>
            </w:pPr>
          </w:p>
        </w:tc>
      </w:tr>
      <w:tr>
        <w:trPr>
          <w:trHeight w:val="168"/>
        </w:trPr>
        <w:tc>
          <w:tcPr>
            <w:tcW w:w="34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 millions, except ratios)</w:t>
            </w:r>
          </w:p>
        </w:tc>
        <w:tc>
          <w:tcPr>
            <w:tcW w:w="1140" w:type="dxa"/>
            <w:vAlign w:val="bottom"/>
          </w:tcPr>
          <w:p>
            <w:pPr>
              <w:jc w:val="right"/>
              <w:spacing w:after="0"/>
              <w:rPr>
                <w:sz w:val="20"/>
                <w:szCs w:val="20"/>
                <w:color w:val="auto"/>
              </w:rPr>
            </w:pPr>
            <w:r>
              <w:rPr>
                <w:rFonts w:ascii="Courier New" w:cs="Courier New" w:eastAsia="Courier New" w:hAnsi="Courier New"/>
                <w:sz w:val="8"/>
                <w:szCs w:val="8"/>
                <w:color w:val="auto"/>
                <w:w w:val="77"/>
              </w:rPr>
              <w:t>------------------------------</w:t>
            </w:r>
          </w:p>
        </w:tc>
        <w:tc>
          <w:tcPr>
            <w:tcW w:w="2140" w:type="dxa"/>
            <w:vAlign w:val="bottom"/>
            <w:gridSpan w:val="3"/>
            <w:vMerge w:val="restart"/>
          </w:tcPr>
          <w:p>
            <w:pPr>
              <w:jc w:val="right"/>
              <w:ind w:right="927"/>
              <w:spacing w:after="0"/>
              <w:rPr>
                <w:sz w:val="20"/>
                <w:szCs w:val="20"/>
                <w:color w:val="auto"/>
              </w:rPr>
            </w:pPr>
            <w:r>
              <w:rPr>
                <w:rFonts w:ascii="Courier New" w:cs="Courier New" w:eastAsia="Courier New" w:hAnsi="Courier New"/>
                <w:sz w:val="15"/>
                <w:szCs w:val="15"/>
                <w:color w:val="auto"/>
              </w:rPr>
              <w:t>SIX MONTHS</w:t>
            </w:r>
          </w:p>
        </w:tc>
        <w:tc>
          <w:tcPr>
            <w:tcW w:w="39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960" w:type="dxa"/>
            <w:vAlign w:val="bottom"/>
          </w:tcPr>
          <w:p>
            <w:pPr>
              <w:spacing w:after="0"/>
              <w:rPr>
                <w:sz w:val="14"/>
                <w:szCs w:val="14"/>
                <w:color w:val="auto"/>
              </w:rPr>
            </w:pPr>
          </w:p>
        </w:tc>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168"/>
        </w:trPr>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rPr>
              <w:t>CONSUMER LOANS:</w:t>
            </w:r>
          </w:p>
        </w:tc>
        <w:tc>
          <w:tcPr>
            <w:tcW w:w="2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0"/>
                <w:szCs w:val="10"/>
                <w:color w:val="auto"/>
                <w:w w:val="74"/>
              </w:rPr>
              <w:t>-------------------------</w:t>
            </w:r>
          </w:p>
        </w:tc>
        <w:tc>
          <w:tcPr>
            <w:tcW w:w="700" w:type="dxa"/>
            <w:vAlign w:val="bottom"/>
            <w:vMerge w:val="restart"/>
          </w:tcPr>
          <w:p>
            <w:pPr>
              <w:jc w:val="center"/>
              <w:ind w:right="287"/>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114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390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2001</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40" w:type="dxa"/>
            <w:vAlign w:val="bottom"/>
            <w:gridSpan w:val="2"/>
          </w:tcPr>
          <w:p>
            <w:pPr>
              <w:jc w:val="center"/>
              <w:ind w:left="735"/>
              <w:spacing w:after="0"/>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1-4 Family Residential Mortgages</w:t>
            </w:r>
          </w:p>
        </w:tc>
        <w:tc>
          <w:tcPr>
            <w:tcW w:w="1140" w:type="dxa"/>
            <w:vAlign w:val="bottom"/>
          </w:tcPr>
          <w:p>
            <w:pPr>
              <w:jc w:val="right"/>
              <w:ind w:right="1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w:t>
            </w:r>
          </w:p>
        </w:tc>
        <w:tc>
          <w:tcPr>
            <w:tcW w:w="1960" w:type="dxa"/>
            <w:vAlign w:val="bottom"/>
          </w:tcPr>
          <w:p>
            <w:pPr>
              <w:ind w:left="1360"/>
              <w:spacing w:after="0"/>
              <w:rPr>
                <w:sz w:val="20"/>
                <w:szCs w:val="20"/>
                <w:color w:val="auto"/>
              </w:rPr>
            </w:pPr>
            <w:r>
              <w:rPr>
                <w:rFonts w:ascii="Courier New" w:cs="Courier New" w:eastAsia="Courier New" w:hAnsi="Courier New"/>
                <w:sz w:val="15"/>
                <w:szCs w:val="15"/>
                <w:color w:val="auto"/>
              </w:rPr>
              <w:t>0.06%</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168"/>
        </w:trPr>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Credit Card -</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Reported</w:t>
            </w: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354</w:t>
            </w: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4.59</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5.40</w:t>
            </w:r>
          </w:p>
        </w:tc>
        <w:tc>
          <w:tcPr>
            <w:tcW w:w="0" w:type="dxa"/>
            <w:vAlign w:val="bottom"/>
          </w:tcPr>
          <w:p>
            <w:pPr>
              <w:spacing w:after="0"/>
              <w:rPr>
                <w:sz w:val="1"/>
                <w:szCs w:val="1"/>
                <w:color w:val="auto"/>
              </w:rPr>
            </w:pPr>
          </w:p>
        </w:tc>
      </w:tr>
      <w:tr>
        <w:trPr>
          <w:trHeight w:val="168"/>
        </w:trPr>
        <w:tc>
          <w:tcPr>
            <w:tcW w:w="34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Credit Card Securitizations (a)</w:t>
            </w: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496</w:t>
            </w: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6.20</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5.25</w:t>
            </w:r>
          </w:p>
        </w:tc>
        <w:tc>
          <w:tcPr>
            <w:tcW w:w="0" w:type="dxa"/>
            <w:vAlign w:val="bottom"/>
          </w:tcPr>
          <w:p>
            <w:pPr>
              <w:spacing w:after="0"/>
              <w:rPr>
                <w:sz w:val="1"/>
                <w:szCs w:val="1"/>
                <w:color w:val="auto"/>
              </w:rPr>
            </w:pPr>
          </w:p>
        </w:tc>
      </w:tr>
      <w:tr>
        <w:trPr>
          <w:trHeight w:val="168"/>
        </w:trPr>
        <w:tc>
          <w:tcPr>
            <w:tcW w:w="14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Credit Card -</w:t>
            </w:r>
          </w:p>
        </w:tc>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Managed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966</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ind w:left="1360"/>
              <w:spacing w:after="0"/>
              <w:rPr>
                <w:sz w:val="20"/>
                <w:szCs w:val="20"/>
                <w:color w:val="auto"/>
              </w:rPr>
            </w:pPr>
            <w:r>
              <w:rPr>
                <w:rFonts w:ascii="Courier New" w:cs="Courier New" w:eastAsia="Courier New" w:hAnsi="Courier New"/>
                <w:sz w:val="15"/>
                <w:szCs w:val="15"/>
                <w:color w:val="auto"/>
              </w:rPr>
              <w:t>5.33</w:t>
            </w:r>
          </w:p>
        </w:tc>
        <w:tc>
          <w:tcPr>
            <w:tcW w:w="19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5.31</w:t>
            </w:r>
          </w:p>
        </w:tc>
        <w:tc>
          <w:tcPr>
            <w:tcW w:w="0" w:type="dxa"/>
            <w:vAlign w:val="bottom"/>
          </w:tcPr>
          <w:p>
            <w:pPr>
              <w:spacing w:after="0"/>
              <w:rPr>
                <w:sz w:val="1"/>
                <w:szCs w:val="1"/>
                <w:color w:val="auto"/>
              </w:rPr>
            </w:pPr>
          </w:p>
        </w:tc>
      </w:tr>
      <w:tr>
        <w:trPr>
          <w:trHeight w:val="168"/>
        </w:trPr>
        <w:tc>
          <w:tcPr>
            <w:tcW w:w="140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850</w:t>
            </w:r>
          </w:p>
        </w:tc>
        <w:tc>
          <w:tcPr>
            <w:tcW w:w="19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Auto Financings</w:t>
            </w: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w:t>
            </w: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0.51</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0.46</w:t>
            </w:r>
          </w:p>
        </w:tc>
        <w:tc>
          <w:tcPr>
            <w:tcW w:w="0" w:type="dxa"/>
            <w:vAlign w:val="bottom"/>
          </w:tcPr>
          <w:p>
            <w:pPr>
              <w:spacing w:after="0"/>
              <w:rPr>
                <w:sz w:val="1"/>
                <w:szCs w:val="1"/>
                <w:color w:val="auto"/>
              </w:rPr>
            </w:pPr>
          </w:p>
        </w:tc>
      </w:tr>
      <w:tr>
        <w:trPr>
          <w:trHeight w:val="168"/>
        </w:trPr>
        <w:tc>
          <w:tcPr>
            <w:tcW w:w="34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Other Consumer (b)</w:t>
            </w:r>
          </w:p>
        </w:tc>
        <w:tc>
          <w:tcPr>
            <w:tcW w:w="1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94</w:t>
            </w:r>
          </w:p>
        </w:tc>
        <w:tc>
          <w:tcPr>
            <w:tcW w:w="19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2.11</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1.89</w:t>
            </w:r>
          </w:p>
        </w:tc>
        <w:tc>
          <w:tcPr>
            <w:tcW w:w="0" w:type="dxa"/>
            <w:vAlign w:val="bottom"/>
          </w:tcPr>
          <w:p>
            <w:pPr>
              <w:spacing w:after="0"/>
              <w:rPr>
                <w:sz w:val="1"/>
                <w:szCs w:val="1"/>
                <w:color w:val="auto"/>
              </w:rPr>
            </w:pPr>
          </w:p>
        </w:tc>
      </w:tr>
      <w:tr>
        <w:trPr>
          <w:trHeight w:val="168"/>
        </w:trPr>
        <w:tc>
          <w:tcPr>
            <w:tcW w:w="34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CONSUMER LOANS</w:t>
            </w:r>
          </w:p>
        </w:tc>
        <w:tc>
          <w:tcPr>
            <w:tcW w:w="114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1,126</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ind w:left="1360"/>
              <w:spacing w:after="0"/>
              <w:rPr>
                <w:sz w:val="20"/>
                <w:szCs w:val="20"/>
                <w:color w:val="auto"/>
              </w:rPr>
            </w:pPr>
            <w:r>
              <w:rPr>
                <w:rFonts w:ascii="Courier New" w:cs="Courier New" w:eastAsia="Courier New" w:hAnsi="Courier New"/>
                <w:sz w:val="15"/>
                <w:szCs w:val="15"/>
                <w:color w:val="auto"/>
              </w:rPr>
              <w:t>1.87%</w:t>
            </w:r>
          </w:p>
        </w:tc>
        <w:tc>
          <w:tcPr>
            <w:tcW w:w="19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1.89%</w:t>
            </w:r>
          </w:p>
        </w:tc>
        <w:tc>
          <w:tcPr>
            <w:tcW w:w="0" w:type="dxa"/>
            <w:vAlign w:val="bottom"/>
          </w:tcPr>
          <w:p>
            <w:pPr>
              <w:spacing w:after="0"/>
              <w:rPr>
                <w:sz w:val="1"/>
                <w:szCs w:val="1"/>
                <w:color w:val="auto"/>
              </w:rPr>
            </w:pPr>
          </w:p>
        </w:tc>
      </w:tr>
      <w:tr>
        <w:trPr>
          <w:trHeight w:val="168"/>
        </w:trPr>
        <w:tc>
          <w:tcPr>
            <w:tcW w:w="34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1,006</w:t>
            </w:r>
          </w:p>
        </w:tc>
        <w:tc>
          <w:tcPr>
            <w:tcW w:w="19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360" w:right="4540" w:hanging="350"/>
        <w:spacing w:after="0" w:line="255" w:lineRule="auto"/>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portion of JPMorgan Chase's credit card receivables that have been securitized.</w:t>
      </w:r>
    </w:p>
    <w:p>
      <w:pPr>
        <w:spacing w:after="0" w:line="1" w:lineRule="exact"/>
        <w:rPr>
          <w:rFonts w:ascii="Courier New" w:cs="Courier New" w:eastAsia="Courier New" w:hAnsi="Courier New"/>
          <w:sz w:val="15"/>
          <w:szCs w:val="15"/>
          <w:color w:val="auto"/>
        </w:rPr>
      </w:pPr>
    </w:p>
    <w:p>
      <w:pPr>
        <w:ind w:left="360" w:right="4880" w:hanging="350"/>
        <w:spacing w:after="0" w:line="254" w:lineRule="auto"/>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installment loans (direct and indirect types of consumer finance), student loans, unsecured lines of credit and foreign consumer.</w:t>
      </w:r>
    </w:p>
    <w:p>
      <w:pPr>
        <w:ind w:left="360" w:hanging="350"/>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right="4620"/>
        <w:spacing w:after="0" w:line="264" w:lineRule="auto"/>
        <w:rPr>
          <w:sz w:val="20"/>
          <w:szCs w:val="20"/>
          <w:color w:val="auto"/>
        </w:rPr>
      </w:pPr>
      <w:r>
        <w:rPr>
          <w:rFonts w:ascii="Courier New" w:cs="Courier New" w:eastAsia="Courier New" w:hAnsi="Courier New"/>
          <w:sz w:val="15"/>
          <w:szCs w:val="15"/>
          <w:color w:val="auto"/>
        </w:rPr>
        <w:t>RESIDENTIAL MORTGAGE LOANS: Residential mortgage loans were $56.7 billion at June 30, 2001, a $6.4 billion increase from year-end. During the first six months of 2001, the level of nonperforming residential mortgage loans decreased 2%. The net charge-off rate of 0.05% for the second quarter of 2001 was four basis points lower than for the second quarter 2000.</w:t>
      </w:r>
    </w:p>
    <w:p>
      <w:pPr>
        <w:spacing w:after="0" w:line="75" w:lineRule="exact"/>
        <w:rPr>
          <w:sz w:val="20"/>
          <w:szCs w:val="20"/>
          <w:color w:val="auto"/>
        </w:rPr>
      </w:pPr>
    </w:p>
    <w:p>
      <w:pPr>
        <w:ind w:right="4620"/>
        <w:spacing w:after="0" w:line="290" w:lineRule="auto"/>
        <w:rPr>
          <w:sz w:val="20"/>
          <w:szCs w:val="20"/>
          <w:color w:val="auto"/>
        </w:rPr>
      </w:pPr>
      <w:r>
        <w:rPr>
          <w:rFonts w:ascii="Courier New" w:cs="Courier New" w:eastAsia="Courier New" w:hAnsi="Courier New"/>
          <w:sz w:val="15"/>
          <w:szCs w:val="15"/>
          <w:color w:val="auto"/>
        </w:rPr>
        <w:t>CREDIT CARD LOANS: JPMorgan Chase analyzes its credit card portfolio on a "managed basis," which includes credit card receivables on the balance sheet as well as credit card receivables that have been securitized.</w:t>
      </w:r>
    </w:p>
    <w:p>
      <w:pPr>
        <w:spacing w:after="0" w:line="57" w:lineRule="exact"/>
        <w:rPr>
          <w:sz w:val="20"/>
          <w:szCs w:val="20"/>
          <w:color w:val="auto"/>
        </w:rPr>
      </w:pPr>
    </w:p>
    <w:p>
      <w:pPr>
        <w:ind w:right="4700"/>
        <w:spacing w:after="0" w:line="385" w:lineRule="auto"/>
        <w:rPr>
          <w:sz w:val="20"/>
          <w:szCs w:val="20"/>
          <w:color w:val="auto"/>
        </w:rPr>
      </w:pPr>
      <w:r>
        <w:rPr>
          <w:rFonts w:ascii="Courier New" w:cs="Courier New" w:eastAsia="Courier New" w:hAnsi="Courier New"/>
          <w:sz w:val="14"/>
          <w:szCs w:val="14"/>
          <w:color w:val="auto"/>
        </w:rPr>
        <w:t>Managed credit card receivables of $37.3 billion as of June 30, 2001 increased 3% when compared with year-end 2000 and increased over 16% from June 30 last</w:t>
      </w:r>
    </w:p>
    <w:p>
      <w:pPr>
        <w:sectPr>
          <w:pgSz w:w="11900" w:h="16949" w:orient="portrait"/>
          <w:cols w:equalWidth="0" w:num="1">
            <w:col w:w="11540"/>
          </w:cols>
          <w:pgMar w:left="220" w:top="261" w:right="139" w:bottom="0" w:gutter="0" w:footer="0" w:header="0"/>
        </w:sectPr>
      </w:pPr>
    </w:p>
    <w:bookmarkStart w:id="43" w:name="page44"/>
    <w:bookmarkEnd w:id="43"/>
    <w:p>
      <w:pPr>
        <w:ind w:right="3239"/>
        <w:spacing w:after="0" w:line="258" w:lineRule="auto"/>
        <w:rPr>
          <w:sz w:val="20"/>
          <w:szCs w:val="20"/>
          <w:color w:val="auto"/>
        </w:rPr>
      </w:pPr>
      <w:r>
        <w:rPr>
          <w:rFonts w:ascii="Courier New" w:cs="Courier New" w:eastAsia="Courier New" w:hAnsi="Courier New"/>
          <w:sz w:val="15"/>
          <w:szCs w:val="15"/>
          <w:color w:val="auto"/>
        </w:rPr>
        <w:t>year. During the 2001 second quarter, net charge-offs as a percentage of average credit card receivables increased to 5.54%, compared with 5.16% in the prior-year period. Loans over 90 days past due decreased to 1.88% of the portfolio at June 30, 2001, compared with 1.96% at December 31, 2000. Management anticipates that the managed credit card net charge-off ratio for full-year 2001 will be higher than for full-year 2000.</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115"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right="3860"/>
        <w:spacing w:after="0" w:line="258" w:lineRule="auto"/>
        <w:rPr>
          <w:sz w:val="20"/>
          <w:szCs w:val="20"/>
          <w:color w:val="auto"/>
        </w:rPr>
      </w:pPr>
      <w:r>
        <w:rPr>
          <w:rFonts w:ascii="Courier New" w:cs="Courier New" w:eastAsia="Courier New" w:hAnsi="Courier New"/>
          <w:sz w:val="15"/>
          <w:szCs w:val="15"/>
          <w:color w:val="auto"/>
        </w:rPr>
        <w:t>AUTO FINANCINGS: Auto financings outstanding increased 18% at June 30, 2001, when compared with year-end 2000. The charge-off rate of 0.46% for the 2001 second quarter, unchanged from full-year 2000, continues to be indicative of this portfolio's selective approach to asset origination. Total originations were $9.1 billion for the six months of 2001, compared with $5.1 billion for the same 2000 period.</w:t>
      </w:r>
    </w:p>
    <w:p>
      <w:pPr>
        <w:spacing w:after="0" w:line="81" w:lineRule="exact"/>
        <w:rPr>
          <w:sz w:val="20"/>
          <w:szCs w:val="20"/>
          <w:color w:val="auto"/>
        </w:rPr>
      </w:pPr>
    </w:p>
    <w:p>
      <w:pPr>
        <w:ind w:right="3940"/>
        <w:spacing w:after="0" w:line="264" w:lineRule="auto"/>
        <w:rPr>
          <w:sz w:val="20"/>
          <w:szCs w:val="20"/>
          <w:color w:val="auto"/>
        </w:rPr>
      </w:pPr>
      <w:r>
        <w:rPr>
          <w:rFonts w:ascii="Courier New" w:cs="Courier New" w:eastAsia="Courier New" w:hAnsi="Courier New"/>
          <w:sz w:val="15"/>
          <w:szCs w:val="15"/>
          <w:color w:val="auto"/>
        </w:rPr>
        <w:t>OTHER CONSUMER LOANS: The level of other consumer loans of $7.5 billion at June 30, 2001 decreased 6% from year-end 2000. The net charge-off rates related to this portfolio were higher in the second quarter, when compared with the second quarter of 2000 due to higher bankruptcy losses for certain installment loans and revolving lines of credit.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CREDIT LOSSES</w:t>
      </w:r>
    </w:p>
    <w:p>
      <w:pPr>
        <w:spacing w:after="0" w:line="24" w:lineRule="exact"/>
        <w:rPr>
          <w:sz w:val="20"/>
          <w:szCs w:val="20"/>
          <w:color w:val="auto"/>
        </w:rPr>
      </w:pPr>
    </w:p>
    <w:p>
      <w:pPr>
        <w:ind w:right="3860"/>
        <w:spacing w:after="0" w:line="249" w:lineRule="auto"/>
        <w:rPr>
          <w:sz w:val="20"/>
          <w:szCs w:val="20"/>
          <w:color w:val="auto"/>
        </w:rPr>
      </w:pPr>
      <w:r>
        <w:rPr>
          <w:rFonts w:ascii="Courier New" w:cs="Courier New" w:eastAsia="Courier New" w:hAnsi="Courier New"/>
          <w:sz w:val="15"/>
          <w:szCs w:val="15"/>
          <w:color w:val="auto"/>
        </w:rPr>
        <w:t>Loans: JPMorgan Chase's allowance for loan losses is intended to cover probable credit losses as of June 30, 2001, for which either the asset is not specifically identified or the size of the loss has not been fully determined. Within the allowance, there are both specific and expected loss components and a residual component. For a further discussion of the specific loss, expected loss and residual components of the allowance for loan losses, see page 53 of JPMorgan Chase's 2000 Annual Report.</w:t>
      </w:r>
    </w:p>
    <w:p>
      <w:pPr>
        <w:spacing w:after="0" w:line="86" w:lineRule="exact"/>
        <w:rPr>
          <w:sz w:val="20"/>
          <w:szCs w:val="20"/>
          <w:color w:val="auto"/>
        </w:rPr>
      </w:pPr>
    </w:p>
    <w:p>
      <w:pPr>
        <w:ind w:right="4300"/>
        <w:spacing w:after="0" w:line="344" w:lineRule="auto"/>
        <w:rPr>
          <w:sz w:val="20"/>
          <w:szCs w:val="20"/>
          <w:color w:val="auto"/>
        </w:rPr>
      </w:pPr>
      <w:r>
        <w:rPr>
          <w:rFonts w:ascii="Courier New" w:cs="Courier New" w:eastAsia="Courier New" w:hAnsi="Courier New"/>
          <w:sz w:val="15"/>
          <w:szCs w:val="15"/>
          <w:color w:val="auto"/>
        </w:rPr>
        <w:t>The provision for loan losses for the second quarter of 2001 increased $197 million or 60%, when compared with the second quarter of 2000.</w:t>
      </w:r>
    </w:p>
    <w:p>
      <w:pPr>
        <w:spacing w:after="0" w:line="17" w:lineRule="exact"/>
        <w:rPr>
          <w:sz w:val="20"/>
          <w:szCs w:val="20"/>
          <w:color w:val="auto"/>
        </w:rPr>
      </w:pPr>
    </w:p>
    <w:p>
      <w:pPr>
        <w:ind w:right="3860"/>
        <w:spacing w:after="0" w:line="258" w:lineRule="auto"/>
        <w:rPr>
          <w:sz w:val="20"/>
          <w:szCs w:val="20"/>
          <w:color w:val="auto"/>
        </w:rPr>
      </w:pPr>
      <w:r>
        <w:rPr>
          <w:rFonts w:ascii="Courier New" w:cs="Courier New" w:eastAsia="Courier New" w:hAnsi="Courier New"/>
          <w:sz w:val="15"/>
          <w:szCs w:val="15"/>
          <w:color w:val="auto"/>
        </w:rPr>
        <w:t>Foreign commercial loan net charge-offs increased $21 million during the first six months of 2001, when compared with the first six months of 2000, while foreign commercial nonperforming loans decreased $536 million from June 30, 2000 to $362 million at June 30, 2001. However, domestic commercial loan net charge-offs and nonperforming loans increased $181 million and $935 million, respectively, during the same periods.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ALLOWANCE COMPONENTS</w:t>
            </w:r>
          </w:p>
        </w:tc>
        <w:tc>
          <w:tcPr>
            <w:tcW w:w="298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AT JUNE 30, 2001</w:t>
            </w:r>
          </w:p>
        </w:tc>
        <w:tc>
          <w:tcPr>
            <w:tcW w:w="2720" w:type="dxa"/>
            <w:vAlign w:val="bottom"/>
            <w:gridSpan w:val="2"/>
            <w:vMerge w:val="restart"/>
          </w:tcPr>
          <w:p>
            <w:pPr>
              <w:jc w:val="right"/>
              <w:ind w:right="467"/>
              <w:spacing w:after="0"/>
              <w:rPr>
                <w:sz w:val="20"/>
                <w:szCs w:val="20"/>
                <w:color w:val="auto"/>
              </w:rPr>
            </w:pPr>
            <w:r>
              <w:rPr>
                <w:rFonts w:ascii="Courier New" w:cs="Courier New" w:eastAsia="Courier New" w:hAnsi="Courier New"/>
                <w:sz w:val="15"/>
                <w:szCs w:val="15"/>
                <w:color w:val="auto"/>
              </w:rPr>
              <w:t>At December 31, 2000</w:t>
            </w:r>
          </w:p>
        </w:tc>
        <w:tc>
          <w:tcPr>
            <w:tcW w:w="19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At June 30, 2000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2980" w:type="dxa"/>
            <w:vAlign w:val="bottom"/>
            <w:gridSpan w:val="2"/>
            <w:vMerge w:val="continue"/>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29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Specific Loss</w:t>
            </w:r>
          </w:p>
        </w:tc>
        <w:tc>
          <w:tcPr>
            <w:tcW w:w="176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881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602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577</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Expected Loss:</w:t>
            </w:r>
          </w:p>
        </w:tc>
        <w:tc>
          <w:tcPr>
            <w:tcW w:w="1760" w:type="dxa"/>
            <w:vAlign w:val="bottom"/>
          </w:tcPr>
          <w:p>
            <w:pPr>
              <w:spacing w:after="0"/>
              <w:rPr>
                <w:sz w:val="22"/>
                <w:szCs w:val="22"/>
                <w:color w:val="auto"/>
              </w:rPr>
            </w:pPr>
          </w:p>
        </w:tc>
        <w:tc>
          <w:tcPr>
            <w:tcW w:w="122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w w:val="93"/>
              </w:rPr>
              <w:t>1,637</w:t>
            </w:r>
          </w:p>
        </w:tc>
        <w:tc>
          <w:tcPr>
            <w:tcW w:w="1180" w:type="dxa"/>
            <w:vAlign w:val="bottom"/>
          </w:tcPr>
          <w:p>
            <w:pPr>
              <w:spacing w:after="0"/>
              <w:rPr>
                <w:sz w:val="22"/>
                <w:szCs w:val="22"/>
                <w:color w:val="auto"/>
              </w:rPr>
            </w:pPr>
          </w:p>
        </w:tc>
        <w:tc>
          <w:tcPr>
            <w:tcW w:w="15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1,444</w:t>
            </w:r>
          </w:p>
        </w:tc>
        <w:tc>
          <w:tcPr>
            <w:tcW w:w="960" w:type="dxa"/>
            <w:vAlign w:val="bottom"/>
          </w:tcPr>
          <w:p>
            <w:pPr>
              <w:spacing w:after="0"/>
              <w:rPr>
                <w:sz w:val="22"/>
                <w:szCs w:val="22"/>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1,455</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Consumer</w:t>
            </w:r>
          </w:p>
        </w:tc>
        <w:tc>
          <w:tcPr>
            <w:tcW w:w="17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w:t>
            </w:r>
          </w:p>
        </w:tc>
        <w:tc>
          <w:tcPr>
            <w:tcW w:w="176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769</w:t>
            </w:r>
          </w:p>
        </w:tc>
        <w:tc>
          <w:tcPr>
            <w:tcW w:w="118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919</w:t>
            </w:r>
          </w:p>
        </w:tc>
        <w:tc>
          <w:tcPr>
            <w:tcW w:w="9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817</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Expected Loss</w:t>
            </w:r>
          </w:p>
        </w:tc>
        <w:tc>
          <w:tcPr>
            <w:tcW w:w="1760" w:type="dxa"/>
            <w:vAlign w:val="bottom"/>
          </w:tcPr>
          <w:p>
            <w:pPr>
              <w:ind w:left="1240"/>
              <w:spacing w:after="0"/>
              <w:rPr>
                <w:sz w:val="20"/>
                <w:szCs w:val="20"/>
                <w:color w:val="auto"/>
              </w:rPr>
            </w:pPr>
            <w:r>
              <w:rPr>
                <w:rFonts w:ascii="Courier New" w:cs="Courier New" w:eastAsia="Courier New" w:hAnsi="Courier New"/>
                <w:sz w:val="10"/>
                <w:szCs w:val="10"/>
                <w:color w:val="auto"/>
                <w:w w:val="75"/>
              </w:rPr>
              <w:t>-----------</w:t>
            </w:r>
          </w:p>
        </w:tc>
        <w:tc>
          <w:tcPr>
            <w:tcW w:w="122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w w:val="93"/>
              </w:rPr>
              <w:t>2,406</w:t>
            </w:r>
          </w:p>
        </w:tc>
        <w:tc>
          <w:tcPr>
            <w:tcW w:w="27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2,363</w:t>
            </w:r>
          </w:p>
        </w:tc>
        <w:tc>
          <w:tcPr>
            <w:tcW w:w="9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2,272</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29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Residual Component</w:t>
            </w:r>
          </w:p>
        </w:tc>
        <w:tc>
          <w:tcPr>
            <w:tcW w:w="1760" w:type="dxa"/>
            <w:vAlign w:val="bottom"/>
          </w:tcPr>
          <w:p>
            <w:pPr>
              <w:spacing w:after="0"/>
              <w:rPr>
                <w:sz w:val="22"/>
                <w:szCs w:val="22"/>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386</w:t>
            </w:r>
          </w:p>
        </w:tc>
        <w:tc>
          <w:tcPr>
            <w:tcW w:w="1180" w:type="dxa"/>
            <w:vAlign w:val="bottom"/>
          </w:tcPr>
          <w:p>
            <w:pPr>
              <w:spacing w:after="0"/>
              <w:rPr>
                <w:sz w:val="22"/>
                <w:szCs w:val="22"/>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700</w:t>
            </w:r>
          </w:p>
        </w:tc>
        <w:tc>
          <w:tcPr>
            <w:tcW w:w="960" w:type="dxa"/>
            <w:vAlign w:val="bottom"/>
          </w:tcPr>
          <w:p>
            <w:pPr>
              <w:spacing w:after="0"/>
              <w:rPr>
                <w:sz w:val="22"/>
                <w:szCs w:val="22"/>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893</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w:t>
            </w:r>
          </w:p>
        </w:tc>
        <w:tc>
          <w:tcPr>
            <w:tcW w:w="1760" w:type="dxa"/>
            <w:vAlign w:val="bottom"/>
            <w:vMerge w:val="restart"/>
          </w:tcPr>
          <w:p>
            <w:pPr>
              <w:ind w:left="1240"/>
              <w:spacing w:after="0"/>
              <w:rPr>
                <w:sz w:val="20"/>
                <w:szCs w:val="20"/>
                <w:color w:val="auto"/>
              </w:rPr>
            </w:pPr>
            <w:r>
              <w:rPr>
                <w:rFonts w:ascii="Courier New" w:cs="Courier New" w:eastAsia="Courier New" w:hAnsi="Courier New"/>
                <w:sz w:val="14"/>
                <w:szCs w:val="14"/>
                <w:color w:val="auto"/>
                <w:w w:val="76"/>
                <w:vertAlign w:val="subscript"/>
              </w:rPr>
              <w:t>$</w:t>
            </w:r>
            <w:r>
              <w:rPr>
                <w:rFonts w:ascii="Courier New" w:cs="Courier New" w:eastAsia="Courier New" w:hAnsi="Courier New"/>
                <w:sz w:val="9"/>
                <w:szCs w:val="9"/>
                <w:color w:val="auto"/>
                <w:w w:val="76"/>
              </w:rPr>
              <w:t>-----------</w:t>
            </w:r>
          </w:p>
        </w:tc>
        <w:tc>
          <w:tcPr>
            <w:tcW w:w="122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w w:val="93"/>
              </w:rPr>
              <w:t>3,673</w:t>
            </w:r>
          </w:p>
        </w:tc>
        <w:tc>
          <w:tcPr>
            <w:tcW w:w="27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3,665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3,742</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29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860"/>
        <w:spacing w:after="0" w:line="264" w:lineRule="auto"/>
        <w:rPr>
          <w:sz w:val="20"/>
          <w:szCs w:val="20"/>
          <w:color w:val="auto"/>
        </w:rPr>
      </w:pPr>
      <w:r>
        <w:rPr>
          <w:rFonts w:ascii="Courier New" w:cs="Courier New" w:eastAsia="Courier New" w:hAnsi="Courier New"/>
          <w:sz w:val="15"/>
          <w:szCs w:val="15"/>
          <w:color w:val="auto"/>
        </w:rPr>
        <w:t>Lending-Related Commitments: JPMorgan Chase also has an allowance for its lending-related commitments, using a methodology similar to that used for the loan portfolio. This allowance, which is reported in Other Liabilities, was $285 million at June 30, 2001, $283 million at December 31, 2000 and $333 million at June 30, 2000.</w:t>
      </w:r>
    </w:p>
    <w:p>
      <w:pPr>
        <w:spacing w:after="0" w:line="200" w:lineRule="exact"/>
        <w:rPr>
          <w:sz w:val="20"/>
          <w:szCs w:val="20"/>
          <w:color w:val="auto"/>
        </w:rPr>
      </w:pPr>
    </w:p>
    <w:p>
      <w:pPr>
        <w:spacing w:after="0" w:line="21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860"/>
          </w:cols>
          <w:pgMar w:left="220" w:top="261" w:right="819" w:bottom="1440" w:gutter="0" w:footer="0" w:header="0"/>
        </w:sectPr>
      </w:pPr>
    </w:p>
    <w:bookmarkStart w:id="45" w:name="page46"/>
    <w:bookmarkEnd w:id="45"/>
    <w:p>
      <w:pPr>
        <w:spacing w:after="0" w:line="3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40</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MARKET RISK MANAGEMENT</w:t>
      </w:r>
    </w:p>
    <w:p>
      <w:pPr>
        <w:ind w:left="180" w:hanging="170"/>
        <w:spacing w:after="0"/>
        <w:tabs>
          <w:tab w:leader="none" w:pos="1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VAR EXPOSURE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Value-at-Risk ("VAR") is a measure of the dollar amount of potential loss from</w:t>
      </w:r>
    </w:p>
    <w:p>
      <w:pPr>
        <w:spacing w:after="0" w:line="237" w:lineRule="auto"/>
        <w:rPr>
          <w:sz w:val="20"/>
          <w:szCs w:val="20"/>
          <w:color w:val="auto"/>
        </w:rPr>
      </w:pPr>
      <w:r>
        <w:rPr>
          <w:rFonts w:ascii="Courier New" w:cs="Courier New" w:eastAsia="Courier New" w:hAnsi="Courier New"/>
          <w:sz w:val="15"/>
          <w:szCs w:val="15"/>
          <w:color w:val="auto"/>
        </w:rPr>
        <w:t>adverse market moves in an everyday market environment. VAR calculations are</w:t>
      </w:r>
    </w:p>
    <w:p>
      <w:pPr>
        <w:spacing w:after="0" w:line="238" w:lineRule="auto"/>
        <w:rPr>
          <w:sz w:val="20"/>
          <w:szCs w:val="20"/>
          <w:color w:val="auto"/>
        </w:rPr>
      </w:pPr>
      <w:r>
        <w:rPr>
          <w:rFonts w:ascii="Courier New" w:cs="Courier New" w:eastAsia="Courier New" w:hAnsi="Courier New"/>
          <w:sz w:val="15"/>
          <w:szCs w:val="15"/>
          <w:color w:val="auto"/>
        </w:rPr>
        <w:t>performed for all material trading and investment portfolios and for market</w:t>
      </w:r>
    </w:p>
    <w:p>
      <w:pPr>
        <w:spacing w:after="0" w:line="237" w:lineRule="auto"/>
        <w:rPr>
          <w:sz w:val="20"/>
          <w:szCs w:val="20"/>
          <w:color w:val="auto"/>
        </w:rPr>
      </w:pPr>
      <w:r>
        <w:rPr>
          <w:rFonts w:ascii="Courier New" w:cs="Courier New" w:eastAsia="Courier New" w:hAnsi="Courier New"/>
          <w:sz w:val="15"/>
          <w:szCs w:val="15"/>
          <w:color w:val="auto"/>
        </w:rPr>
        <w:t>risk-related A/L activities. Due to procedural differences at the heritage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firms, combined VAR is not available for periods prior to the merger date.</w:t>
      </w:r>
    </w:p>
    <w:p>
      <w:pPr>
        <w:spacing w:after="0" w:line="140" w:lineRule="exact"/>
        <w:rPr>
          <w:sz w:val="20"/>
          <w:szCs w:val="20"/>
          <w:color w:val="auto"/>
        </w:rPr>
      </w:pPr>
    </w:p>
    <w:p>
      <w:pPr>
        <w:ind w:right="4100"/>
        <w:spacing w:after="0" w:line="298" w:lineRule="auto"/>
        <w:rPr>
          <w:sz w:val="20"/>
          <w:szCs w:val="20"/>
          <w:color w:val="auto"/>
        </w:rPr>
      </w:pPr>
      <w:r>
        <w:rPr>
          <w:rFonts w:ascii="Courier New" w:cs="Courier New" w:eastAsia="Courier New" w:hAnsi="Courier New"/>
          <w:sz w:val="14"/>
          <w:szCs w:val="14"/>
          <w:color w:val="auto"/>
        </w:rPr>
        <w:t>Although no single risk statistic can reflect all aspects of market risk, the tables that follow provide an overview of the market risk exposure of JPMorgan Chase at the dates indicated. The following table represents JPMorgan Chase's average and period-end VARs for its trading portfolios and its A/L activities.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AGGREGATE PORTFOLIO</w:t>
            </w:r>
          </w:p>
        </w:tc>
        <w:tc>
          <w:tcPr>
            <w:tcW w:w="1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spacing w:after="0"/>
              <w:rPr>
                <w:sz w:val="21"/>
                <w:szCs w:val="21"/>
                <w:color w:val="auto"/>
              </w:rPr>
            </w:pPr>
          </w:p>
        </w:tc>
        <w:tc>
          <w:tcPr>
            <w:tcW w:w="27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SIX MONTHS ENDED JUNE 30, 2001</w:t>
            </w:r>
          </w:p>
        </w:tc>
        <w:tc>
          <w:tcPr>
            <w:tcW w:w="1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6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594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vMerge w:val="restart"/>
          </w:tcPr>
          <w:p>
            <w:pPr>
              <w:ind w:left="740"/>
              <w:spacing w:after="0"/>
              <w:rPr>
                <w:sz w:val="20"/>
                <w:szCs w:val="20"/>
                <w:color w:val="auto"/>
              </w:rPr>
            </w:pPr>
            <w:r>
              <w:rPr>
                <w:rFonts w:ascii="Courier New" w:cs="Courier New" w:eastAsia="Courier New" w:hAnsi="Courier New"/>
                <w:sz w:val="15"/>
                <w:szCs w:val="15"/>
                <w:color w:val="auto"/>
                <w:w w:val="95"/>
              </w:rPr>
              <w:t>AT JUNE 30, 2001</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800" w:type="dxa"/>
            <w:vAlign w:val="bottom"/>
          </w:tcPr>
          <w:p>
            <w:pPr>
              <w:jc w:val="center"/>
              <w:ind w:left="110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27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MINIMUM</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MAXIMUM</w:t>
            </w: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80" w:type="dxa"/>
            <w:vAlign w:val="bottom"/>
            <w:vMerge w:val="continue"/>
          </w:tcPr>
          <w:p>
            <w:pPr>
              <w:spacing w:after="0"/>
              <w:rPr>
                <w:sz w:val="16"/>
                <w:szCs w:val="16"/>
                <w:color w:val="auto"/>
              </w:rPr>
            </w:pPr>
          </w:p>
        </w:tc>
        <w:tc>
          <w:tcPr>
            <w:tcW w:w="1800" w:type="dxa"/>
            <w:vAlign w:val="bottom"/>
          </w:tcPr>
          <w:p>
            <w:pPr>
              <w:jc w:val="center"/>
              <w:ind w:left="1107"/>
              <w:spacing w:after="0"/>
              <w:rPr>
                <w:sz w:val="20"/>
                <w:szCs w:val="20"/>
                <w:color w:val="auto"/>
              </w:rPr>
            </w:pPr>
            <w:r>
              <w:rPr>
                <w:rFonts w:ascii="Courier New" w:cs="Courier New" w:eastAsia="Courier New" w:hAnsi="Courier New"/>
                <w:sz w:val="15"/>
                <w:szCs w:val="15"/>
                <w:color w:val="auto"/>
                <w:w w:val="96"/>
              </w:rPr>
              <w:t>VAR</w:t>
            </w:r>
          </w:p>
        </w:tc>
        <w:tc>
          <w:tcPr>
            <w:tcW w:w="27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VAR</w:t>
            </w:r>
          </w:p>
        </w:tc>
        <w:tc>
          <w:tcPr>
            <w:tcW w:w="14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VAR</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Trading Portfolio</w:t>
            </w:r>
          </w:p>
        </w:tc>
        <w:tc>
          <w:tcPr>
            <w:tcW w:w="9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65.7</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48.9</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87.0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61.8</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Portfolio and</w:t>
            </w:r>
          </w:p>
        </w:tc>
        <w:tc>
          <w:tcPr>
            <w:tcW w:w="920" w:type="dxa"/>
            <w:vAlign w:val="bottom"/>
          </w:tcPr>
          <w:p>
            <w:pPr>
              <w:spacing w:after="0"/>
              <w:rPr>
                <w:sz w:val="14"/>
                <w:szCs w:val="14"/>
                <w:color w:val="auto"/>
              </w:rPr>
            </w:pPr>
          </w:p>
        </w:tc>
        <w:tc>
          <w:tcPr>
            <w:tcW w:w="86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w w:val="93"/>
              </w:rPr>
              <w:t>105.0</w:t>
            </w:r>
          </w:p>
        </w:tc>
        <w:tc>
          <w:tcPr>
            <w:tcW w:w="620" w:type="dxa"/>
            <w:vAlign w:val="bottom"/>
          </w:tcPr>
          <w:p>
            <w:pPr>
              <w:spacing w:after="0"/>
              <w:rPr>
                <w:sz w:val="14"/>
                <w:szCs w:val="14"/>
                <w:color w:val="auto"/>
              </w:rPr>
            </w:pPr>
          </w:p>
        </w:tc>
        <w:tc>
          <w:tcPr>
            <w:tcW w:w="10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79.8</w:t>
            </w:r>
          </w:p>
        </w:tc>
        <w:tc>
          <w:tcPr>
            <w:tcW w:w="660" w:type="dxa"/>
            <w:vAlign w:val="bottom"/>
          </w:tcPr>
          <w:p>
            <w:pPr>
              <w:spacing w:after="0"/>
              <w:rPr>
                <w:sz w:val="14"/>
                <w:szCs w:val="14"/>
                <w:color w:val="auto"/>
              </w:rPr>
            </w:pPr>
          </w:p>
        </w:tc>
        <w:tc>
          <w:tcPr>
            <w:tcW w:w="1500" w:type="dxa"/>
            <w:vAlign w:val="bottom"/>
            <w:vMerge w:val="restart"/>
          </w:tcPr>
          <w:p>
            <w:pPr>
              <w:jc w:val="right"/>
              <w:ind w:right="847"/>
              <w:spacing w:after="0"/>
              <w:rPr>
                <w:sz w:val="20"/>
                <w:szCs w:val="20"/>
                <w:color w:val="auto"/>
              </w:rPr>
            </w:pPr>
            <w:r>
              <w:rPr>
                <w:rFonts w:ascii="Courier New" w:cs="Courier New" w:eastAsia="Courier New" w:hAnsi="Courier New"/>
                <w:sz w:val="15"/>
                <w:szCs w:val="15"/>
                <w:color w:val="auto"/>
              </w:rPr>
              <w:t>120.2</w:t>
            </w:r>
          </w:p>
        </w:tc>
        <w:tc>
          <w:tcPr>
            <w:tcW w:w="122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106.3</w:t>
            </w:r>
          </w:p>
        </w:tc>
        <w:tc>
          <w:tcPr>
            <w:tcW w:w="0" w:type="dxa"/>
            <w:vAlign w:val="bottom"/>
          </w:tcPr>
          <w:p>
            <w:pPr>
              <w:spacing w:after="0"/>
              <w:rPr>
                <w:sz w:val="1"/>
                <w:szCs w:val="1"/>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 Activities (a)</w:t>
            </w:r>
          </w:p>
        </w:tc>
        <w:tc>
          <w:tcPr>
            <w:tcW w:w="9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Portfolio Diversification</w:t>
            </w:r>
          </w:p>
        </w:tc>
        <w:tc>
          <w:tcPr>
            <w:tcW w:w="9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(41.5)</w:t>
            </w:r>
          </w:p>
        </w:tc>
        <w:tc>
          <w:tcPr>
            <w:tcW w:w="6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NM</w:t>
            </w:r>
          </w:p>
        </w:tc>
        <w:tc>
          <w:tcPr>
            <w:tcW w:w="660" w:type="dxa"/>
            <w:vAlign w:val="bottom"/>
          </w:tcPr>
          <w:p>
            <w:pPr>
              <w:spacing w:after="0"/>
              <w:rPr>
                <w:sz w:val="14"/>
                <w:szCs w:val="14"/>
                <w:color w:val="auto"/>
              </w:rPr>
            </w:pPr>
          </w:p>
        </w:tc>
        <w:tc>
          <w:tcPr>
            <w:tcW w:w="1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NM</w:t>
            </w:r>
          </w:p>
        </w:tc>
        <w:tc>
          <w:tcPr>
            <w:tcW w:w="1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w:t>
            </w:r>
          </w:p>
        </w:tc>
        <w:tc>
          <w:tcPr>
            <w:tcW w:w="0" w:type="dxa"/>
            <w:vAlign w:val="bottom"/>
          </w:tcPr>
          <w:p>
            <w:pPr>
              <w:spacing w:after="0"/>
              <w:rPr>
                <w:sz w:val="1"/>
                <w:szCs w:val="1"/>
                <w:color w:val="auto"/>
              </w:rPr>
            </w:pPr>
          </w:p>
        </w:tc>
      </w:tr>
      <w:tr>
        <w:trPr>
          <w:trHeight w:val="168"/>
        </w:trPr>
        <w:tc>
          <w:tcPr>
            <w:tcW w:w="31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VAR</w:t>
            </w:r>
          </w:p>
        </w:tc>
        <w:tc>
          <w:tcPr>
            <w:tcW w:w="920" w:type="dxa"/>
            <w:vAlign w:val="bottom"/>
            <w:vMerge w:val="restart"/>
          </w:tcPr>
          <w:p>
            <w:pPr>
              <w:ind w:left="380"/>
              <w:spacing w:after="0"/>
              <w:rPr>
                <w:sz w:val="20"/>
                <w:szCs w:val="20"/>
                <w:color w:val="auto"/>
              </w:rPr>
            </w:pPr>
            <w:r>
              <w:rPr>
                <w:rFonts w:ascii="Courier New" w:cs="Courier New" w:eastAsia="Courier New" w:hAnsi="Courier New"/>
                <w:sz w:val="17"/>
                <w:szCs w:val="17"/>
                <w:color w:val="auto"/>
                <w:w w:val="71"/>
                <w:vertAlign w:val="subscript"/>
              </w:rPr>
              <w:t>$</w:t>
            </w:r>
            <w:r>
              <w:rPr>
                <w:rFonts w:ascii="Courier New" w:cs="Courier New" w:eastAsia="Courier New" w:hAnsi="Courier New"/>
                <w:sz w:val="10"/>
                <w:szCs w:val="10"/>
                <w:color w:val="auto"/>
                <w:w w:val="71"/>
              </w:rPr>
              <w:t>-----------</w:t>
            </w:r>
          </w:p>
        </w:tc>
        <w:tc>
          <w:tcPr>
            <w:tcW w:w="86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w w:val="93"/>
              </w:rPr>
              <w:t>129.2</w:t>
            </w:r>
          </w:p>
        </w:tc>
        <w:tc>
          <w:tcPr>
            <w:tcW w:w="16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99.4</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163.8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116.6</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78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440" w:hanging="430"/>
        <w:spacing w:after="0"/>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risk is interest rate related.</w:t>
      </w:r>
    </w:p>
    <w:p>
      <w:pPr>
        <w:spacing w:after="0" w:line="166" w:lineRule="exact"/>
        <w:rPr>
          <w:sz w:val="20"/>
          <w:szCs w:val="20"/>
          <w:color w:val="auto"/>
        </w:rPr>
      </w:pPr>
    </w:p>
    <w:p>
      <w:pPr>
        <w:ind w:left="440" w:right="4100" w:hanging="436"/>
        <w:spacing w:after="0" w:line="264" w:lineRule="auto"/>
        <w:rPr>
          <w:sz w:val="20"/>
          <w:szCs w:val="20"/>
          <w:color w:val="auto"/>
        </w:rPr>
      </w:pPr>
      <w:r>
        <w:rPr>
          <w:rFonts w:ascii="Courier New" w:cs="Courier New" w:eastAsia="Courier New" w:hAnsi="Courier New"/>
          <w:sz w:val="15"/>
          <w:szCs w:val="15"/>
          <w:color w:val="auto"/>
        </w:rPr>
        <w:t>NM - Because the minimum and maximum may occur on different days for different risk components, it is not meaningful to compute a portfolio diversification effect. JPMorgan Chase's average and period-end VARs are less than the sum of the VARs of its market risk components due to risk offsets resulting from portfolio diversification.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RISK-RELATED ACTIVITIES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Value-at-Risk: JPMorgan Chase is exposed to interest rate-, foreign exchange-,</w:t>
      </w:r>
    </w:p>
    <w:p>
      <w:pPr>
        <w:spacing w:after="0" w:line="237" w:lineRule="auto"/>
        <w:rPr>
          <w:sz w:val="20"/>
          <w:szCs w:val="20"/>
          <w:color w:val="auto"/>
        </w:rPr>
      </w:pPr>
      <w:r>
        <w:rPr>
          <w:rFonts w:ascii="Courier New" w:cs="Courier New" w:eastAsia="Courier New" w:hAnsi="Courier New"/>
          <w:sz w:val="15"/>
          <w:szCs w:val="15"/>
          <w:color w:val="auto"/>
        </w:rPr>
        <w:t>equity- and commodity-market risks in its trading portfolio. The table below</w:t>
      </w:r>
    </w:p>
    <w:p>
      <w:pPr>
        <w:spacing w:after="0" w:line="238" w:lineRule="auto"/>
        <w:rPr>
          <w:sz w:val="20"/>
          <w:szCs w:val="20"/>
          <w:color w:val="auto"/>
        </w:rPr>
      </w:pPr>
      <w:r>
        <w:rPr>
          <w:rFonts w:ascii="Courier New" w:cs="Courier New" w:eastAsia="Courier New" w:hAnsi="Courier New"/>
          <w:sz w:val="15"/>
          <w:szCs w:val="15"/>
          <w:color w:val="auto"/>
        </w:rPr>
        <w:t>reflects VAR data for the trading portfolio by risk category. See the Aggregate</w:t>
      </w:r>
    </w:p>
    <w:p>
      <w:pPr>
        <w:spacing w:after="0" w:line="237" w:lineRule="auto"/>
        <w:rPr>
          <w:sz w:val="20"/>
          <w:szCs w:val="20"/>
          <w:color w:val="auto"/>
        </w:rPr>
      </w:pPr>
      <w:r>
        <w:rPr>
          <w:rFonts w:ascii="Courier New" w:cs="Courier New" w:eastAsia="Courier New" w:hAnsi="Courier New"/>
          <w:sz w:val="15"/>
          <w:szCs w:val="15"/>
          <w:color w:val="auto"/>
        </w:rPr>
        <w:t>VAR Exposure section above for average and period-end VARs for the total trading</w:t>
      </w:r>
    </w:p>
    <w:p>
      <w:pPr>
        <w:spacing w:after="0" w:line="238" w:lineRule="auto"/>
        <w:rPr>
          <w:sz w:val="20"/>
          <w:szCs w:val="20"/>
          <w:color w:val="auto"/>
        </w:rPr>
      </w:pPr>
      <w:r>
        <w:rPr>
          <w:rFonts w:ascii="Courier New" w:cs="Courier New" w:eastAsia="Courier New" w:hAnsi="Courier New"/>
          <w:sz w:val="15"/>
          <w:szCs w:val="15"/>
          <w:color w:val="auto"/>
        </w:rPr>
        <w:t>portfolio.</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MARKED-TO-MARKET TRADING PORTFOLIO (a)</w:t>
            </w: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rPr>
                <w:sz w:val="14"/>
                <w:szCs w:val="14"/>
                <w:color w:val="auto"/>
              </w:rPr>
            </w:pPr>
          </w:p>
        </w:tc>
        <w:tc>
          <w:tcPr>
            <w:tcW w:w="49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SIX MONTHS ENDED JUNE 30, 2001</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rPr>
                <w:sz w:val="14"/>
                <w:szCs w:val="14"/>
                <w:color w:val="auto"/>
              </w:rPr>
            </w:pPr>
          </w:p>
        </w:tc>
        <w:tc>
          <w:tcPr>
            <w:tcW w:w="49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5"/>
              </w:rPr>
              <w:t>AT JUNE 30, 2001</w:t>
            </w:r>
          </w:p>
        </w:tc>
        <w:tc>
          <w:tcPr>
            <w:tcW w:w="0" w:type="dxa"/>
            <w:vAlign w:val="bottom"/>
          </w:tcPr>
          <w:p>
            <w:pPr>
              <w:spacing w:after="0"/>
              <w:rPr>
                <w:sz w:val="1"/>
                <w:szCs w:val="1"/>
                <w:color w:val="auto"/>
              </w:rPr>
            </w:pPr>
          </w:p>
        </w:tc>
      </w:tr>
      <w:tr>
        <w:trPr>
          <w:trHeight w:val="168"/>
        </w:trPr>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206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MINIMUM</w:t>
            </w:r>
          </w:p>
        </w:tc>
        <w:tc>
          <w:tcPr>
            <w:tcW w:w="14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MAXIMUM</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20" w:type="dxa"/>
            <w:vAlign w:val="bottom"/>
            <w:vMerge w:val="continue"/>
          </w:tcPr>
          <w:p>
            <w:pPr>
              <w:spacing w:after="0"/>
              <w:rPr>
                <w:sz w:val="21"/>
                <w:szCs w:val="21"/>
                <w:color w:val="auto"/>
              </w:rPr>
            </w:pPr>
          </w:p>
        </w:tc>
        <w:tc>
          <w:tcPr>
            <w:tcW w:w="206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6"/>
              </w:rPr>
              <w:t>VAR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6"/>
              </w:rPr>
              <w:t>VAR</w:t>
            </w: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VAR</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41.6</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23.5</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69.2</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w:t>
            </w:r>
          </w:p>
        </w:tc>
        <w:tc>
          <w:tcPr>
            <w:tcW w:w="4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w:t>
            </w:r>
          </w:p>
        </w:tc>
        <w:tc>
          <w:tcPr>
            <w:tcW w:w="4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w:t>
            </w:r>
          </w:p>
        </w:tc>
        <w:tc>
          <w:tcPr>
            <w:tcW w:w="6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10.9</w:t>
            </w:r>
          </w:p>
        </w:tc>
        <w:tc>
          <w:tcPr>
            <w:tcW w:w="7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Equities</w:t>
            </w:r>
          </w:p>
        </w:tc>
        <w:tc>
          <w:tcPr>
            <w:tcW w:w="4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22.2</w:t>
            </w:r>
          </w:p>
        </w:tc>
        <w:tc>
          <w:tcPr>
            <w:tcW w:w="4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w:t>
            </w:r>
          </w:p>
        </w:tc>
        <w:tc>
          <w:tcPr>
            <w:tcW w:w="6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32.6</w:t>
            </w:r>
          </w:p>
        </w:tc>
        <w:tc>
          <w:tcPr>
            <w:tcW w:w="7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Commodities</w:t>
            </w:r>
          </w:p>
        </w:tc>
        <w:tc>
          <w:tcPr>
            <w:tcW w:w="4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w:t>
            </w:r>
          </w:p>
        </w:tc>
        <w:tc>
          <w:tcPr>
            <w:tcW w:w="4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6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w:t>
            </w:r>
          </w:p>
        </w:tc>
        <w:tc>
          <w:tcPr>
            <w:tcW w:w="7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Hedge Fund Investments</w:t>
            </w:r>
          </w:p>
        </w:tc>
        <w:tc>
          <w:tcPr>
            <w:tcW w:w="4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c>
          <w:tcPr>
            <w:tcW w:w="4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6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w:t>
            </w:r>
          </w:p>
        </w:tc>
        <w:tc>
          <w:tcPr>
            <w:tcW w:w="7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Portfolio Diversification</w:t>
            </w:r>
          </w:p>
        </w:tc>
        <w:tc>
          <w:tcPr>
            <w:tcW w:w="4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(11.1)</w:t>
            </w:r>
          </w:p>
        </w:tc>
        <w:tc>
          <w:tcPr>
            <w:tcW w:w="4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6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NM</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c>
          <w:tcPr>
            <w:tcW w:w="0" w:type="dxa"/>
            <w:vAlign w:val="bottom"/>
          </w:tcPr>
          <w:p>
            <w:pPr>
              <w:spacing w:after="0"/>
              <w:rPr>
                <w:sz w:val="1"/>
                <w:szCs w:val="1"/>
                <w:color w:val="auto"/>
              </w:rPr>
            </w:pPr>
          </w:p>
        </w:tc>
      </w:tr>
      <w:tr>
        <w:trPr>
          <w:trHeight w:val="168"/>
        </w:trPr>
        <w:tc>
          <w:tcPr>
            <w:tcW w:w="28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Trading VAR</w:t>
            </w:r>
          </w:p>
        </w:tc>
        <w:tc>
          <w:tcPr>
            <w:tcW w:w="440" w:type="dxa"/>
            <w:vAlign w:val="bottom"/>
            <w:vMerge w:val="restart"/>
          </w:tcPr>
          <w:p>
            <w:pPr>
              <w:ind w:left="100"/>
              <w:spacing w:after="0"/>
              <w:rPr>
                <w:sz w:val="20"/>
                <w:szCs w:val="20"/>
                <w:color w:val="auto"/>
              </w:rPr>
            </w:pPr>
            <w:r>
              <w:rPr>
                <w:rFonts w:ascii="Courier New" w:cs="Courier New" w:eastAsia="Courier New" w:hAnsi="Courier New"/>
                <w:sz w:val="8"/>
                <w:szCs w:val="8"/>
                <w:color w:val="auto"/>
                <w:w w:val="77"/>
                <w:vertAlign w:val="subscript"/>
              </w:rPr>
              <w:t>$</w:t>
            </w:r>
            <w:r>
              <w:rPr>
                <w:rFonts w:ascii="Courier New" w:cs="Courier New" w:eastAsia="Courier New" w:hAnsi="Courier New"/>
                <w:sz w:val="7"/>
                <w:szCs w:val="7"/>
                <w:color w:val="auto"/>
                <w:w w:val="77"/>
              </w:rPr>
              <w:t>---------</w:t>
            </w:r>
          </w:p>
        </w:tc>
        <w:tc>
          <w:tcPr>
            <w:tcW w:w="8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65.7</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w:t>
            </w:r>
          </w:p>
        </w:tc>
        <w:tc>
          <w:tcPr>
            <w:tcW w:w="0" w:type="dxa"/>
            <w:vAlign w:val="bottom"/>
          </w:tcPr>
          <w:p>
            <w:pPr>
              <w:spacing w:after="0"/>
              <w:rPr>
                <w:sz w:val="1"/>
                <w:szCs w:val="1"/>
                <w:color w:val="auto"/>
              </w:rPr>
            </w:pPr>
          </w:p>
        </w:tc>
      </w:tr>
      <w:tr>
        <w:trPr>
          <w:trHeight w:val="194"/>
        </w:trPr>
        <w:tc>
          <w:tcPr>
            <w:tcW w:w="2800" w:type="dxa"/>
            <w:vAlign w:val="bottom"/>
          </w:tcPr>
          <w:p>
            <w:pPr>
              <w:spacing w:after="0"/>
              <w:rPr>
                <w:sz w:val="16"/>
                <w:szCs w:val="16"/>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309" w:lineRule="exact"/>
        <w:rPr>
          <w:sz w:val="20"/>
          <w:szCs w:val="20"/>
          <w:color w:val="auto"/>
        </w:rPr>
      </w:pPr>
    </w:p>
    <w:p>
      <w:pPr>
        <w:ind w:left="440" w:right="3940" w:hanging="430"/>
        <w:spacing w:after="0" w:line="280"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While integrated VAR computations are available for the aggregate portfolio, integrated VAR by risk category has not yet been implemented. Accordingly, this table has been prepared using certain estimates and assumptions. Each risk category VAR was computed based on the methodologies used by the heritage firms, assuming no correlation between the heritage firms' exposures. Actual risk category VAR may differ from these estimates.</w:t>
      </w:r>
    </w:p>
    <w:p>
      <w:pPr>
        <w:spacing w:after="0" w:line="67" w:lineRule="exact"/>
        <w:rPr>
          <w:sz w:val="20"/>
          <w:szCs w:val="20"/>
          <w:color w:val="auto"/>
        </w:rPr>
      </w:pPr>
    </w:p>
    <w:p>
      <w:pPr>
        <w:ind w:left="440" w:right="4100" w:hanging="436"/>
        <w:spacing w:after="0" w:line="264" w:lineRule="auto"/>
        <w:rPr>
          <w:sz w:val="20"/>
          <w:szCs w:val="20"/>
          <w:color w:val="auto"/>
        </w:rPr>
      </w:pPr>
      <w:r>
        <w:rPr>
          <w:rFonts w:ascii="Courier New" w:cs="Courier New" w:eastAsia="Courier New" w:hAnsi="Courier New"/>
          <w:sz w:val="15"/>
          <w:szCs w:val="15"/>
          <w:color w:val="auto"/>
        </w:rPr>
        <w:t>NM - Because the minimum and maximum may occur on different days for different risk components, it is not meaningful to compute a portfolio diversification effect. JPMorgan Chase's average and period-end VARs are less than the sum of the VARs of its market risk components due to risk offsets resulting from portfolio diversification.</w:t>
      </w:r>
    </w:p>
    <w:p>
      <w:pPr>
        <w:sectPr>
          <w:pgSz w:w="11900" w:h="16870" w:orient="portrait"/>
          <w:cols w:equalWidth="0" w:num="1">
            <w:col w:w="10940"/>
          </w:cols>
          <w:pgMar w:left="220" w:top="261" w:right="739" w:bottom="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sectPr>
      </w:pPr>
    </w:p>
    <w:p>
      <w:pPr>
        <w:spacing w:after="0" w:line="3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4" w:right="1440" w:bottom="1440"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HISTOGRAM:</w:t>
      </w:r>
    </w:p>
    <w:p>
      <w:pPr>
        <w:spacing w:after="0" w:line="24"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5"/>
          <w:szCs w:val="15"/>
          <w:color w:val="auto"/>
        </w:rPr>
        <w:t>The following histogram illustrates JPMorgan Chase's daily market risk-related revenue, which is defined as the daily change in value of the marked-to-market trading portfolios plus any trading-related net interest income, brokerage commissions, underwriting fees or other revenue.</w:t>
      </w:r>
    </w:p>
    <w:p>
      <w:pPr>
        <w:spacing w:after="0" w:line="79"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 the first half of 2001, JPMorgan Chase posted positive daily market risk-related revenue for 112 out of 126 business days, with 91 days exceeding positive $20 million. Losses were sustained on 14 of the 126 days represented in the histogram. JPMorgan Chase incurred four daily trading losses in excess of $20 million in the first half of 2001.</w:t>
      </w:r>
    </w:p>
    <w:p>
      <w:pPr>
        <w:spacing w:after="0" w:line="75"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Due to significant differences in the definition of market risk-related revenues used in the preparation of histograms at Chase and J.P. Morgan, it is not feasible to include a histogram for fiscal-year 2000.</w:t>
      </w:r>
    </w:p>
    <w:p>
      <w:pPr>
        <w:spacing w:after="0" w:line="22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SEE APPENDIX 1 -- NARRATIVE DESCRIPTION OF GRAPHIC IMAGE MATERIAL]</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Stress Testing: Whereas VAR captures exposure to unlikely events in normal markets, stress testing discloses market risk under plausible events in abnormal markets.</w:t>
      </w:r>
    </w:p>
    <w:p>
      <w:pPr>
        <w:spacing w:after="0" w:line="3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6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The following table represents the potential stress test loss (pre-tax) in JPMorgan Chase's trading portfolio predicted by JPMorgan Chase's stress test scenarios.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rPr>
              <w:t>LARGEST MONTHLY STRESS TEST LOSS - PRE-TAX</w:t>
            </w: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rPr>
                <w:sz w:val="14"/>
                <w:szCs w:val="14"/>
                <w:color w:val="auto"/>
              </w:rPr>
            </w:pPr>
          </w:p>
        </w:tc>
        <w:tc>
          <w:tcPr>
            <w:tcW w:w="512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SIX MONTHS ENDED JUNE 30, 2001</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512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95"/>
              </w:rPr>
              <w:t>AT JUNE 30, 2001</w:t>
            </w:r>
          </w:p>
        </w:tc>
        <w:tc>
          <w:tcPr>
            <w:tcW w:w="0" w:type="dxa"/>
            <w:vAlign w:val="bottom"/>
          </w:tcPr>
          <w:p>
            <w:pPr>
              <w:spacing w:after="0"/>
              <w:rPr>
                <w:sz w:val="1"/>
                <w:szCs w:val="1"/>
                <w:color w:val="auto"/>
              </w:rPr>
            </w:pPr>
          </w:p>
        </w:tc>
      </w:tr>
      <w:tr>
        <w:trPr>
          <w:trHeight w:val="245"/>
        </w:trPr>
        <w:tc>
          <w:tcPr>
            <w:tcW w:w="2020" w:type="dxa"/>
            <w:vAlign w:val="bottom"/>
            <w:vMerge w:val="continue"/>
          </w:tcPr>
          <w:p>
            <w:pPr>
              <w:spacing w:after="0"/>
              <w:rPr>
                <w:sz w:val="21"/>
                <w:szCs w:val="21"/>
                <w:color w:val="auto"/>
              </w:rPr>
            </w:pP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AVERAGE</w:t>
            </w: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rPr>
              <w:t>MINIMUM</w:t>
            </w:r>
          </w:p>
        </w:tc>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MAXIMUM</w:t>
            </w: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Stress Test Loss - Pre-Tax</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(277)</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(118)</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(447)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   (344)</w:t>
            </w:r>
          </w:p>
        </w:tc>
      </w:tr>
    </w:tbl>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PORTFOLIO AND ASSET/LIABILITY ACTIVITIES</w:t>
      </w:r>
    </w:p>
    <w:p>
      <w:pPr>
        <w:spacing w:after="0" w:line="2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JPMorgan Chase also is exposed to market risk in its investment portfolio and A/L activities. Market risk measurements for JPMorgan Chase's investment portfolio and A/L activities reflect all significant market risk-related factors that have an effect on these activities. Non-market factors that are not included in market risk measurements, such as changes in credit quality, also may have an affect on these activities.</w:t>
      </w:r>
    </w:p>
    <w:p>
      <w:pPr>
        <w:spacing w:after="0" w:line="85"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Value-at-Risk: See the VAR Aggregate Exposure section on page 40 for JPMorgan Chase's average and period-end VARs for its investment portfolio and market risk-related A/L activities.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Stress Testing:</w:t>
      </w:r>
    </w:p>
    <w:p>
      <w:pPr>
        <w:spacing w:after="0" w:line="24"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5"/>
          <w:szCs w:val="15"/>
          <w:color w:val="auto"/>
        </w:rPr>
        <w:t>Economic value stress testing measures the potential change in the market value of JPMorgan Chase's investment portfolio and A/L activities. As of June 30, 2001, the largest potential loss under the various economic value stress test scenarios utilized by the Firm on the value of JPMorgan Chase's investment portfolio and A/L activities would have been equivalent to less than 1% of JPMorgan Chase's market capitalization.</w:t>
      </w:r>
    </w:p>
    <w:p>
      <w:pPr>
        <w:spacing w:after="0" w:line="85"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The NII stress test measures the potential change in JPMorgan Chase's interest earnings over a one-year time horizon. At June 30, 2001, JPMorgan Chase's largest potential NII stress test loss was estimated to be approximately 3.8% of projected net income for the full-year 2001.</w:t>
      </w:r>
    </w:p>
    <w:p>
      <w:pPr>
        <w:spacing w:after="0" w:line="68"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Nonstatistical Risk Measures: Exposure to interest rate risk is assessed using a Basis Point Value ("BPV") method. BPV measures the change in market value of JPMorgan Chase's investment portfolio and A/L activities to a one basis point increase in interest rates (directional risk) or one basis point widening of interest rate spreads (basis risk). The table that follows shows that JPMorgan Chase had a directional BPV of $(6.5) million (pre-tax) at June 30, 2001. This indicates that the market value of JPMorgan Chase's A/L positions would have declined by approximately $6.5 million for every one basis point increase in interest rates along the interest rate yield curve. The table also shows that the economic value of JPMorgan Chase's investment portfolio and A/L activities would have declined by $(14.6) million (pre-tax) for every one basis point widening of interest rate spreads (basis risk).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MARKET RISK-RELATED A/L ACTIVITIES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rPr>
                <w:sz w:val="14"/>
                <w:szCs w:val="14"/>
                <w:color w:val="auto"/>
              </w:rPr>
            </w:pPr>
          </w:p>
        </w:tc>
        <w:tc>
          <w:tcPr>
            <w:tcW w:w="512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SIX MONTHS ENDED JUNE 30, 2001</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512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95"/>
              </w:rPr>
              <w:t>AT JUNE 30, 2001</w:t>
            </w:r>
          </w:p>
        </w:tc>
        <w:tc>
          <w:tcPr>
            <w:tcW w:w="0" w:type="dxa"/>
            <w:vAlign w:val="bottom"/>
          </w:tcPr>
          <w:p>
            <w:pPr>
              <w:spacing w:after="0"/>
              <w:rPr>
                <w:sz w:val="1"/>
                <w:szCs w:val="1"/>
                <w:color w:val="auto"/>
              </w:rPr>
            </w:pPr>
          </w:p>
        </w:tc>
      </w:tr>
      <w:tr>
        <w:trPr>
          <w:trHeight w:val="245"/>
        </w:trPr>
        <w:tc>
          <w:tcPr>
            <w:tcW w:w="2020" w:type="dxa"/>
            <w:vAlign w:val="bottom"/>
            <w:vMerge w:val="continue"/>
          </w:tcPr>
          <w:p>
            <w:pPr>
              <w:spacing w:after="0"/>
              <w:rPr>
                <w:sz w:val="21"/>
                <w:szCs w:val="21"/>
                <w:color w:val="auto"/>
              </w:rPr>
            </w:pPr>
          </w:p>
        </w:tc>
        <w:tc>
          <w:tcPr>
            <w:tcW w:w="2060" w:type="dxa"/>
            <w:vAlign w:val="bottom"/>
          </w:tcPr>
          <w:p>
            <w:pPr>
              <w:ind w:left="1060"/>
              <w:spacing w:after="0"/>
              <w:rPr>
                <w:sz w:val="20"/>
                <w:szCs w:val="20"/>
                <w:color w:val="auto"/>
              </w:rPr>
            </w:pPr>
            <w:r>
              <w:rPr>
                <w:rFonts w:ascii="Courier New" w:cs="Courier New" w:eastAsia="Courier New" w:hAnsi="Courier New"/>
                <w:sz w:val="15"/>
                <w:szCs w:val="15"/>
                <w:color w:val="auto"/>
              </w:rPr>
              <w:t>AVERAGE</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MINIMUM</w:t>
            </w:r>
          </w:p>
        </w:tc>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MAXIMUM</w:t>
            </w: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Directional Risk</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(7.6)</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(6.5)</w:t>
            </w:r>
          </w:p>
        </w:tc>
      </w:tr>
      <w:tr>
        <w:trPr>
          <w:trHeight w:val="194"/>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Basis Risk</w:t>
            </w:r>
          </w:p>
        </w:tc>
        <w:tc>
          <w:tcPr>
            <w:tcW w:w="960" w:type="dxa"/>
            <w:vAlign w:val="bottom"/>
          </w:tcPr>
          <w:p>
            <w:pPr>
              <w:spacing w:after="0"/>
              <w:rPr>
                <w:sz w:val="16"/>
                <w:szCs w:val="16"/>
                <w:color w:val="auto"/>
              </w:rPr>
            </w:pPr>
          </w:p>
        </w:tc>
        <w:tc>
          <w:tcPr>
            <w:tcW w:w="8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(14.5)</w:t>
            </w:r>
          </w:p>
        </w:tc>
        <w:tc>
          <w:tcPr>
            <w:tcW w:w="440" w:type="dxa"/>
            <w:vAlign w:val="bottom"/>
          </w:tcPr>
          <w:p>
            <w:pPr>
              <w:spacing w:after="0"/>
              <w:rPr>
                <w:sz w:val="16"/>
                <w:szCs w:val="16"/>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w:t>
            </w:r>
          </w:p>
        </w:tc>
        <w:tc>
          <w:tcPr>
            <w:tcW w:w="580" w:type="dxa"/>
            <w:vAlign w:val="bottom"/>
          </w:tcPr>
          <w:p>
            <w:pPr>
              <w:spacing w:after="0"/>
              <w:rPr>
                <w:sz w:val="16"/>
                <w:szCs w:val="16"/>
                <w:color w:val="auto"/>
              </w:rPr>
            </w:pP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bl>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61"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61"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left="180" w:hanging="170"/>
        <w:spacing w:after="0"/>
        <w:tabs>
          <w:tab w:leader="none" w:pos="1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MANAGEMENT</w:t>
      </w:r>
    </w:p>
    <w:p>
      <w:pPr>
        <w:ind w:left="180" w:hanging="170"/>
        <w:spacing w:after="0"/>
        <w:tabs>
          <w:tab w:leader="none" w:pos="1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spacing w:after="0" w:line="320" w:lineRule="auto"/>
        <w:rPr>
          <w:sz w:val="20"/>
          <w:szCs w:val="20"/>
          <w:color w:val="auto"/>
        </w:rPr>
      </w:pPr>
      <w:r>
        <w:rPr>
          <w:rFonts w:ascii="Courier New" w:cs="Courier New" w:eastAsia="Courier New" w:hAnsi="Courier New"/>
          <w:sz w:val="14"/>
          <w:szCs w:val="14"/>
          <w:color w:val="auto"/>
        </w:rPr>
        <w:t>The following discussion of JPMorgan Chase's capital management focuses primarily on the developments since December 31, 2000 and should be read in conjunction with pages 44-45 and Note 23 of JPMorgan Chase's 2000 Annual Report.</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w:t>
      </w:r>
    </w:p>
    <w:p>
      <w:pPr>
        <w:spacing w:after="0" w:line="24"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JPMorgan Chase's capital levels at June 30, 2001 continued to improve with ratios well in excess of regulatory guidelines. At June 30, 2001, the Tier 1 and Total Capital ratios were 8.7% and 12.2%, respectively.</w:t>
      </w:r>
    </w:p>
    <w:p>
      <w:pPr>
        <w:spacing w:after="0" w:line="69"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following table shows JPMorgan Chase's capital generation and use during the periods indicated.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SECOND QUARTER</w:t>
            </w:r>
          </w:p>
        </w:tc>
        <w:tc>
          <w:tcPr>
            <w:tcW w:w="440" w:type="dxa"/>
            <w:vAlign w:val="bottom"/>
          </w:tcPr>
          <w:p>
            <w:pPr>
              <w:spacing w:after="0"/>
              <w:rPr>
                <w:sz w:val="14"/>
                <w:szCs w:val="14"/>
                <w:color w:val="auto"/>
              </w:rPr>
            </w:pPr>
          </w:p>
        </w:tc>
        <w:tc>
          <w:tcPr>
            <w:tcW w:w="16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(in billions)</w:t>
            </w:r>
          </w:p>
        </w:tc>
        <w:tc>
          <w:tcPr>
            <w:tcW w:w="236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22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2001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SOURCES OF FREE CASH FLOW</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0.2</w:t>
            </w:r>
          </w:p>
        </w:tc>
        <w:tc>
          <w:tcPr>
            <w:tcW w:w="52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$ 2.7</w:t>
            </w:r>
          </w:p>
        </w:tc>
        <w:tc>
          <w:tcPr>
            <w:tcW w:w="0" w:type="dxa"/>
            <w:vAlign w:val="bottom"/>
          </w:tcPr>
          <w:p>
            <w:pPr>
              <w:spacing w:after="0"/>
              <w:rPr>
                <w:sz w:val="1"/>
                <w:szCs w:val="1"/>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Operating Earnings Less Dividends</w:t>
            </w:r>
          </w:p>
        </w:tc>
        <w:tc>
          <w:tcPr>
            <w:tcW w:w="3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Plus: Preferred Stock and Equivalents/Special Items</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w:t>
            </w:r>
          </w:p>
        </w:tc>
        <w:tc>
          <w:tcPr>
            <w:tcW w:w="52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Capital for Internal Asset Growth</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52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47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Sources of Free Cash Flow</w:t>
            </w: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USES OF FREE CASH FLOW</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52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0.5</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$ 0.3</w:t>
            </w:r>
          </w:p>
        </w:tc>
        <w:tc>
          <w:tcPr>
            <w:tcW w:w="0" w:type="dxa"/>
            <w:vAlign w:val="bottom"/>
          </w:tcPr>
          <w:p>
            <w:pPr>
              <w:spacing w:after="0"/>
              <w:rPr>
                <w:sz w:val="1"/>
                <w:szCs w:val="1"/>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Increases (Decreases) in Capital Ratios</w:t>
            </w:r>
          </w:p>
        </w:tc>
        <w:tc>
          <w:tcPr>
            <w:tcW w:w="3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Acquisitions</w:t>
            </w:r>
          </w:p>
        </w:tc>
        <w:tc>
          <w:tcPr>
            <w:tcW w:w="3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Repurchases Net of Stock Issuances</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52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Total Uses of Free Cash Flow</w:t>
            </w: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8"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5"/>
          <w:szCs w:val="15"/>
          <w:color w:val="auto"/>
        </w:rPr>
        <w:t>In the first quarter of 2001, JPMorgan Chase raised the quarterly cash dividend on its common stock to $0.34 per share from $0.32 per share. The Firm's current dividend policy is to pay over time common stock dividends equal to approximately 25% to 35% of operating earnings less preferred stock dividends, although in any given quarter the common stock dividend may be higher or lower than this range. The current quarterly dividend exceeds the target range given this quarter's lower operating earnings. Future dividend policies will be determined by JPMorgan Chase's Board of Directors after taking into consideration the Firm's earnings, financial condition and applicable governmental regulations and policies.</w:t>
      </w:r>
    </w:p>
    <w:p>
      <w:pPr>
        <w:spacing w:after="0" w:line="87"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At June 30, 2001, the total capitalization of JPMorgan Chase (the sum of Tier 1 and Tier 2 Capital) was $55.0 billion, an increase of $1.6 billion from December 31, 2000. This increase reflects retained earnings (net income less common and preferred dividends) generated during the period, aggregate common stock issuances and treasury stock reissuances of $1.0 billion and the issuance of an aggregate $2.5 billion in trust preferred capital securities and subordinated debt. These sources of capital were partially offset by the redemption of preferred stock and subordinated debt and by capital needed for internal asset growth.</w:t>
      </w:r>
    </w:p>
    <w:p>
      <w:pPr>
        <w:spacing w:after="0" w:line="89"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Board of Directors of J.P. Morgan Chase &amp; Co. has authorized, effective July 19, 2001, the repurchase of up to $6 billion of JPMorgan Chase's common stock. This authorization is in addition to any amounts necessary to provide for issuances under JPMorgan Chase's dividend reinvestment plan and its various stock-based director and employee benefits plans.</w:t>
      </w:r>
    </w:p>
    <w:p>
      <w:pPr>
        <w:spacing w:after="0" w:line="75"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RISK MANAGEMENT</w:t>
      </w:r>
    </w:p>
    <w:p>
      <w:pPr>
        <w:ind w:left="180" w:hanging="170"/>
        <w:spacing w:after="0"/>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The following discussion of JPMorgan Chase's liquidity risk management focuses primarily on the developments since December 31, 2000 and should be read in conjunction with page 59 of JPMorgan Chase's 2000 Annual Report.</w:t>
      </w:r>
    </w:p>
    <w:p>
      <w:pPr>
        <w:sectPr>
          <w:pgSz w:w="11900" w:h="16838" w:orient="portrait"/>
          <w:cols w:equalWidth="0" w:num="1">
            <w:col w:w="10239"/>
          </w:cols>
          <w:pgMar w:left="220" w:top="261" w:right="1440" w:bottom="1440" w:gutter="0" w:footer="0" w:header="0"/>
        </w:sectPr>
      </w:pPr>
    </w:p>
    <w:p>
      <w:pPr>
        <w:spacing w:after="0" w:line="39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61"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24" w:lineRule="exact"/>
        <w:rPr>
          <w:sz w:val="20"/>
          <w:szCs w:val="20"/>
          <w:color w:val="auto"/>
        </w:rPr>
      </w:pPr>
    </w:p>
    <w:p>
      <w:pPr>
        <w:ind w:right="3499"/>
        <w:spacing w:after="0" w:line="260" w:lineRule="auto"/>
        <w:rPr>
          <w:sz w:val="20"/>
          <w:szCs w:val="20"/>
          <w:color w:val="auto"/>
        </w:rPr>
      </w:pPr>
      <w:r>
        <w:rPr>
          <w:rFonts w:ascii="Courier New" w:cs="Courier New" w:eastAsia="Courier New" w:hAnsi="Courier New"/>
          <w:sz w:val="15"/>
          <w:szCs w:val="15"/>
          <w:color w:val="auto"/>
        </w:rPr>
        <w:t>During the first six months of 2001, JPMorgan Chase issued approximately $6.8 billion of long-term debt and $500 million of trust preferred capital securities. During the same period, $9.2 billion of long-term debt matured or was redeemed and $0.5 billion of preferred stock was called.</w:t>
      </w:r>
    </w:p>
    <w:p>
      <w:pPr>
        <w:spacing w:after="0" w:line="79" w:lineRule="exact"/>
        <w:rPr>
          <w:sz w:val="20"/>
          <w:szCs w:val="20"/>
          <w:color w:val="auto"/>
        </w:rPr>
      </w:pPr>
    </w:p>
    <w:p>
      <w:pPr>
        <w:ind w:left="180" w:hanging="170"/>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OPERATIONAL RISK  MANAGEMENT</w:t>
      </w:r>
    </w:p>
    <w:p>
      <w:pPr>
        <w:ind w:left="180" w:hanging="170"/>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For a discussion of JPMorgan Chase's operational risk management, refer to page 58 of JPMorgan Chase's 2000 Annual Report.</w:t>
      </w:r>
    </w:p>
    <w:p>
      <w:pPr>
        <w:spacing w:after="0" w:line="17" w:lineRule="exact"/>
        <w:rPr>
          <w:sz w:val="20"/>
          <w:szCs w:val="20"/>
          <w:color w:val="auto"/>
        </w:rPr>
      </w:pPr>
    </w:p>
    <w:p>
      <w:pPr>
        <w:ind w:left="180" w:hanging="170"/>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SUPERVISION AND REGULATION</w:t>
      </w:r>
    </w:p>
    <w:p>
      <w:pPr>
        <w:ind w:left="180" w:hanging="170"/>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right="3319"/>
        <w:spacing w:after="0" w:line="381" w:lineRule="auto"/>
        <w:rPr>
          <w:sz w:val="20"/>
          <w:szCs w:val="20"/>
          <w:color w:val="auto"/>
        </w:rPr>
      </w:pPr>
      <w:r>
        <w:rPr>
          <w:rFonts w:ascii="Courier New" w:cs="Courier New" w:eastAsia="Courier New" w:hAnsi="Courier New"/>
          <w:sz w:val="14"/>
          <w:szCs w:val="14"/>
          <w:color w:val="auto"/>
        </w:rPr>
        <w:t>The following discussion should be read in conjunction with the Supervision and Regulation section on pages 1 through 6 of JPMorgan Chase's 2000 Form 10-K.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2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JPMorgan Chase's bank subsidiaries, without the approval of their relevant banking regulators, could pay dividends to their respective bank holding companies in amounts up to the limitations imposed upon such banks by regulatory restrictions. These dividend limitations, in the aggregate, totaled approximately $3.8 billion at June 30, 2001.</w:t>
      </w:r>
    </w:p>
    <w:p>
      <w:pPr>
        <w:spacing w:after="0" w:line="249" w:lineRule="exact"/>
        <w:rPr>
          <w:sz w:val="20"/>
          <w:szCs w:val="20"/>
          <w:color w:val="auto"/>
        </w:rPr>
      </w:pPr>
    </w:p>
    <w:p>
      <w:pPr>
        <w:ind w:left="180" w:hanging="170"/>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ACCOUNTING DEVELOPMENTS</w:t>
      </w:r>
    </w:p>
    <w:p>
      <w:pPr>
        <w:ind w:left="180" w:hanging="170"/>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ISOLATION</w:t>
      </w:r>
    </w:p>
    <w:p>
      <w:pPr>
        <w:spacing w:after="0" w:line="24"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4"/>
          <w:szCs w:val="14"/>
          <w:color w:val="auto"/>
        </w:rPr>
        <w:t>In July 2001, the FASB issued a Technical Bulletin that would delay the effective date of SFAS 140 for certain provisions that impact entities subject to possible receivership by the FDIC. For those entities, the Technical Bulletin delays the isolation standards of SFAS 140 until at least December 31, 2001. The Firm currently is reviewing its transactions to determine what modifications will be required to conform with SFAS 140 and the Technical Bulletin.</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COMBINATIONS AND INTANGIBLE ASSETS</w:t>
      </w:r>
    </w:p>
    <w:p>
      <w:pPr>
        <w:spacing w:after="0" w:line="24" w:lineRule="exact"/>
        <w:rPr>
          <w:sz w:val="20"/>
          <w:szCs w:val="20"/>
          <w:color w:val="auto"/>
        </w:rPr>
      </w:pPr>
    </w:p>
    <w:p>
      <w:pPr>
        <w:ind w:right="3239"/>
        <w:spacing w:after="0" w:line="242" w:lineRule="auto"/>
        <w:rPr>
          <w:sz w:val="20"/>
          <w:szCs w:val="20"/>
          <w:color w:val="auto"/>
        </w:rPr>
      </w:pPr>
      <w:r>
        <w:rPr>
          <w:rFonts w:ascii="Courier New" w:cs="Courier New" w:eastAsia="Courier New" w:hAnsi="Courier New"/>
          <w:sz w:val="15"/>
          <w:szCs w:val="15"/>
          <w:color w:val="auto"/>
        </w:rPr>
        <w:t>In June 2001, the FASB issued SFAS 141, which revises the financial accounting and reporting for business combinations, and also issued SFAS 142, which revises the financial accounting and reporting for goodwill and other intangible assets. SFAS 141 requires that all business combinations be accounted for using the purchase method. Accounting for business combinations using the pooling of interests method no longer is allowed. SFAS 141 also requires that intangible assets acquired in a business combination be recognized apart from goodwill if the intangible assets meet one of two criteria -- the contractual-legal criterion or the separability criterion. The provisions of SFAS 141 apply to all business combinations initiated after June 30, 2001 as well as business combinations accounted for by the purchase method for which the date of acquisition is July 1, 2001 or later. Certain transition provisions could affect the accounting for business combinations using the purchase method that were completed before July 1, 2001.</w:t>
      </w:r>
    </w:p>
    <w:p>
      <w:pPr>
        <w:spacing w:after="0" w:line="98"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SFAS 142 establishes how intangible assets (other than those acquired in a business combination) should be accounted for upon acquisition. It also addresses how goodwill and other intangible assets should be accounted for subsequent to their acquisition. Goodwill and intangible assets that have indefinite useful lives no longer will be amortized but will be tested at least annually for impairment. Intangible assets with finite lives will continue to be amortized over their useful lives. The provisions of SFAS 142 are required to be adopted by the Firm beginning January 1, 2002. Impairment losses that arise due to the initial application of SFAS 142 are required to be reported as a change in accounting principle.</w:t>
      </w:r>
    </w:p>
    <w:p>
      <w:pPr>
        <w:spacing w:after="0" w:line="87"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The Firm currently is assessing the impact of SFAS 141 and SFAS 142 on its financial condition and operating performance.</w:t>
      </w:r>
    </w:p>
    <w:p>
      <w:pPr>
        <w:sectPr>
          <w:pgSz w:w="11900" w:h="16838" w:orient="portrait"/>
          <w:cols w:equalWidth="0" w:num="1">
            <w:col w:w="10239"/>
          </w:cols>
          <w:pgMar w:left="220" w:top="261" w:right="1440" w:bottom="1440" w:gutter="0" w:footer="0" w:header="0"/>
        </w:sectPr>
      </w:pPr>
    </w:p>
    <w:p>
      <w:pPr>
        <w:spacing w:after="0" w:line="35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61"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45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FINANCIAL HIGHLIGHTS</w:t>
      </w:r>
    </w:p>
    <w:p>
      <w:pPr>
        <w:jc w:val="center"/>
        <w:ind w:right="3500"/>
        <w:spacing w:after="0"/>
        <w:rPr>
          <w:sz w:val="20"/>
          <w:szCs w:val="20"/>
          <w:color w:val="auto"/>
        </w:rPr>
      </w:pPr>
      <w:r>
        <w:rPr>
          <w:rFonts w:ascii="Courier New" w:cs="Courier New" w:eastAsia="Courier New" w:hAnsi="Courier New"/>
          <w:sz w:val="15"/>
          <w:szCs w:val="15"/>
          <w:color w:val="auto"/>
        </w:rPr>
        <w:t>(IN MILLIONS, EXCEPT PER SHARE DATA AND RATIOS)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SECOND QUARTER</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Over/(Under)</w:t>
            </w:r>
          </w:p>
        </w:tc>
        <w:tc>
          <w:tcPr>
            <w:tcW w:w="180" w:type="dxa"/>
            <w:vAlign w:val="bottom"/>
          </w:tcPr>
          <w:p>
            <w:pPr>
              <w:spacing w:after="0"/>
              <w:rPr>
                <w:sz w:val="14"/>
                <w:szCs w:val="14"/>
                <w:color w:val="auto"/>
              </w:rPr>
            </w:pPr>
          </w:p>
        </w:tc>
        <w:tc>
          <w:tcPr>
            <w:tcW w:w="18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SIX MONTHS</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Over/(Under)</w:t>
            </w:r>
          </w:p>
        </w:tc>
        <w:tc>
          <w:tcPr>
            <w:tcW w:w="0" w:type="dxa"/>
            <w:vAlign w:val="bottom"/>
          </w:tcPr>
          <w:p>
            <w:pPr>
              <w:spacing w:after="0"/>
              <w:rPr>
                <w:sz w:val="1"/>
                <w:szCs w:val="1"/>
                <w:color w:val="auto"/>
              </w:rPr>
            </w:pPr>
          </w:p>
        </w:tc>
      </w:tr>
      <w:tr>
        <w:trPr>
          <w:trHeight w:val="168"/>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rPr>
              <w:t>REPORTED BASIS</w:t>
            </w:r>
          </w:p>
        </w:tc>
        <w:tc>
          <w:tcPr>
            <w:tcW w:w="20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2000</w:t>
            </w:r>
          </w:p>
        </w:tc>
        <w:tc>
          <w:tcPr>
            <w:tcW w:w="180" w:type="dxa"/>
            <w:vAlign w:val="bottom"/>
          </w:tcPr>
          <w:p>
            <w:pPr>
              <w:spacing w:after="0"/>
              <w:rPr>
                <w:sz w:val="14"/>
                <w:szCs w:val="14"/>
                <w:color w:val="auto"/>
              </w:rPr>
            </w:pPr>
          </w:p>
        </w:tc>
        <w:tc>
          <w:tcPr>
            <w:tcW w:w="184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4"/>
              </w:rPr>
              <w:t>2000</w:t>
            </w: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6,871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$7,899</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16,668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 (excluding Merger</w:t>
            </w:r>
          </w:p>
        </w:tc>
        <w:tc>
          <w:tcPr>
            <w:tcW w:w="32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5,283</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5,025</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10,881</w:t>
            </w:r>
          </w:p>
        </w:tc>
        <w:tc>
          <w:tcPr>
            <w:tcW w:w="180" w:type="dxa"/>
            <w:vAlign w:val="bottom"/>
          </w:tcPr>
          <w:p>
            <w:pPr>
              <w:spacing w:after="0"/>
              <w:rPr>
                <w:sz w:val="14"/>
                <w:szCs w:val="14"/>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10,378</w:t>
            </w: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Restructuring Costs)</w:t>
            </w:r>
          </w:p>
        </w:tc>
        <w:tc>
          <w:tcPr>
            <w:tcW w:w="3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and Restructuring Costs</w:t>
            </w:r>
          </w:p>
        </w:tc>
        <w:tc>
          <w:tcPr>
            <w:tcW w:w="3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806</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NM</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670</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(a)</w:t>
            </w:r>
          </w:p>
        </w:tc>
        <w:tc>
          <w:tcPr>
            <w:tcW w:w="320" w:type="dxa"/>
            <w:vAlign w:val="bottom"/>
            <w:vMerge w:val="continue"/>
          </w:tcPr>
          <w:p>
            <w:pPr>
              <w:spacing w:after="0"/>
              <w:rPr>
                <w:sz w:val="21"/>
                <w:szCs w:val="21"/>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$1,633</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w:t>
            </w:r>
          </w:p>
        </w:tc>
        <w:tc>
          <w:tcPr>
            <w:tcW w:w="180" w:type="dxa"/>
            <w:vAlign w:val="bottom"/>
            <w:vMerge w:val="continue"/>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1,577</w:t>
            </w:r>
          </w:p>
        </w:tc>
        <w:tc>
          <w:tcPr>
            <w:tcW w:w="180" w:type="dxa"/>
            <w:vAlign w:val="bottom"/>
            <w:vMerge w:val="continue"/>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0.18</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$ 0.87</w:t>
            </w:r>
          </w:p>
        </w:tc>
        <w:tc>
          <w:tcPr>
            <w:tcW w:w="11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0.78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1.92</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 (a)</w:t>
            </w: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 (a)</w:t>
            </w:r>
          </w:p>
        </w:tc>
        <w:tc>
          <w:tcPr>
            <w:tcW w:w="3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0.83</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0.76</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3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0.34</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0.68</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Price at Period End</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44.60</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46.06</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Book Value at Period End</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20.81</w:t>
            </w:r>
          </w:p>
        </w:tc>
        <w:tc>
          <w:tcPr>
            <w:tcW w:w="18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19.19</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Common Shares Outstanding:</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Shares:</w:t>
            </w:r>
          </w:p>
        </w:tc>
        <w:tc>
          <w:tcPr>
            <w:tcW w:w="106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1,978.4</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1,853.1</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1,972.6</w:t>
            </w:r>
          </w:p>
        </w:tc>
        <w:tc>
          <w:tcPr>
            <w:tcW w:w="180" w:type="dxa"/>
            <w:vAlign w:val="bottom"/>
          </w:tcPr>
          <w:p>
            <w:pPr>
              <w:spacing w:after="0"/>
              <w:rPr>
                <w:sz w:val="14"/>
                <w:szCs w:val="14"/>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1,858.9</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2,033.6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1,939.2</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2,033.0</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1,942.3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Common Shares at Period End</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1,989.2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1,829.7</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1,989.2</w:t>
            </w:r>
          </w:p>
        </w:tc>
        <w:tc>
          <w:tcPr>
            <w:tcW w:w="18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1,829.7</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Performance Ratios:</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0.21%</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0.98%</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(77)bp</w:t>
            </w:r>
          </w:p>
        </w:tc>
        <w:tc>
          <w:tcPr>
            <w:tcW w:w="18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0.43%</w:t>
            </w:r>
          </w:p>
        </w:tc>
        <w:tc>
          <w:tcPr>
            <w:tcW w:w="18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(67)bp</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Total Assets (b)</w:t>
            </w:r>
          </w:p>
        </w:tc>
        <w:tc>
          <w:tcPr>
            <w:tcW w:w="3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Return on Average Common Equity (b)</w:t>
            </w:r>
          </w:p>
        </w:tc>
        <w:tc>
          <w:tcPr>
            <w:tcW w:w="320" w:type="dxa"/>
            <w:vAlign w:val="bottom"/>
          </w:tcPr>
          <w:p>
            <w:pPr>
              <w:spacing w:after="0"/>
              <w:rPr>
                <w:sz w:val="21"/>
                <w:szCs w:val="21"/>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(1,560)</w:t>
            </w:r>
          </w:p>
        </w:tc>
        <w:tc>
          <w:tcPr>
            <w:tcW w:w="18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w:t>
            </w:r>
          </w:p>
        </w:tc>
        <w:tc>
          <w:tcPr>
            <w:tcW w:w="18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(1,390)</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Capital Ratios:</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8.6%</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10bp</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Capital Ratio</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Capital Ratio</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Tier 1 Leverage</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INCLUDING JPMORGAN PARTNERS (f)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1"/>
                <w:szCs w:val="21"/>
                <w:color w:val="auto"/>
              </w:rPr>
            </w:pPr>
          </w:p>
        </w:tc>
        <w:tc>
          <w:tcPr>
            <w:tcW w:w="6160" w:type="dxa"/>
            <w:vAlign w:val="bottom"/>
            <w:gridSpan w:val="8"/>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BASIS (c)</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$ 7,144</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$8,282</w:t>
            </w:r>
          </w:p>
        </w:tc>
        <w:tc>
          <w:tcPr>
            <w:tcW w:w="10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15,638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17,305</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5,025</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10,881</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10,378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Costs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1,486</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1,757</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2,126</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0.89</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Common Equity (b)</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(1,410)bp</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(1,210)bp</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0"/>
                <w:szCs w:val="20"/>
                <w:color w:val="auto"/>
              </w:rPr>
            </w:pPr>
            <w:r>
              <w:rPr>
                <w:rFonts w:ascii="Courier New" w:cs="Courier New" w:eastAsia="Courier New" w:hAnsi="Courier New"/>
                <w:sz w:val="15"/>
                <w:szCs w:val="15"/>
                <w:color w:val="auto"/>
              </w:rPr>
              <w:t>Overhead Ratio (d)</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1,300</w:t>
            </w:r>
          </w:p>
        </w:tc>
        <w:tc>
          <w:tcPr>
            <w:tcW w:w="36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59"/>
        </w:trPr>
        <w:tc>
          <w:tcPr>
            <w:tcW w:w="3560" w:type="dxa"/>
            <w:vAlign w:val="bottom"/>
          </w:tcPr>
          <w:p>
            <w:pPr>
              <w:spacing w:after="0"/>
              <w:rPr>
                <w:sz w:val="20"/>
                <w:szCs w:val="20"/>
                <w:color w:val="auto"/>
              </w:rPr>
            </w:pPr>
            <w:r>
              <w:rPr>
                <w:rFonts w:ascii="Courier New" w:cs="Courier New" w:eastAsia="Courier New" w:hAnsi="Courier New"/>
                <w:sz w:val="15"/>
                <w:szCs w:val="15"/>
                <w:color w:val="auto"/>
              </w:rPr>
              <w:t>CASH OPERATING BASIS:</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873</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$1,849</w:t>
            </w:r>
          </w:p>
        </w:tc>
        <w:tc>
          <w:tcPr>
            <w:tcW w:w="10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(53)%</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2,486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3,930</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Earnings</w:t>
            </w: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Diluted Earnings per Share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0.94</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Value Added (e)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814</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NM</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Average Common Equity(b)</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(1,350)bp</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(1,140)bp</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0"/>
                <w:szCs w:val="20"/>
                <w:color w:val="auto"/>
              </w:rPr>
            </w:pPr>
            <w:r>
              <w:rPr>
                <w:rFonts w:ascii="Courier New" w:cs="Courier New" w:eastAsia="Courier New" w:hAnsi="Courier New"/>
                <w:sz w:val="15"/>
                <w:szCs w:val="15"/>
                <w:color w:val="auto"/>
              </w:rPr>
              <w:t>Cash Overhead Ratio (d)</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1,100</w:t>
            </w:r>
          </w:p>
        </w:tc>
        <w:tc>
          <w:tcPr>
            <w:tcW w:w="36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w:t>
            </w:r>
          </w:p>
        </w:tc>
        <w:tc>
          <w:tcPr>
            <w:tcW w:w="22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c>
          <w:tcPr>
            <w:tcW w:w="0" w:type="dxa"/>
            <w:vAlign w:val="bottom"/>
          </w:tcPr>
          <w:p>
            <w:pPr>
              <w:spacing w:after="0"/>
              <w:rPr>
                <w:sz w:val="1"/>
                <w:szCs w:val="1"/>
                <w:color w:val="auto"/>
              </w:rPr>
            </w:pPr>
          </w:p>
        </w:tc>
      </w:tr>
      <w:tr>
        <w:trPr>
          <w:trHeight w:val="427"/>
        </w:trPr>
        <w:tc>
          <w:tcPr>
            <w:tcW w:w="3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EXCLUDING JPMORGAN PARTNERS (f)</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1"/>
                <w:szCs w:val="21"/>
                <w:color w:val="auto"/>
              </w:rPr>
            </w:pPr>
          </w:p>
        </w:tc>
        <w:tc>
          <w:tcPr>
            <w:tcW w:w="6160" w:type="dxa"/>
            <w:vAlign w:val="bottom"/>
            <w:gridSpan w:val="8"/>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BASIS (c)</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$ 8,038</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$7,892</w:t>
            </w:r>
          </w:p>
        </w:tc>
        <w:tc>
          <w:tcPr>
            <w:tcW w:w="10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16,475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16,314</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4,945</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10,707</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10,172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Costs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1,486</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1,556</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2,769</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0.79</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Common Equity (b)</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(860)bp</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(870)bp</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0"/>
                <w:szCs w:val="20"/>
                <w:color w:val="auto"/>
              </w:rPr>
            </w:pPr>
            <w:r>
              <w:rPr>
                <w:rFonts w:ascii="Courier New" w:cs="Courier New" w:eastAsia="Courier New" w:hAnsi="Courier New"/>
                <w:sz w:val="15"/>
                <w:szCs w:val="15"/>
                <w:color w:val="auto"/>
              </w:rPr>
              <w:t>Overhead Ratio (d)</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w:t>
            </w: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w:t>
            </w:r>
          </w:p>
        </w:tc>
        <w:tc>
          <w:tcPr>
            <w:tcW w:w="36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w:t>
            </w:r>
          </w:p>
        </w:tc>
        <w:tc>
          <w:tcPr>
            <w:tcW w:w="22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259"/>
        </w:trPr>
        <w:tc>
          <w:tcPr>
            <w:tcW w:w="3560" w:type="dxa"/>
            <w:vAlign w:val="bottom"/>
          </w:tcPr>
          <w:p>
            <w:pPr>
              <w:spacing w:after="0"/>
              <w:rPr>
                <w:sz w:val="20"/>
                <w:szCs w:val="20"/>
                <w:color w:val="auto"/>
              </w:rPr>
            </w:pPr>
            <w:r>
              <w:rPr>
                <w:rFonts w:ascii="Courier New" w:cs="Courier New" w:eastAsia="Courier New" w:hAnsi="Courier New"/>
                <w:sz w:val="15"/>
                <w:szCs w:val="15"/>
                <w:color w:val="auto"/>
              </w:rPr>
              <w:t>CASH OPERATING BASIS:</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$ 1,486</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$1,646</w:t>
            </w:r>
          </w:p>
        </w:tc>
        <w:tc>
          <w:tcPr>
            <w:tcW w:w="10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3,119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3,419</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Earnings</w:t>
            </w: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Diluted Earnings per Share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0.84</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Value Added (e)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1,107</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Average Common Equity(b)</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(800)bp</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(810)bp</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20"/>
                <w:szCs w:val="20"/>
                <w:color w:val="auto"/>
              </w:rPr>
            </w:pPr>
            <w:r>
              <w:rPr>
                <w:rFonts w:ascii="Courier New" w:cs="Courier New" w:eastAsia="Courier New" w:hAnsi="Courier New"/>
                <w:sz w:val="15"/>
                <w:szCs w:val="15"/>
                <w:color w:val="auto"/>
              </w:rPr>
              <w:t>Cash Overhead Ratio (d)</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w:t>
            </w: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6"/>
                <w:szCs w:val="16"/>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w:t>
            </w:r>
          </w:p>
        </w:tc>
        <w:tc>
          <w:tcPr>
            <w:tcW w:w="220" w:type="dxa"/>
            <w:vAlign w:val="bottom"/>
          </w:tcPr>
          <w:p>
            <w:pPr>
              <w:spacing w:after="0"/>
              <w:rPr>
                <w:sz w:val="16"/>
                <w:szCs w:val="16"/>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420"/>
          </w:cols>
          <w:pgMar w:left="220" w:top="261" w:right="1259" w:bottom="6" w:gutter="0" w:footer="0" w:header="0"/>
        </w:sectPr>
      </w:pPr>
    </w:p>
    <w:bookmarkStart w:id="52" w:name="page53"/>
    <w:bookmarkEnd w:id="52"/>
    <w:p>
      <w:pPr>
        <w:ind w:left="360" w:right="3239" w:hanging="350"/>
        <w:spacing w:after="0" w:line="264"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Reported basis for the six months of 2001 includes the cumulative effect of a transition adjustment of $(25) million, net of taxes, and basic and diluted earnings per share have been reduced by $(0.01) in the first six months of 2001 due to the impact of the adoption of SFAS 133 relating to the accounting for derivative instruments and hedging activities.</w:t>
      </w:r>
    </w:p>
    <w:p>
      <w:pPr>
        <w:spacing w:after="0" w:line="74"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annualized amounts.</w:t>
      </w:r>
    </w:p>
    <w:p>
      <w:pPr>
        <w:spacing w:after="0" w:line="166" w:lineRule="exact"/>
        <w:rPr>
          <w:rFonts w:ascii="Courier New" w:cs="Courier New" w:eastAsia="Courier New" w:hAnsi="Courier New"/>
          <w:sz w:val="15"/>
          <w:szCs w:val="15"/>
          <w:color w:val="auto"/>
        </w:rPr>
      </w:pPr>
    </w:p>
    <w:p>
      <w:pPr>
        <w:ind w:left="360" w:right="3239" w:hanging="350"/>
        <w:spacing w:after="0" w:line="290"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basis excludes the impact of credit card securitizations, merger and restructuring costs, and special items. See page 26 for a reconciliation of results on a reported and operating basis.</w:t>
      </w:r>
    </w:p>
    <w:p>
      <w:pPr>
        <w:spacing w:after="0" w:line="56" w:lineRule="exact"/>
        <w:rPr>
          <w:rFonts w:ascii="Courier New" w:cs="Courier New" w:eastAsia="Courier New" w:hAnsi="Courier New"/>
          <w:sz w:val="15"/>
          <w:szCs w:val="15"/>
          <w:color w:val="auto"/>
        </w:rPr>
      </w:pPr>
    </w:p>
    <w:p>
      <w:pPr>
        <w:ind w:left="360" w:right="3499" w:hanging="350"/>
        <w:spacing w:after="0" w:line="264"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overhead ratio is noninterest expense as a percentage of the total of net interest income and noninterest revenue (excluding merger and restructuring costs and special items). The cash overhead ratio also excludes the impact of amortization of goodwill and certain other intangibles.</w:t>
      </w:r>
    </w:p>
    <w:p>
      <w:pPr>
        <w:spacing w:after="0" w:line="74" w:lineRule="exact"/>
        <w:rPr>
          <w:rFonts w:ascii="Courier New" w:cs="Courier New" w:eastAsia="Courier New" w:hAnsi="Courier New"/>
          <w:sz w:val="15"/>
          <w:szCs w:val="15"/>
          <w:color w:val="auto"/>
        </w:rPr>
      </w:pPr>
    </w:p>
    <w:p>
      <w:pPr>
        <w:ind w:left="360" w:right="3239" w:hanging="350"/>
        <w:spacing w:after="0" w:line="276"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SVA represents operating earnings excluding the amortization of goodwill and certain other intangibles minus preferred dividends and an explicit charge for capital. An integrated cost of capital was implemented during the second quarter of 2001. A 12% cost of capital has been used for all businesses except JPMP, which has a 15% cost of capital. The effective cost of equity capital used in the SVA framework for JPMorgan Chase overall is 12%. Prior periods have been restated to conform with current methodologies.</w:t>
      </w:r>
    </w:p>
    <w:p>
      <w:pPr>
        <w:spacing w:after="0" w:line="68" w:lineRule="exact"/>
        <w:rPr>
          <w:rFonts w:ascii="Courier New" w:cs="Courier New" w:eastAsia="Courier New" w:hAnsi="Courier New"/>
          <w:sz w:val="14"/>
          <w:szCs w:val="14"/>
          <w:color w:val="auto"/>
        </w:rPr>
      </w:pPr>
    </w:p>
    <w:p>
      <w:pPr>
        <w:ind w:left="360" w:right="3499" w:hanging="350"/>
        <w:spacing w:after="0" w:line="344"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JPMP is JPMorgan Chase's private equity business. See pages 19 through 20 for its line of business results.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bp - Denotes basis points; 100 bp equals 1%.</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NM -</w:t>
      </w:r>
      <w:r>
        <w:rPr>
          <w:sz w:val="20"/>
          <w:szCs w:val="20"/>
          <w:color w:val="auto"/>
        </w:rPr>
        <w:tab/>
      </w:r>
      <w:r>
        <w:rPr>
          <w:rFonts w:ascii="Courier New" w:cs="Courier New" w:eastAsia="Courier New" w:hAnsi="Courier New"/>
          <w:sz w:val="14"/>
          <w:szCs w:val="14"/>
          <w:color w:val="auto"/>
        </w:rPr>
        <w:t>Not meaningful.</w:t>
      </w:r>
    </w:p>
    <w:p>
      <w:pPr>
        <w:spacing w:after="0" w:line="24" w:lineRule="exact"/>
        <w:rPr>
          <w:sz w:val="20"/>
          <w:szCs w:val="20"/>
          <w:color w:val="auto"/>
        </w:rPr>
      </w:pPr>
    </w:p>
    <w:p>
      <w:pPr>
        <w:ind w:left="180" w:hanging="170"/>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9"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115"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46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CONSOLIDATED AVERAGE BALANCE SHEET, INTEREST AND RATES</w:t>
      </w:r>
    </w:p>
    <w:p>
      <w:pPr>
        <w:jc w:val="center"/>
        <w:ind w:right="3660"/>
        <w:spacing w:after="0"/>
        <w:rPr>
          <w:sz w:val="20"/>
          <w:szCs w:val="20"/>
          <w:color w:val="auto"/>
        </w:rPr>
      </w:pPr>
      <w:r>
        <w:rPr>
          <w:rFonts w:ascii="Courier New" w:cs="Courier New" w:eastAsia="Courier New" w:hAnsi="Courier New"/>
          <w:sz w:val="15"/>
          <w:szCs w:val="15"/>
          <w:color w:val="auto"/>
        </w:rPr>
        <w:t>(TAXABLE-EQUIVALENT INTEREST AND RATES; IN MILLIONS, EXCEPT RATES)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5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THREE MONTHS ENDED JUNE 30, 2001</w:t>
            </w:r>
          </w:p>
        </w:tc>
        <w:tc>
          <w:tcPr>
            <w:tcW w:w="32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Three Months Ended June 30, 2000</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674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INTEREST</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RATE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Interest</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BALANCE</w:t>
            </w:r>
          </w:p>
        </w:tc>
        <w:tc>
          <w:tcPr>
            <w:tcW w:w="920" w:type="dxa"/>
            <w:vAlign w:val="bottom"/>
            <w:vMerge w:val="continue"/>
          </w:tcPr>
          <w:p>
            <w:pPr>
              <w:spacing w:after="0"/>
              <w:rPr>
                <w:sz w:val="14"/>
                <w:szCs w:val="14"/>
                <w:color w:val="auto"/>
              </w:rPr>
            </w:pP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(ANNUALIZED)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Balance</w:t>
            </w:r>
          </w:p>
        </w:tc>
        <w:tc>
          <w:tcPr>
            <w:tcW w:w="960" w:type="dxa"/>
            <w:vAlign w:val="bottom"/>
            <w:vMerge w:val="continue"/>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(Annualized)</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9,535</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111</w:t>
            </w:r>
          </w:p>
        </w:tc>
        <w:tc>
          <w:tcPr>
            <w:tcW w:w="12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4.65%</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8,956</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176</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7.92%</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 Purchased under</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86,556</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1,076</w:t>
            </w:r>
          </w:p>
        </w:tc>
        <w:tc>
          <w:tcPr>
            <w:tcW w:w="12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4.98</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82,245</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1,201</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5.87</w:t>
            </w:r>
          </w:p>
        </w:tc>
        <w:tc>
          <w:tcPr>
            <w:tcW w:w="0" w:type="dxa"/>
            <w:vAlign w:val="bottom"/>
          </w:tcPr>
          <w:p>
            <w:pPr>
              <w:spacing w:after="0"/>
              <w:rPr>
                <w:sz w:val="1"/>
                <w:szCs w:val="1"/>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Resale Agreements</w:t>
            </w: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and Trading 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194,736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2,864</w:t>
            </w: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5.90 (a)</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173,870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2,855</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6.60 (a)</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38,006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w:t>
            </w: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3.66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35,421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528</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6.00</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217,447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4,090</w:t>
            </w: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7.55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205,419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4,121</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8.06</w:t>
            </w:r>
          </w:p>
        </w:tc>
        <w:tc>
          <w:tcPr>
            <w:tcW w:w="0" w:type="dxa"/>
            <w:vAlign w:val="bottom"/>
          </w:tcPr>
          <w:p>
            <w:pPr>
              <w:spacing w:after="0"/>
              <w:rPr>
                <w:sz w:val="1"/>
                <w:szCs w:val="1"/>
                <w:color w:val="auto"/>
              </w:rPr>
            </w:pPr>
          </w:p>
        </w:tc>
      </w:tr>
      <w:tr>
        <w:trPr>
          <w:trHeight w:val="168"/>
        </w:trPr>
        <w:tc>
          <w:tcPr>
            <w:tcW w:w="39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Interest-Earning Assets</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546,280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6.23%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8,488</w:t>
            </w:r>
          </w:p>
        </w:tc>
        <w:tc>
          <w:tcPr>
            <w:tcW w:w="1260" w:type="dxa"/>
            <w:vAlign w:val="bottom"/>
            <w:vMerge w:val="continue"/>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505,911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8,881</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(3,708)</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(3,705)</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21,499</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16,579</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 - Derivative Receivables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77,794</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74,943</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93,903</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73,610</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26"/>
                <w:szCs w:val="26"/>
                <w:color w:val="auto"/>
                <w:w w:val="70"/>
                <w:vertAlign w:val="subscript"/>
              </w:rPr>
              <w:t>$</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735,768</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$ 667,338</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$ 215,987</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$ 2,122</w:t>
            </w:r>
          </w:p>
        </w:tc>
        <w:tc>
          <w:tcPr>
            <w:tcW w:w="12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3.94%</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$ 213,124</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$2,644</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4.99%</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Interest-Bearing Deposits</w:t>
            </w: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 Sold under</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167,126</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1,787</w:t>
            </w:r>
          </w:p>
        </w:tc>
        <w:tc>
          <w:tcPr>
            <w:tcW w:w="12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4.29</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131,700</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1,873</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5.72</w:t>
            </w:r>
          </w:p>
        </w:tc>
        <w:tc>
          <w:tcPr>
            <w:tcW w:w="0" w:type="dxa"/>
            <w:vAlign w:val="bottom"/>
          </w:tcPr>
          <w:p>
            <w:pPr>
              <w:spacing w:after="0"/>
              <w:rPr>
                <w:sz w:val="1"/>
                <w:szCs w:val="1"/>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Repurchase Agreements</w:t>
            </w: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Paper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17,818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w:t>
            </w: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4.39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14,424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6.29</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Borrowings (b)</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63,038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950</w:t>
            </w: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6.04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57,939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1,048</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7.28</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45,173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w:t>
            </w: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5.63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46,195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773</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6.73</w:t>
            </w: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Interest-Bearing Liabilities</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509,142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4.48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5,688</w:t>
            </w:r>
          </w:p>
        </w:tc>
        <w:tc>
          <w:tcPr>
            <w:tcW w:w="1260" w:type="dxa"/>
            <w:vAlign w:val="bottom"/>
            <w:vMerge w:val="continue"/>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463,382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6,564</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Noninterest-Bearing Deposits</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60,073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52,700</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Liabilities - Derivative Payables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71,980</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70,809</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51,065</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44,472</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692,260</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631,363</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PREFERRED STOCK OF SUBSIDIARY</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6"/>
              </w:rPr>
              <w:t>---------</w:t>
            </w:r>
            <w:r>
              <w:rPr>
                <w:rFonts w:ascii="Courier New" w:cs="Courier New" w:eastAsia="Courier New" w:hAnsi="Courier New"/>
                <w:sz w:val="29"/>
                <w:szCs w:val="29"/>
                <w:color w:val="auto"/>
                <w:w w:val="96"/>
                <w:vertAlign w:val="subscript"/>
              </w:rPr>
              <w:t>550</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940" w:type="dxa"/>
            <w:vAlign w:val="bottom"/>
            <w:vMerge w:val="continue"/>
          </w:tcPr>
          <w:p>
            <w:pPr>
              <w:spacing w:after="0"/>
              <w:rPr>
                <w:sz w:val="7"/>
                <w:szCs w:val="7"/>
                <w:color w:val="auto"/>
              </w:rPr>
            </w:pP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1,239</w:t>
            </w:r>
          </w:p>
        </w:tc>
        <w:tc>
          <w:tcPr>
            <w:tcW w:w="9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1,621</w:t>
            </w: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1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Stockholders' Equity</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41,719</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33,804</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Equity</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42,958</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35,425</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Total Liabilities, Preferred Stock of</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940" w:type="dxa"/>
            <w:vAlign w:val="bottom"/>
            <w:vMerge w:val="continue"/>
          </w:tcPr>
          <w:p>
            <w:pPr>
              <w:spacing w:after="0"/>
              <w:rPr>
                <w:sz w:val="7"/>
                <w:szCs w:val="7"/>
                <w:color w:val="auto"/>
              </w:rPr>
            </w:pP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$ 735,768</w:t>
            </w:r>
          </w:p>
        </w:tc>
        <w:tc>
          <w:tcPr>
            <w:tcW w:w="9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$ 667,338</w:t>
            </w: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9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Subsidiary and Stockholders' Equity</w:t>
            </w:r>
          </w:p>
        </w:tc>
        <w:tc>
          <w:tcPr>
            <w:tcW w:w="1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RATE SPREAD</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2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1.75%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1.36%</w:t>
            </w:r>
          </w:p>
        </w:tc>
        <w:tc>
          <w:tcPr>
            <w:tcW w:w="0" w:type="dxa"/>
            <w:vAlign w:val="bottom"/>
          </w:tcPr>
          <w:p>
            <w:pPr>
              <w:spacing w:after="0"/>
              <w:rPr>
                <w:sz w:val="1"/>
                <w:szCs w:val="1"/>
                <w:color w:val="auto"/>
              </w:rPr>
            </w:pPr>
          </w:p>
        </w:tc>
      </w:tr>
      <w:tr>
        <w:trPr>
          <w:trHeight w:val="91"/>
        </w:trPr>
        <w:tc>
          <w:tcPr>
            <w:tcW w:w="394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AND NET</w:t>
            </w: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4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YIELD ON INTEREST-EARNING</w:t>
            </w:r>
          </w:p>
        </w:tc>
        <w:tc>
          <w:tcPr>
            <w:tcW w:w="13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$ 2,800</w:t>
            </w:r>
          </w:p>
        </w:tc>
        <w:tc>
          <w:tcPr>
            <w:tcW w:w="12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2.06%</w:t>
            </w:r>
          </w:p>
        </w:tc>
        <w:tc>
          <w:tcPr>
            <w:tcW w:w="1100" w:type="dxa"/>
            <w:vAlign w:val="bottom"/>
          </w:tcPr>
          <w:p>
            <w:pPr>
              <w:spacing w:after="0"/>
              <w:rPr>
                <w:sz w:val="14"/>
                <w:szCs w:val="14"/>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$2,317</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1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440" w:right="3760" w:hanging="430"/>
        <w:spacing w:after="0" w:line="285"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three months ended June 30, 2001 and June 30, 2000, the annualized rate for available-for-sale securities based on historical cost was 5.63% and 6.05%, respectively, and the annualized rate for available-for-sale securities based on fair value was 5.71% and 6.32%, respectively.</w:t>
      </w:r>
    </w:p>
    <w:p>
      <w:pPr>
        <w:spacing w:after="0" w:line="61" w:lineRule="exact"/>
        <w:rPr>
          <w:rFonts w:ascii="Courier New" w:cs="Courier New" w:eastAsia="Courier New" w:hAnsi="Courier New"/>
          <w:sz w:val="14"/>
          <w:szCs w:val="14"/>
          <w:color w:val="auto"/>
        </w:rPr>
      </w:pPr>
    </w:p>
    <w:p>
      <w:pPr>
        <w:ind w:left="440" w:right="4020" w:hanging="430"/>
        <w:spacing w:after="0" w:line="255" w:lineRule="auto"/>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securities sold but not yet purchased and structured notes and trust preferred notes.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680"/>
          </w:cols>
          <w:pgMar w:left="220" w:top="261" w:right="9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680"/>
          </w:cols>
          <w:pgMar w:left="220" w:top="261" w:right="999" w:bottom="1440" w:gutter="0" w:footer="0" w:header="0"/>
          <w:type w:val="continuous"/>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309"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CONSOLIDATED AVERAGE BALANCE SHEET, INTEREST AND RATES</w:t>
      </w:r>
    </w:p>
    <w:p>
      <w:pPr>
        <w:jc w:val="center"/>
        <w:ind w:right="3220"/>
        <w:spacing w:after="0"/>
        <w:rPr>
          <w:sz w:val="20"/>
          <w:szCs w:val="20"/>
          <w:color w:val="auto"/>
        </w:rPr>
      </w:pPr>
      <w:r>
        <w:rPr>
          <w:rFonts w:ascii="Courier New" w:cs="Courier New" w:eastAsia="Courier New" w:hAnsi="Courier New"/>
          <w:sz w:val="15"/>
          <w:szCs w:val="15"/>
          <w:color w:val="auto"/>
        </w:rPr>
        <w:t>(TAXABLE-EQUIVALENT INTEREST AND RATES; IN MILLIONS, EXCEPT RATES)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28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SIX MONTHS ENDED JUNE 30, 2001</w:t>
            </w:r>
          </w:p>
        </w:tc>
        <w:tc>
          <w:tcPr>
            <w:tcW w:w="32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Six Months Ended June 30, 2000</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02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AVERAGE</w:t>
            </w:r>
          </w:p>
        </w:tc>
        <w:tc>
          <w:tcPr>
            <w:tcW w:w="12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RATE</w:t>
            </w:r>
          </w:p>
        </w:tc>
        <w:tc>
          <w:tcPr>
            <w:tcW w:w="32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4"/>
              </w:rPr>
              <w:t>INTEREST</w:t>
            </w:r>
          </w:p>
        </w:tc>
        <w:tc>
          <w:tcPr>
            <w:tcW w:w="1260" w:type="dxa"/>
            <w:vAlign w:val="bottom"/>
            <w:vMerge w:val="continue"/>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Interest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1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BALANCE</w:t>
            </w:r>
          </w:p>
        </w:tc>
        <w:tc>
          <w:tcPr>
            <w:tcW w:w="840" w:type="dxa"/>
            <w:vAlign w:val="bottom"/>
            <w:vMerge w:val="continue"/>
          </w:tcPr>
          <w:p>
            <w:pPr>
              <w:spacing w:after="0"/>
              <w:rPr>
                <w:sz w:val="14"/>
                <w:szCs w:val="14"/>
                <w:color w:val="auto"/>
              </w:rPr>
            </w:pP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(ANNUALIZED)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Balance</w:t>
            </w:r>
          </w:p>
        </w:tc>
        <w:tc>
          <w:tcPr>
            <w:tcW w:w="960" w:type="dxa"/>
            <w:vAlign w:val="bottom"/>
            <w:vMerge w:val="continue"/>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(Annualized)</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   8,531</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   250</w:t>
            </w: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5.90%</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9,576</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388</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8.15%</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1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 Purchased under</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84,706</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2,272</w:t>
            </w: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5.41</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78,732</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2,291</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5.85</w:t>
            </w:r>
          </w:p>
        </w:tc>
        <w:tc>
          <w:tcPr>
            <w:tcW w:w="0" w:type="dxa"/>
            <w:vAlign w:val="bottom"/>
          </w:tcPr>
          <w:p>
            <w:pPr>
              <w:spacing w:after="0"/>
              <w:rPr>
                <w:sz w:val="1"/>
                <w:szCs w:val="1"/>
                <w:color w:val="auto"/>
              </w:rPr>
            </w:pPr>
          </w:p>
        </w:tc>
      </w:tr>
      <w:tr>
        <w:trPr>
          <w:trHeight w:val="168"/>
        </w:trPr>
        <w:tc>
          <w:tcPr>
            <w:tcW w:w="3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Resale Agreements</w:t>
            </w:r>
          </w:p>
        </w:tc>
        <w:tc>
          <w:tcPr>
            <w:tcW w:w="1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and Trading Assets</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197,789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5,765</w:t>
            </w:r>
          </w:p>
        </w:tc>
        <w:tc>
          <w:tcPr>
            <w:tcW w:w="12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5.88 (a)</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168,999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5,547</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6.60 (a)</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37,635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w:t>
            </w:r>
          </w:p>
        </w:tc>
        <w:tc>
          <w:tcPr>
            <w:tcW w:w="12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4.50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35,710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1,056</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5.95</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218,285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8,559</w:t>
            </w:r>
          </w:p>
        </w:tc>
        <w:tc>
          <w:tcPr>
            <w:tcW w:w="12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7.91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204,556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8,063</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7.93</w:t>
            </w:r>
          </w:p>
        </w:tc>
        <w:tc>
          <w:tcPr>
            <w:tcW w:w="0" w:type="dxa"/>
            <w:vAlign w:val="bottom"/>
          </w:tcPr>
          <w:p>
            <w:pPr>
              <w:spacing w:after="0"/>
              <w:rPr>
                <w:sz w:val="1"/>
                <w:szCs w:val="1"/>
                <w:color w:val="auto"/>
              </w:rPr>
            </w:pPr>
          </w:p>
        </w:tc>
      </w:tr>
      <w:tr>
        <w:trPr>
          <w:trHeight w:val="168"/>
        </w:trPr>
        <w:tc>
          <w:tcPr>
            <w:tcW w:w="37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Interest-Earning Assets</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546,946</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6.52%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17,686</w:t>
            </w:r>
          </w:p>
        </w:tc>
        <w:tc>
          <w:tcPr>
            <w:tcW w:w="1260" w:type="dxa"/>
            <w:vAlign w:val="bottom"/>
            <w:vMerge w:val="continue"/>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497,573</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17,345</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1180" w:type="dxa"/>
            <w:vAlign w:val="bottom"/>
          </w:tcPr>
          <w:p>
            <w:pPr>
              <w:jc w:val="right"/>
              <w:ind w:right="90"/>
              <w:spacing w:after="0" w:line="168" w:lineRule="exact"/>
              <w:rPr>
                <w:sz w:val="20"/>
                <w:szCs w:val="20"/>
                <w:color w:val="auto"/>
              </w:rPr>
            </w:pPr>
            <w:r>
              <w:rPr>
                <w:rFonts w:ascii="Courier New" w:cs="Courier New" w:eastAsia="Courier New" w:hAnsi="Courier New"/>
                <w:sz w:val="15"/>
                <w:szCs w:val="15"/>
                <w:color w:val="auto"/>
              </w:rPr>
              <w:t>(3,703)</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(3,702)</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21,440</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16,332</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 - Derivative Receivables</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77,021</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75,217</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91,672</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74,047</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20"/>
                <w:szCs w:val="20"/>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20"/>
                <w:szCs w:val="20"/>
                <w:color w:val="auto"/>
                <w:w w:val="72"/>
                <w:vertAlign w:val="subscript"/>
              </w:rPr>
              <w:t>733,376</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$ 659,467</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$ 216,366</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$ 4,758</w:t>
            </w: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4.43%</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$ 214,793</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$5,151</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Interest-Bearing Deposits</w:t>
            </w:r>
          </w:p>
        </w:tc>
        <w:tc>
          <w:tcPr>
            <w:tcW w:w="1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 Sold under</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159,940</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3,923</w:t>
            </w: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4.95</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125,462</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3,439</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5.51</w:t>
            </w: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Repurchase Agreements</w:t>
            </w:r>
          </w:p>
        </w:tc>
        <w:tc>
          <w:tcPr>
            <w:tcW w:w="1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Paper</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17,890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w:t>
            </w:r>
          </w:p>
        </w:tc>
        <w:tc>
          <w:tcPr>
            <w:tcW w:w="12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5.18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16,527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497</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Borrowings (b)</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66,801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1,931</w:t>
            </w:r>
          </w:p>
        </w:tc>
        <w:tc>
          <w:tcPr>
            <w:tcW w:w="12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5.83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55,029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7.29</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46,303</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1,378</w:t>
            </w:r>
          </w:p>
        </w:tc>
        <w:tc>
          <w:tcPr>
            <w:tcW w:w="12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6.00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45,639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1,508</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6.64</w:t>
            </w: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Interest-Bearing Liabilities</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507,300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4.95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5.53</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12,450</w:t>
            </w:r>
          </w:p>
        </w:tc>
        <w:tc>
          <w:tcPr>
            <w:tcW w:w="1260" w:type="dxa"/>
            <w:vAlign w:val="bottom"/>
            <w:vMerge w:val="continue"/>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457,450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12,590</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Noninterest-Bearing Deposits</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57,656</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52,519</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Liabilities - Derivative Payables</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73,354</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69,670</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51,660</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44,180</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689,970</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623,819</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PREFERRED STOCK OF SUBSIDIARY</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w w:val="77"/>
              </w:rPr>
              <w:t>---------</w:t>
            </w:r>
            <w:r>
              <w:rPr>
                <w:rFonts w:ascii="Courier New" w:cs="Courier New" w:eastAsia="Courier New" w:hAnsi="Courier New"/>
                <w:sz w:val="29"/>
                <w:szCs w:val="29"/>
                <w:color w:val="auto"/>
                <w:w w:val="77"/>
                <w:vertAlign w:val="subscript"/>
              </w:rPr>
              <w:t>550</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720" w:type="dxa"/>
            <w:vAlign w:val="bottom"/>
            <w:vMerge w:val="continue"/>
          </w:tcPr>
          <w:p>
            <w:pPr>
              <w:spacing w:after="0"/>
              <w:rPr>
                <w:sz w:val="7"/>
                <w:szCs w:val="7"/>
                <w:color w:val="auto"/>
              </w:rPr>
            </w:pP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1,362</w:t>
            </w: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1,621</w:t>
            </w: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11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Stockholders' Equity</w:t>
            </w:r>
          </w:p>
        </w:tc>
        <w:tc>
          <w:tcPr>
            <w:tcW w:w="11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41,494</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33,477</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42,856</w:t>
            </w: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35,098</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Total Liabilities, Preferred Stock of</w:t>
            </w:r>
          </w:p>
        </w:tc>
        <w:tc>
          <w:tcPr>
            <w:tcW w:w="11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720" w:type="dxa"/>
            <w:vAlign w:val="bottom"/>
            <w:vMerge w:val="continue"/>
          </w:tcPr>
          <w:p>
            <w:pPr>
              <w:spacing w:after="0"/>
              <w:rPr>
                <w:sz w:val="7"/>
                <w:szCs w:val="7"/>
                <w:color w:val="auto"/>
              </w:rPr>
            </w:pPr>
          </w:p>
        </w:tc>
        <w:tc>
          <w:tcPr>
            <w:tcW w:w="11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$ 733,376</w:t>
            </w: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$ 659,467</w:t>
            </w: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Subsidiary and Stockholders' Equity</w:t>
            </w:r>
          </w:p>
        </w:tc>
        <w:tc>
          <w:tcPr>
            <w:tcW w:w="11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RATE SPREAD</w:t>
            </w:r>
          </w:p>
        </w:tc>
        <w:tc>
          <w:tcPr>
            <w:tcW w:w="11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1.57%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1.48%</w:t>
            </w:r>
          </w:p>
        </w:tc>
        <w:tc>
          <w:tcPr>
            <w:tcW w:w="0" w:type="dxa"/>
            <w:vAlign w:val="bottom"/>
          </w:tcPr>
          <w:p>
            <w:pPr>
              <w:spacing w:after="0"/>
              <w:rPr>
                <w:sz w:val="1"/>
                <w:szCs w:val="1"/>
                <w:color w:val="auto"/>
              </w:rPr>
            </w:pPr>
          </w:p>
        </w:tc>
      </w:tr>
      <w:tr>
        <w:trPr>
          <w:trHeight w:val="91"/>
        </w:trPr>
        <w:tc>
          <w:tcPr>
            <w:tcW w:w="37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AND NET</w:t>
            </w: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7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YIELD ON INTEREST-EARNING</w:t>
            </w:r>
          </w:p>
        </w:tc>
        <w:tc>
          <w:tcPr>
            <w:tcW w:w="1180" w:type="dxa"/>
            <w:vAlign w:val="bottom"/>
          </w:tcPr>
          <w:p>
            <w:pPr>
              <w:spacing w:after="0"/>
              <w:rPr>
                <w:sz w:val="14"/>
                <w:szCs w:val="14"/>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$ 5,236</w:t>
            </w:r>
          </w:p>
        </w:tc>
        <w:tc>
          <w:tcPr>
            <w:tcW w:w="12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1.93%</w:t>
            </w:r>
          </w:p>
        </w:tc>
        <w:tc>
          <w:tcPr>
            <w:tcW w:w="1100" w:type="dxa"/>
            <w:vAlign w:val="bottom"/>
          </w:tcPr>
          <w:p>
            <w:pPr>
              <w:spacing w:after="0"/>
              <w:rPr>
                <w:sz w:val="14"/>
                <w:szCs w:val="14"/>
                <w:color w:val="auto"/>
              </w:rPr>
            </w:pP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$4,755</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440" w:right="3400" w:hanging="430"/>
        <w:spacing w:after="0" w:line="285" w:lineRule="auto"/>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six months ended June 30, 2001 and June 30, 2000, the annualized rate for available-for-sale securities based on historical cost was 5.79% and 6.07%, respectively, and the annualized rate for available-for-sale securities based on fair value was 5.83% and 6.40%, respectively.</w:t>
      </w:r>
    </w:p>
    <w:p>
      <w:pPr>
        <w:spacing w:after="0" w:line="61" w:lineRule="exact"/>
        <w:rPr>
          <w:rFonts w:ascii="Courier New" w:cs="Courier New" w:eastAsia="Courier New" w:hAnsi="Courier New"/>
          <w:sz w:val="14"/>
          <w:szCs w:val="14"/>
          <w:color w:val="auto"/>
        </w:rPr>
      </w:pPr>
    </w:p>
    <w:p>
      <w:pPr>
        <w:ind w:left="440" w:right="3580" w:hanging="430"/>
        <w:spacing w:after="0" w:line="255" w:lineRule="auto"/>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securities sold but not yet purchased and structured notes and trust preferred notes.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40"/>
          </w:cols>
          <w:pgMar w:left="220" w:top="261" w:right="1439" w:bottom="8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40"/>
          </w:cols>
          <w:pgMar w:left="220" w:top="261" w:right="1439" w:bottom="884"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QUARTERLY CONSOLIDATED STATEMENT OF INCOME</w:t>
      </w:r>
    </w:p>
    <w:p>
      <w:pPr>
        <w:ind w:left="194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5"/>
                <w:szCs w:val="5"/>
                <w:color w:val="auto"/>
                <w:w w:val="70"/>
              </w:rPr>
              <w:t>------------------</w:t>
            </w: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SECOND</w:t>
            </w:r>
          </w:p>
        </w:tc>
        <w:tc>
          <w:tcPr>
            <w:tcW w:w="10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First</w:t>
            </w:r>
          </w:p>
        </w:tc>
        <w:tc>
          <w:tcPr>
            <w:tcW w:w="346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Third</w:t>
            </w:r>
          </w:p>
        </w:tc>
        <w:tc>
          <w:tcPr>
            <w:tcW w:w="1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First</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Quarter</w:t>
            </w: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1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Quarter</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 --------</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929</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941</w:t>
            </w:r>
          </w:p>
        </w:tc>
        <w:tc>
          <w:tcPr>
            <w:tcW w:w="92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$ 1,051</w:t>
            </w:r>
          </w:p>
        </w:tc>
        <w:tc>
          <w:tcPr>
            <w:tcW w:w="8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$ 1,013</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1,107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1,191</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Banking Fees</w:t>
            </w: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1,261</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1,142</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1,455</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1,971</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and Commissions</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2,388</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2,065</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2,387</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2,427</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2,218</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2,197</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 Realized Gains (Losses)</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412</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656</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392</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 Unrealized Gains (Losses)</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(783)</w:t>
            </w:r>
          </w:p>
        </w:tc>
        <w:tc>
          <w:tcPr>
            <w:tcW w:w="1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(471)</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w:t>
            </w:r>
          </w:p>
        </w:tc>
        <w:tc>
          <w:tcPr>
            <w:tcW w:w="1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 (Losses)</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455</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1,482</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415</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68"/>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TOTAL NONINTEREST REVENUE</w:t>
            </w:r>
          </w:p>
        </w:tc>
        <w:tc>
          <w:tcPr>
            <w:tcW w:w="400" w:type="dxa"/>
            <w:vAlign w:val="bottom"/>
          </w:tcPr>
          <w:p>
            <w:pPr>
              <w:jc w:val="right"/>
              <w:spacing w:after="0"/>
              <w:rPr>
                <w:sz w:val="20"/>
                <w:szCs w:val="20"/>
                <w:color w:val="auto"/>
              </w:rPr>
            </w:pPr>
            <w:r>
              <w:rPr>
                <w:rFonts w:ascii="Courier New" w:cs="Courier New" w:eastAsia="Courier New" w:hAnsi="Courier New"/>
                <w:sz w:val="11"/>
                <w:szCs w:val="11"/>
                <w:color w:val="auto"/>
                <w:w w:val="71"/>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4,090</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5,835</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6,082</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5,380</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5,605</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6,355</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22"/>
                <w:szCs w:val="22"/>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8,469</w:t>
            </w:r>
          </w:p>
        </w:tc>
        <w:tc>
          <w:tcPr>
            <w:tcW w:w="100" w:type="dxa"/>
            <w:vAlign w:val="bottom"/>
          </w:tcPr>
          <w:p>
            <w:pPr>
              <w:spacing w:after="0"/>
              <w:rPr>
                <w:sz w:val="22"/>
                <w:szCs w:val="22"/>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9,180</w:t>
            </w:r>
          </w:p>
        </w:tc>
        <w:tc>
          <w:tcPr>
            <w:tcW w:w="220" w:type="dxa"/>
            <w:vAlign w:val="bottom"/>
          </w:tcPr>
          <w:p>
            <w:pPr>
              <w:spacing w:after="0"/>
              <w:rPr>
                <w:sz w:val="22"/>
                <w:szCs w:val="22"/>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9,922</w:t>
            </w:r>
          </w:p>
        </w:tc>
        <w:tc>
          <w:tcPr>
            <w:tcW w:w="16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9,423</w:t>
            </w:r>
          </w:p>
        </w:tc>
        <w:tc>
          <w:tcPr>
            <w:tcW w:w="100" w:type="dxa"/>
            <w:vAlign w:val="bottom"/>
          </w:tcPr>
          <w:p>
            <w:pPr>
              <w:spacing w:after="0"/>
              <w:rPr>
                <w:sz w:val="22"/>
                <w:szCs w:val="22"/>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8,858</w:t>
            </w: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8,440</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5,688</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6,762</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7,461</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7,080</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6,564</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6,026</w:t>
            </w:r>
          </w:p>
        </w:tc>
        <w:tc>
          <w:tcPr>
            <w:tcW w:w="0" w:type="dxa"/>
            <w:vAlign w:val="bottom"/>
          </w:tcPr>
          <w:p>
            <w:pPr>
              <w:spacing w:after="0"/>
              <w:rPr>
                <w:sz w:val="1"/>
                <w:szCs w:val="1"/>
                <w:color w:val="auto"/>
              </w:rPr>
            </w:pPr>
          </w:p>
        </w:tc>
      </w:tr>
      <w:tr>
        <w:trPr>
          <w:trHeight w:val="168"/>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w:t>
            </w:r>
          </w:p>
        </w:tc>
        <w:tc>
          <w:tcPr>
            <w:tcW w:w="400" w:type="dxa"/>
            <w:vAlign w:val="bottom"/>
          </w:tcPr>
          <w:p>
            <w:pPr>
              <w:jc w:val="right"/>
              <w:spacing w:after="0"/>
              <w:rPr>
                <w:sz w:val="20"/>
                <w:szCs w:val="20"/>
                <w:color w:val="auto"/>
              </w:rPr>
            </w:pPr>
            <w:r>
              <w:rPr>
                <w:rFonts w:ascii="Courier New" w:cs="Courier New" w:eastAsia="Courier New" w:hAnsi="Courier New"/>
                <w:sz w:val="11"/>
                <w:szCs w:val="11"/>
                <w:color w:val="auto"/>
                <w:w w:val="71"/>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2,781</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2,418</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2,461</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2,343</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2,294</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2,414</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REVENUE BEFORE PROVISION FOR LOAN LOSSES</w:t>
            </w:r>
          </w:p>
        </w:tc>
        <w:tc>
          <w:tcPr>
            <w:tcW w:w="400" w:type="dxa"/>
            <w:vAlign w:val="bottom"/>
          </w:tcPr>
          <w:p>
            <w:pPr>
              <w:spacing w:after="0"/>
              <w:rPr>
                <w:sz w:val="22"/>
                <w:szCs w:val="22"/>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6,871</w:t>
            </w:r>
          </w:p>
        </w:tc>
        <w:tc>
          <w:tcPr>
            <w:tcW w:w="100" w:type="dxa"/>
            <w:vAlign w:val="bottom"/>
          </w:tcPr>
          <w:p>
            <w:pPr>
              <w:spacing w:after="0"/>
              <w:rPr>
                <w:sz w:val="22"/>
                <w:szCs w:val="22"/>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8,253</w:t>
            </w:r>
          </w:p>
        </w:tc>
        <w:tc>
          <w:tcPr>
            <w:tcW w:w="220" w:type="dxa"/>
            <w:vAlign w:val="bottom"/>
          </w:tcPr>
          <w:p>
            <w:pPr>
              <w:spacing w:after="0"/>
              <w:rPr>
                <w:sz w:val="22"/>
                <w:szCs w:val="22"/>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8,543</w:t>
            </w:r>
          </w:p>
        </w:tc>
        <w:tc>
          <w:tcPr>
            <w:tcW w:w="16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7,723</w:t>
            </w:r>
          </w:p>
        </w:tc>
        <w:tc>
          <w:tcPr>
            <w:tcW w:w="100" w:type="dxa"/>
            <w:vAlign w:val="bottom"/>
          </w:tcPr>
          <w:p>
            <w:pPr>
              <w:spacing w:after="0"/>
              <w:rPr>
                <w:sz w:val="22"/>
                <w:szCs w:val="22"/>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7,899</w:t>
            </w: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8,769</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525</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342</w:t>
            </w:r>
          </w:p>
        </w:tc>
        <w:tc>
          <w:tcPr>
            <w:tcW w:w="0" w:type="dxa"/>
            <w:vAlign w:val="bottom"/>
          </w:tcPr>
          <w:p>
            <w:pPr>
              <w:spacing w:after="0"/>
              <w:rPr>
                <w:sz w:val="1"/>
                <w:szCs w:val="1"/>
                <w:color w:val="auto"/>
              </w:rPr>
            </w:pPr>
          </w:p>
        </w:tc>
      </w:tr>
      <w:tr>
        <w:trPr>
          <w:trHeight w:val="168"/>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TOTAL NET REVENUE</w:t>
            </w:r>
          </w:p>
        </w:tc>
        <w:tc>
          <w:tcPr>
            <w:tcW w:w="400" w:type="dxa"/>
            <w:vAlign w:val="bottom"/>
          </w:tcPr>
          <w:p>
            <w:pPr>
              <w:jc w:val="right"/>
              <w:spacing w:after="0"/>
              <w:rPr>
                <w:sz w:val="20"/>
                <w:szCs w:val="20"/>
                <w:color w:val="auto"/>
              </w:rPr>
            </w:pPr>
            <w:r>
              <w:rPr>
                <w:rFonts w:ascii="Courier New" w:cs="Courier New" w:eastAsia="Courier New" w:hAnsi="Courier New"/>
                <w:sz w:val="11"/>
                <w:szCs w:val="11"/>
                <w:color w:val="auto"/>
                <w:w w:val="71"/>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6,346</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7,806</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8,134</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7,425</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7,571</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8,427</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EXPENSE</w:t>
            </w:r>
          </w:p>
        </w:tc>
        <w:tc>
          <w:tcPr>
            <w:tcW w:w="400" w:type="dxa"/>
            <w:vAlign w:val="bottom"/>
          </w:tcPr>
          <w:p>
            <w:pPr>
              <w:spacing w:after="0"/>
              <w:rPr>
                <w:sz w:val="22"/>
                <w:szCs w:val="22"/>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3,052</w:t>
            </w:r>
          </w:p>
        </w:tc>
        <w:tc>
          <w:tcPr>
            <w:tcW w:w="100" w:type="dxa"/>
            <w:vAlign w:val="bottom"/>
          </w:tcPr>
          <w:p>
            <w:pPr>
              <w:spacing w:after="0"/>
              <w:rPr>
                <w:sz w:val="22"/>
                <w:szCs w:val="22"/>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3,357</w:t>
            </w:r>
          </w:p>
        </w:tc>
        <w:tc>
          <w:tcPr>
            <w:tcW w:w="220" w:type="dxa"/>
            <w:vAlign w:val="bottom"/>
          </w:tcPr>
          <w:p>
            <w:pPr>
              <w:spacing w:after="0"/>
              <w:rPr>
                <w:sz w:val="22"/>
                <w:szCs w:val="22"/>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3,310</w:t>
            </w:r>
          </w:p>
        </w:tc>
        <w:tc>
          <w:tcPr>
            <w:tcW w:w="160" w:type="dxa"/>
            <w:vAlign w:val="bottom"/>
          </w:tcPr>
          <w:p>
            <w:pPr>
              <w:spacing w:after="0"/>
              <w:rPr>
                <w:sz w:val="22"/>
                <w:szCs w:val="22"/>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3,135</w:t>
            </w:r>
          </w:p>
        </w:tc>
        <w:tc>
          <w:tcPr>
            <w:tcW w:w="100" w:type="dxa"/>
            <w:vAlign w:val="bottom"/>
          </w:tcPr>
          <w:p>
            <w:pPr>
              <w:spacing w:after="0"/>
              <w:rPr>
                <w:sz w:val="22"/>
                <w:szCs w:val="22"/>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2,963</w:t>
            </w:r>
          </w:p>
        </w:tc>
        <w:tc>
          <w:tcPr>
            <w:tcW w:w="140" w:type="dxa"/>
            <w:vAlign w:val="bottom"/>
          </w:tcPr>
          <w:p>
            <w:pPr>
              <w:spacing w:after="0"/>
              <w:rPr>
                <w:sz w:val="22"/>
                <w:szCs w:val="22"/>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3,340</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Expense</w:t>
            </w: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327</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308</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Technology and Communications</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674</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654</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632</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and Restructuring Costs</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478</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1,302</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1,047</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1,062</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1,227</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1,011</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1,099</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1,032</w:t>
            </w:r>
          </w:p>
        </w:tc>
        <w:tc>
          <w:tcPr>
            <w:tcW w:w="0" w:type="dxa"/>
            <w:vAlign w:val="bottom"/>
          </w:tcPr>
          <w:p>
            <w:pPr>
              <w:spacing w:after="0"/>
              <w:rPr>
                <w:sz w:val="1"/>
                <w:szCs w:val="1"/>
                <w:color w:val="auto"/>
              </w:rPr>
            </w:pPr>
          </w:p>
        </w:tc>
      </w:tr>
      <w:tr>
        <w:trPr>
          <w:trHeight w:val="168"/>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TOTAL NONINTEREST EXPENSE</w:t>
            </w:r>
          </w:p>
        </w:tc>
        <w:tc>
          <w:tcPr>
            <w:tcW w:w="400" w:type="dxa"/>
            <w:vAlign w:val="bottom"/>
          </w:tcPr>
          <w:p>
            <w:pPr>
              <w:jc w:val="right"/>
              <w:spacing w:after="0"/>
              <w:rPr>
                <w:sz w:val="20"/>
                <w:szCs w:val="20"/>
                <w:color w:val="auto"/>
              </w:rPr>
            </w:pPr>
            <w:r>
              <w:rPr>
                <w:rFonts w:ascii="Courier New" w:cs="Courier New" w:eastAsia="Courier New" w:hAnsi="Courier New"/>
                <w:sz w:val="11"/>
                <w:szCs w:val="11"/>
                <w:color w:val="auto"/>
                <w:w w:val="71"/>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5,761</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5,926</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7,044</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5,352</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5,075</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5,353</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BEFORE INCOME TAX EXPENSE AND</w:t>
            </w:r>
          </w:p>
        </w:tc>
        <w:tc>
          <w:tcPr>
            <w:tcW w:w="400" w:type="dxa"/>
            <w:vAlign w:val="bottom"/>
          </w:tcPr>
          <w:p>
            <w:pPr>
              <w:spacing w:after="0"/>
              <w:rPr>
                <w:sz w:val="22"/>
                <w:szCs w:val="22"/>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585</w:t>
            </w:r>
          </w:p>
        </w:tc>
        <w:tc>
          <w:tcPr>
            <w:tcW w:w="100" w:type="dxa"/>
            <w:vAlign w:val="bottom"/>
          </w:tcPr>
          <w:p>
            <w:pPr>
              <w:spacing w:after="0"/>
              <w:rPr>
                <w:sz w:val="22"/>
                <w:szCs w:val="22"/>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1,880</w:t>
            </w:r>
          </w:p>
        </w:tc>
        <w:tc>
          <w:tcPr>
            <w:tcW w:w="220" w:type="dxa"/>
            <w:vAlign w:val="bottom"/>
          </w:tcPr>
          <w:p>
            <w:pPr>
              <w:spacing w:after="0"/>
              <w:rPr>
                <w:sz w:val="22"/>
                <w:szCs w:val="22"/>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1,090</w:t>
            </w:r>
          </w:p>
        </w:tc>
        <w:tc>
          <w:tcPr>
            <w:tcW w:w="160" w:type="dxa"/>
            <w:vAlign w:val="bottom"/>
          </w:tcPr>
          <w:p>
            <w:pPr>
              <w:spacing w:after="0"/>
              <w:rPr>
                <w:sz w:val="22"/>
                <w:szCs w:val="22"/>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2,073</w:t>
            </w:r>
          </w:p>
        </w:tc>
        <w:tc>
          <w:tcPr>
            <w:tcW w:w="100" w:type="dxa"/>
            <w:vAlign w:val="bottom"/>
          </w:tcPr>
          <w:p>
            <w:pPr>
              <w:spacing w:after="0"/>
              <w:rPr>
                <w:sz w:val="22"/>
                <w:szCs w:val="22"/>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2,496</w:t>
            </w:r>
          </w:p>
        </w:tc>
        <w:tc>
          <w:tcPr>
            <w:tcW w:w="140" w:type="dxa"/>
            <w:vAlign w:val="bottom"/>
          </w:tcPr>
          <w:p>
            <w:pPr>
              <w:spacing w:after="0"/>
              <w:rPr>
                <w:sz w:val="22"/>
                <w:szCs w:val="22"/>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3,074</w:t>
            </w:r>
          </w:p>
        </w:tc>
        <w:tc>
          <w:tcPr>
            <w:tcW w:w="0" w:type="dxa"/>
            <w:vAlign w:val="bottom"/>
          </w:tcPr>
          <w:p>
            <w:pPr>
              <w:spacing w:after="0"/>
              <w:rPr>
                <w:sz w:val="1"/>
                <w:szCs w:val="1"/>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675</w:t>
            </w:r>
          </w:p>
        </w:tc>
        <w:tc>
          <w:tcPr>
            <w:tcW w:w="1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863</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1,086</w:t>
            </w:r>
          </w:p>
        </w:tc>
        <w:tc>
          <w:tcPr>
            <w:tcW w:w="0" w:type="dxa"/>
            <w:vAlign w:val="bottom"/>
          </w:tcPr>
          <w:p>
            <w:pPr>
              <w:spacing w:after="0"/>
              <w:rPr>
                <w:sz w:val="1"/>
                <w:szCs w:val="1"/>
                <w:color w:val="auto"/>
              </w:rPr>
            </w:pPr>
          </w:p>
        </w:tc>
      </w:tr>
      <w:tr>
        <w:trPr>
          <w:trHeight w:val="245"/>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EFFECT OF</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4160" w:type="dxa"/>
            <w:vAlign w:val="bottom"/>
            <w:vMerge w:val="continue"/>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378</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1,224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708</w:t>
            </w:r>
          </w:p>
        </w:tc>
        <w:tc>
          <w:tcPr>
            <w:tcW w:w="86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$ 1,398</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1,633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1,988</w:t>
            </w:r>
          </w:p>
        </w:tc>
        <w:tc>
          <w:tcPr>
            <w:tcW w:w="0" w:type="dxa"/>
            <w:vAlign w:val="bottom"/>
          </w:tcPr>
          <w:p>
            <w:pPr>
              <w:spacing w:after="0"/>
              <w:rPr>
                <w:sz w:val="1"/>
                <w:szCs w:val="1"/>
                <w:color w:val="auto"/>
              </w:rPr>
            </w:pPr>
          </w:p>
        </w:tc>
      </w:tr>
      <w:tr>
        <w:trPr>
          <w:trHeight w:val="245"/>
        </w:trPr>
        <w:tc>
          <w:tcPr>
            <w:tcW w:w="4160" w:type="dxa"/>
            <w:vAlign w:val="bottom"/>
          </w:tcPr>
          <w:p>
            <w:pPr>
              <w:ind w:left="280"/>
              <w:spacing w:after="0"/>
              <w:rPr>
                <w:sz w:val="20"/>
                <w:szCs w:val="20"/>
                <w:color w:val="auto"/>
              </w:rPr>
            </w:pPr>
            <w:r>
              <w:rPr>
                <w:rFonts w:ascii="Courier New" w:cs="Courier New" w:eastAsia="Courier New" w:hAnsi="Courier New"/>
                <w:sz w:val="15"/>
                <w:szCs w:val="15"/>
                <w:color w:val="auto"/>
              </w:rPr>
              <w:t>ACCOUNTING CHANGE</w:t>
            </w:r>
          </w:p>
        </w:tc>
        <w:tc>
          <w:tcPr>
            <w:tcW w:w="40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Effect of Change in Accounting Principle</w:t>
            </w:r>
          </w:p>
        </w:tc>
        <w:tc>
          <w:tcPr>
            <w:tcW w:w="400" w:type="dxa"/>
            <w:vAlign w:val="bottom"/>
          </w:tcPr>
          <w:p>
            <w:pPr>
              <w:spacing w:after="0"/>
              <w:rPr>
                <w:sz w:val="22"/>
                <w:szCs w:val="22"/>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22"/>
                <w:szCs w:val="22"/>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2"/>
                <w:szCs w:val="22"/>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0"/>
                <w:vertAlign w:val="subscript"/>
              </w:rPr>
              <w:t>$</w:t>
            </w:r>
            <w:r>
              <w:rPr>
                <w:rFonts w:ascii="Courier New" w:cs="Courier New" w:eastAsia="Courier New" w:hAnsi="Courier New"/>
                <w:sz w:val="10"/>
                <w:szCs w:val="10"/>
                <w:color w:val="auto"/>
                <w:w w:val="70"/>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378</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708</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$ 1,398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1,988</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APPLICABLE TO COMMON STOCK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$ 1,374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1,963</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PER SHARE (a)</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0.18</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0.60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0.36</w:t>
            </w: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0.73</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0.87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Diluted</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0.69</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239" w:hanging="359"/>
        <w:spacing w:after="0" w:line="267" w:lineRule="auto"/>
        <w:tabs>
          <w:tab w:leader="none" w:pos="340" w:val="left"/>
        </w:tabs>
        <w:rPr>
          <w:sz w:val="20"/>
          <w:szCs w:val="20"/>
          <w:color w:val="auto"/>
        </w:rPr>
      </w:pPr>
      <w:r>
        <w:rPr>
          <w:rFonts w:ascii="Courier New" w:cs="Courier New" w:eastAsia="Courier New" w:hAnsi="Courier New"/>
          <w:sz w:val="14"/>
          <w:szCs w:val="14"/>
          <w:color w:val="auto"/>
        </w:rPr>
        <w:t>(a)</w:t>
        <w:tab/>
        <w:t>Basic and diluted earnings per share have been reduced by $(0.01) in the first quarter of 2001 due to the impact of the adoption of SFAS 133 relating to the accounting for derivative instruments and hedging activities.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261" w:right="1440" w:bottom="1440"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61"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49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QUARTERLY CONSOLIDATED BALANCE SHEET</w:t>
      </w:r>
    </w:p>
    <w:p>
      <w:pPr>
        <w:ind w:left="298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JUNE 30,</w:t>
            </w:r>
          </w:p>
        </w:tc>
        <w:tc>
          <w:tcPr>
            <w:tcW w:w="1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March 31,</w:t>
            </w:r>
          </w:p>
        </w:tc>
        <w:tc>
          <w:tcPr>
            <w:tcW w:w="196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Dec. 31, Sept. 30,</w:t>
            </w:r>
          </w:p>
        </w:tc>
        <w:tc>
          <w:tcPr>
            <w:tcW w:w="14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June 30,</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1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24,219</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22,371</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23,972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20,284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20,859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18,159</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11,903</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7,979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8,333</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8,669</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8,768</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8,190</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w:t>
            </w:r>
          </w:p>
        </w:tc>
        <w:tc>
          <w:tcPr>
            <w:tcW w:w="40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61,308</w:t>
            </w:r>
          </w:p>
        </w:tc>
        <w:tc>
          <w:tcPr>
            <w:tcW w:w="1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71,147</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69,474</w:t>
            </w:r>
          </w:p>
        </w:tc>
        <w:tc>
          <w:tcPr>
            <w:tcW w:w="14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69,413</w:t>
            </w:r>
          </w:p>
        </w:tc>
        <w:tc>
          <w:tcPr>
            <w:tcW w:w="14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69,421</w:t>
            </w:r>
          </w:p>
        </w:tc>
        <w:tc>
          <w:tcPr>
            <w:tcW w:w="180" w:type="dxa"/>
            <w:vAlign w:val="bottom"/>
          </w:tcPr>
          <w:p>
            <w:pPr>
              <w:spacing w:after="0"/>
              <w:rPr>
                <w:sz w:val="14"/>
                <w:szCs w:val="14"/>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70,048</w:t>
            </w:r>
          </w:p>
        </w:tc>
        <w:tc>
          <w:tcPr>
            <w:tcW w:w="0" w:type="dxa"/>
            <w:vAlign w:val="bottom"/>
          </w:tcPr>
          <w:p>
            <w:pPr>
              <w:spacing w:after="0"/>
              <w:rPr>
                <w:sz w:val="1"/>
                <w:szCs w:val="1"/>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Purchased under Resale Agreements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38,296</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37,264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32,371</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36,424</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34,681</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35,027</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 Debt &amp; Equity Instruments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139,135</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138,270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139,249</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140,992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115,730</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124,225</w:t>
            </w:r>
          </w:p>
        </w:tc>
        <w:tc>
          <w:tcPr>
            <w:tcW w:w="0" w:type="dxa"/>
            <w:vAlign w:val="bottom"/>
          </w:tcPr>
          <w:p>
            <w:pPr>
              <w:spacing w:after="0"/>
              <w:rPr>
                <w:sz w:val="1"/>
                <w:szCs w:val="1"/>
                <w:color w:val="auto"/>
              </w:rPr>
            </w:pPr>
          </w:p>
        </w:tc>
      </w:tr>
      <w:tr>
        <w:trPr>
          <w:trHeight w:val="168"/>
        </w:trPr>
        <w:tc>
          <w:tcPr>
            <w:tcW w:w="43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Derivative Receivables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68,910</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78,907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76,373</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67,028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68,728</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78,258</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68,488</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69,731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73,695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71,282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71,050</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72,075</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(Net of Allowance for Loan Losses)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216,245</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213,116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212,385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214,496</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203,611</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198,870</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16,224</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15,351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15,833</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15,678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10,012</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9,858</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Investments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9,855</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11,428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11,502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12,102</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11,742</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Accounts Receivable</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17,080</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15,352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20,618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15,491</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18,122</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18,681</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 and Equipment</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7,186</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7,085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7,087</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6,863</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6,584</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6,460</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33,853</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26,174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24,530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29,375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22,700</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24,453</w:t>
            </w: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712,702</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$ 713,624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$ 715,348</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$ 707,497</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$ 662,368</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$ 676,046</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64,231</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59,686</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62,713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54,903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57,904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55,554</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Interest-Bearing</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212,573</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212,886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216,652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214,882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213,012</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203,441</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Deposits</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276,804</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272,572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279,365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269,785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270,916</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258,995</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w:t>
            </w:r>
          </w:p>
        </w:tc>
        <w:tc>
          <w:tcPr>
            <w:tcW w:w="40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155,062</w:t>
            </w:r>
          </w:p>
        </w:tc>
        <w:tc>
          <w:tcPr>
            <w:tcW w:w="1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145,703</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131,738</w:t>
            </w:r>
          </w:p>
        </w:tc>
        <w:tc>
          <w:tcPr>
            <w:tcW w:w="14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145,210</w:t>
            </w:r>
          </w:p>
        </w:tc>
        <w:tc>
          <w:tcPr>
            <w:tcW w:w="14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125,237</w:t>
            </w:r>
          </w:p>
        </w:tc>
        <w:tc>
          <w:tcPr>
            <w:tcW w:w="180" w:type="dxa"/>
            <w:vAlign w:val="bottom"/>
          </w:tcPr>
          <w:p>
            <w:pPr>
              <w:spacing w:after="0"/>
              <w:rPr>
                <w:sz w:val="14"/>
                <w:szCs w:val="14"/>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139,520</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Sold under Repurchase Agreements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Paper</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19,985</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16,281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24,851</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19,462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13,354</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15,031</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Borrowed Funds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18,418</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28,716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19,840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20,065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15,124</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16,271</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Liabilities: Debt &amp; Equity Instruments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53,571</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52,501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52,157</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58,972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52,506</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54,633</w:t>
            </w:r>
          </w:p>
        </w:tc>
        <w:tc>
          <w:tcPr>
            <w:tcW w:w="0" w:type="dxa"/>
            <w:vAlign w:val="bottom"/>
          </w:tcPr>
          <w:p>
            <w:pPr>
              <w:spacing w:after="0"/>
              <w:rPr>
                <w:sz w:val="1"/>
                <w:szCs w:val="1"/>
                <w:color w:val="auto"/>
              </w:rPr>
            </w:pPr>
          </w:p>
        </w:tc>
      </w:tr>
      <w:tr>
        <w:trPr>
          <w:trHeight w:val="168"/>
        </w:trPr>
        <w:tc>
          <w:tcPr>
            <w:tcW w:w="43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Derivative Payables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62,373</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73,312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76,517</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65,253</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65,531</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72,117</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Accrued Expenses and</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Liabilities, Including the Allowance</w:t>
            </w:r>
          </w:p>
        </w:tc>
        <w:tc>
          <w:tcPr>
            <w:tcW w:w="40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38,157</w:t>
            </w:r>
          </w:p>
        </w:tc>
        <w:tc>
          <w:tcPr>
            <w:tcW w:w="1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33,575</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40,754</w:t>
            </w:r>
          </w:p>
        </w:tc>
        <w:tc>
          <w:tcPr>
            <w:tcW w:w="14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37,225</w:t>
            </w:r>
          </w:p>
        </w:tc>
        <w:tc>
          <w:tcPr>
            <w:tcW w:w="14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34,298</w:t>
            </w:r>
          </w:p>
        </w:tc>
        <w:tc>
          <w:tcPr>
            <w:tcW w:w="180" w:type="dxa"/>
            <w:vAlign w:val="bottom"/>
          </w:tcPr>
          <w:p>
            <w:pPr>
              <w:spacing w:after="0"/>
              <w:rPr>
                <w:sz w:val="14"/>
                <w:szCs w:val="14"/>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33,820</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Credit Losses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40,917</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42,609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43,299</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45,634</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44,528</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45,825</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Preferred Beneficial Interests in</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Firm's Junior Subordinated Deferrable</w:t>
            </w:r>
          </w:p>
        </w:tc>
        <w:tc>
          <w:tcPr>
            <w:tcW w:w="40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4,439</w:t>
            </w:r>
          </w:p>
        </w:tc>
        <w:tc>
          <w:tcPr>
            <w:tcW w:w="12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4,439</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3,939</w:t>
            </w:r>
          </w:p>
        </w:tc>
        <w:tc>
          <w:tcPr>
            <w:tcW w:w="14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3,939</w:t>
            </w:r>
          </w:p>
        </w:tc>
        <w:tc>
          <w:tcPr>
            <w:tcW w:w="14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3,689</w:t>
            </w:r>
          </w:p>
        </w:tc>
        <w:tc>
          <w:tcPr>
            <w:tcW w:w="180" w:type="dxa"/>
            <w:vAlign w:val="bottom"/>
          </w:tcPr>
          <w:p>
            <w:pPr>
              <w:spacing w:after="0"/>
              <w:rPr>
                <w:sz w:val="14"/>
                <w:szCs w:val="14"/>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3,688</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Debentures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669,726</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669,708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672,460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665,545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625,183</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639,900</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PREFERRED STOCK OF SUBSIDIARY</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550</w:t>
            </w:r>
          </w:p>
        </w:tc>
        <w:tc>
          <w:tcPr>
            <w:tcW w:w="1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550</w:t>
            </w:r>
          </w:p>
        </w:tc>
        <w:tc>
          <w:tcPr>
            <w:tcW w:w="14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550</w:t>
            </w:r>
          </w:p>
        </w:tc>
        <w:tc>
          <w:tcPr>
            <w:tcW w:w="14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550</w:t>
            </w:r>
          </w:p>
        </w:tc>
        <w:tc>
          <w:tcPr>
            <w:tcW w:w="18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00" w:type="dxa"/>
            <w:vAlign w:val="bottom"/>
          </w:tcPr>
          <w:p>
            <w:pPr>
              <w:spacing w:after="0"/>
              <w:rPr>
                <w:sz w:val="22"/>
                <w:szCs w:val="22"/>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1,025</w:t>
            </w:r>
          </w:p>
        </w:tc>
        <w:tc>
          <w:tcPr>
            <w:tcW w:w="120" w:type="dxa"/>
            <w:vAlign w:val="bottom"/>
          </w:tcPr>
          <w:p>
            <w:pPr>
              <w:spacing w:after="0"/>
              <w:rPr>
                <w:sz w:val="22"/>
                <w:szCs w:val="22"/>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1,362</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1,520</w:t>
            </w:r>
          </w:p>
        </w:tc>
        <w:tc>
          <w:tcPr>
            <w:tcW w:w="140" w:type="dxa"/>
            <w:vAlign w:val="bottom"/>
          </w:tcPr>
          <w:p>
            <w:pPr>
              <w:spacing w:after="0"/>
              <w:rPr>
                <w:sz w:val="22"/>
                <w:szCs w:val="22"/>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1,522</w:t>
            </w:r>
          </w:p>
        </w:tc>
        <w:tc>
          <w:tcPr>
            <w:tcW w:w="140" w:type="dxa"/>
            <w:vAlign w:val="bottom"/>
          </w:tcPr>
          <w:p>
            <w:pPr>
              <w:spacing w:after="0"/>
              <w:rPr>
                <w:sz w:val="22"/>
                <w:szCs w:val="22"/>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1,522</w:t>
            </w:r>
          </w:p>
        </w:tc>
        <w:tc>
          <w:tcPr>
            <w:tcW w:w="180" w:type="dxa"/>
            <w:vAlign w:val="bottom"/>
          </w:tcPr>
          <w:p>
            <w:pPr>
              <w:spacing w:after="0"/>
              <w:rPr>
                <w:sz w:val="22"/>
                <w:szCs w:val="22"/>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1,622</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1,990</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2,066</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2,066</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1,625</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Surplus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12,000</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11,663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11,598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12,427</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12,205</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12,280</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28,265</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28,592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28,096</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31,678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30,887</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29,848</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w:t>
            </w:r>
          </w:p>
        </w:tc>
        <w:tc>
          <w:tcPr>
            <w:tcW w:w="4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(834)</w:t>
            </w:r>
          </w:p>
        </w:tc>
        <w:tc>
          <w:tcPr>
            <w:tcW w:w="12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(241)</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(995)</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(1,281)</w:t>
            </w:r>
          </w:p>
        </w:tc>
        <w:tc>
          <w:tcPr>
            <w:tcW w:w="180" w:type="dxa"/>
            <w:vAlign w:val="bottom"/>
          </w:tcPr>
          <w:p>
            <w:pPr>
              <w:spacing w:after="0"/>
              <w:rPr>
                <w:sz w:val="14"/>
                <w:szCs w:val="14"/>
                <w:color w:val="auto"/>
              </w:rPr>
            </w:pP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(1,266)</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(Loss)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(5,296)</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(8,764)</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(8,513)</w:t>
            </w: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EQUITY</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42,426</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43,366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42,338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41,402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36,635</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35,596</w:t>
            </w:r>
          </w:p>
        </w:tc>
        <w:tc>
          <w:tcPr>
            <w:tcW w:w="0" w:type="dxa"/>
            <w:vAlign w:val="bottom"/>
          </w:tcPr>
          <w:p>
            <w:pPr>
              <w:spacing w:after="0"/>
              <w:rPr>
                <w:sz w:val="1"/>
                <w:szCs w:val="1"/>
                <w:color w:val="auto"/>
              </w:rPr>
            </w:pPr>
          </w:p>
        </w:tc>
      </w:tr>
      <w:tr>
        <w:trPr>
          <w:trHeight w:val="245"/>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PREFERRED</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3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OF SUBSIDIARY AND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712,702</w:t>
            </w:r>
          </w:p>
        </w:tc>
        <w:tc>
          <w:tcPr>
            <w:tcW w:w="10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w w:val="98"/>
              </w:rPr>
              <w:t>$ 713,624</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$ 715,348</w:t>
            </w:r>
          </w:p>
        </w:tc>
        <w:tc>
          <w:tcPr>
            <w:tcW w:w="96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$ 707,497</w:t>
            </w:r>
          </w:p>
        </w:tc>
        <w:tc>
          <w:tcPr>
            <w:tcW w:w="96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$ 662,368</w:t>
            </w:r>
          </w:p>
        </w:tc>
        <w:tc>
          <w:tcPr>
            <w:tcW w:w="102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$ 676,046</w:t>
            </w:r>
          </w:p>
        </w:tc>
        <w:tc>
          <w:tcPr>
            <w:tcW w:w="0" w:type="dxa"/>
            <w:vAlign w:val="bottom"/>
          </w:tcPr>
          <w:p>
            <w:pPr>
              <w:spacing w:after="0"/>
              <w:rPr>
                <w:sz w:val="1"/>
                <w:szCs w:val="1"/>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600"/>
          </w:cols>
          <w:pgMar w:left="220" w:top="261" w:right="10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600"/>
          </w:cols>
          <w:pgMar w:left="220" w:top="261" w:right="1079"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ind w:left="180" w:hanging="170"/>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2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GLOSSARY OF TERMS</w:t>
      </w:r>
    </w:p>
    <w:p>
      <w:pPr>
        <w:ind w:left="180" w:hanging="170"/>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page numbers included after each definition represent the pages in this Form 10-Q where the term primarily is used.</w:t>
      </w:r>
    </w:p>
    <w:p>
      <w:pPr>
        <w:spacing w:after="0" w:line="17"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Basis Point Value ("BPV"): This measurement quantifies the change in the market value of JPMorgan Chase's assets and liabilities (that are not part of its trading activities) that would result from a one basis point change in interest rates. (Page 42)</w:t>
      </w:r>
    </w:p>
    <w:p>
      <w:pPr>
        <w:spacing w:after="0" w:line="68" w:lineRule="exact"/>
        <w:rPr>
          <w:sz w:val="20"/>
          <w:szCs w:val="20"/>
          <w:color w:val="auto"/>
        </w:rPr>
      </w:pPr>
    </w:p>
    <w:p>
      <w:pPr>
        <w:ind w:right="3759"/>
        <w:spacing w:after="0" w:line="381" w:lineRule="auto"/>
        <w:rPr>
          <w:sz w:val="20"/>
          <w:szCs w:val="20"/>
          <w:color w:val="auto"/>
        </w:rPr>
      </w:pPr>
      <w:r>
        <w:rPr>
          <w:rFonts w:ascii="Courier New" w:cs="Courier New" w:eastAsia="Courier New" w:hAnsi="Courier New"/>
          <w:sz w:val="14"/>
          <w:szCs w:val="14"/>
          <w:color w:val="auto"/>
        </w:rPr>
        <w:t>Cash Operating Earnings: Operating earnings excluding the impact of the amortization of certain other intangibles. (Pages 12-19, 21-25, 43 and 45)</w:t>
      </w:r>
    </w:p>
    <w:p>
      <w:pPr>
        <w:spacing w:after="0" w:line="1"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5"/>
          <w:szCs w:val="15"/>
          <w:color w:val="auto"/>
        </w:rPr>
        <w:t>Cash Overhead Ratio: Noninterest expense, excluding amortization of certain other intangibles, as a percentage of the total of net interest income and noninterest revenue (excluding merger and restructuring costs and special items). (Pages 18-19, 21-23, 32 and 45)</w:t>
      </w:r>
    </w:p>
    <w:p>
      <w:pPr>
        <w:spacing w:after="0" w:line="68"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Chase USA: Chase Manhattan Bank USA, National Association.</w:t>
      </w:r>
      <w:r>
        <w:rPr>
          <w:sz w:val="20"/>
          <w:szCs w:val="20"/>
          <w:color w:val="auto"/>
        </w:rPr>
        <w:tab/>
      </w:r>
      <w:r>
        <w:rPr>
          <w:rFonts w:ascii="Courier New" w:cs="Courier New" w:eastAsia="Courier New" w:hAnsi="Courier New"/>
          <w:sz w:val="14"/>
          <w:szCs w:val="14"/>
          <w:color w:val="auto"/>
        </w:rPr>
        <w:t>(Page 11)</w:t>
      </w:r>
    </w:p>
    <w:p>
      <w:pPr>
        <w:spacing w:after="0" w:line="166"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FASB: Financial Accounting Standards Board.</w:t>
      </w:r>
      <w:r>
        <w:rPr>
          <w:sz w:val="20"/>
          <w:szCs w:val="20"/>
          <w:color w:val="auto"/>
        </w:rPr>
        <w:tab/>
      </w:r>
      <w:r>
        <w:rPr>
          <w:rFonts w:ascii="Courier New" w:cs="Courier New" w:eastAsia="Courier New" w:hAnsi="Courier New"/>
          <w:sz w:val="14"/>
          <w:szCs w:val="14"/>
          <w:color w:val="auto"/>
        </w:rPr>
        <w:t>(Page 44)</w:t>
      </w:r>
    </w:p>
    <w:p>
      <w:pPr>
        <w:spacing w:after="0" w:line="16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Managed Credit Card Receivables or Managed Basis: JPMorgan Chase uses this terminology to refer to its credit card receivables on the balance sheet plus credit card receivables that have been securitized. (Pages 13, 16, 23, 34-35 and 38)</w:t>
      </w:r>
    </w:p>
    <w:p>
      <w:pPr>
        <w:spacing w:after="0" w:line="68"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Merger: The term refers to the December 31, 2000 merger of The Chase Manhattan Corporation and J.P. Morgan &amp; Co. Incorporated. (Pages 7-8, 14, 16, 18, 26, 28, 32-33, 40 and 45)</w:t>
      </w:r>
    </w:p>
    <w:p>
      <w:pPr>
        <w:spacing w:after="0" w:line="57" w:lineRule="exact"/>
        <w:rPr>
          <w:sz w:val="20"/>
          <w:szCs w:val="20"/>
          <w:color w:val="auto"/>
        </w:rPr>
      </w:pPr>
    </w:p>
    <w:p>
      <w:pPr>
        <w:ind w:right="3499"/>
        <w:spacing w:after="0" w:line="381" w:lineRule="auto"/>
        <w:rPr>
          <w:sz w:val="20"/>
          <w:szCs w:val="20"/>
          <w:color w:val="auto"/>
        </w:rPr>
      </w:pPr>
      <w:r>
        <w:rPr>
          <w:rFonts w:ascii="Courier New" w:cs="Courier New" w:eastAsia="Courier New" w:hAnsi="Courier New"/>
          <w:sz w:val="14"/>
          <w:szCs w:val="14"/>
          <w:color w:val="auto"/>
        </w:rPr>
        <w:t>Net Yield on Interest-Earning Assets: The average rate for interest-earning assets less the average rate paid for all sources of funds. (Pages 46 and 47)</w:t>
      </w:r>
    </w:p>
    <w:p>
      <w:pPr>
        <w:spacing w:after="0" w:line="1"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Operating Basis or Operating Earnings: Reported results excluding the impact of credit card securitizations, merger and restructuring costs, and special items. (Pages 12-19, 21-27, 29, 31-33, 43 and 45)</w:t>
      </w:r>
    </w:p>
    <w:p>
      <w:pPr>
        <w:spacing w:after="0" w:line="57"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Overhead Ratio: Noninterest expense as a percentage of the total of net interest income and noninterest revenue (excluding merger and restructuring costs and special items). (Pages 32 and 45)</w:t>
      </w:r>
    </w:p>
    <w:p>
      <w:pPr>
        <w:spacing w:after="0" w:line="5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SFAS:</w:t>
        <w:tab/>
        <w:t>Statement of Financial Accounting Standards.</w:t>
      </w:r>
    </w:p>
    <w:p>
      <w:pPr>
        <w:spacing w:after="0" w:line="166" w:lineRule="exact"/>
        <w:rPr>
          <w:sz w:val="20"/>
          <w:szCs w:val="20"/>
          <w:color w:val="auto"/>
        </w:rPr>
      </w:pPr>
    </w:p>
    <w:p>
      <w:pPr>
        <w:spacing w:after="0"/>
        <w:tabs>
          <w:tab w:leader="none" w:pos="960" w:val="left"/>
          <w:tab w:leader="none" w:pos="6020" w:val="left"/>
        </w:tabs>
        <w:rPr>
          <w:sz w:val="20"/>
          <w:szCs w:val="20"/>
          <w:color w:val="auto"/>
        </w:rPr>
      </w:pPr>
      <w:r>
        <w:rPr>
          <w:rFonts w:ascii="Courier New" w:cs="Courier New" w:eastAsia="Courier New" w:hAnsi="Courier New"/>
          <w:sz w:val="15"/>
          <w:szCs w:val="15"/>
          <w:color w:val="auto"/>
        </w:rPr>
        <w:t>SFAS 107:</w:t>
        <w:tab/>
        <w:t>"Disclosures about Fair Value of Financial Instruments."</w:t>
      </w:r>
      <w:r>
        <w:rPr>
          <w:sz w:val="20"/>
          <w:szCs w:val="20"/>
          <w:color w:val="auto"/>
        </w:rPr>
        <w:tab/>
      </w:r>
      <w:r>
        <w:rPr>
          <w:rFonts w:ascii="Courier New" w:cs="Courier New" w:eastAsia="Courier New" w:hAnsi="Courier New"/>
          <w:sz w:val="14"/>
          <w:szCs w:val="14"/>
          <w:color w:val="auto"/>
        </w:rPr>
        <w:t>(Page 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SFAS 115: "Accounting for Certain Investments in Debt and Equity Securities."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7)</w:t>
      </w:r>
    </w:p>
    <w:p>
      <w:pPr>
        <w:spacing w:after="0" w:line="140"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SFAS 133: "Accounting for Derivative Instruments and Hedging Activities." (Pages 7, 9-10, 13, 45 and 57)</w:t>
      </w:r>
    </w:p>
    <w:p>
      <w:pPr>
        <w:spacing w:after="0" w:line="17" w:lineRule="exact"/>
        <w:rPr>
          <w:sz w:val="20"/>
          <w:szCs w:val="20"/>
          <w:color w:val="auto"/>
        </w:rPr>
      </w:pPr>
    </w:p>
    <w:p>
      <w:pPr>
        <w:ind w:right="3759"/>
        <w:spacing w:after="0" w:line="290" w:lineRule="auto"/>
        <w:rPr>
          <w:sz w:val="20"/>
          <w:szCs w:val="20"/>
          <w:color w:val="auto"/>
        </w:rPr>
      </w:pPr>
      <w:r>
        <w:rPr>
          <w:rFonts w:ascii="Courier New" w:cs="Courier New" w:eastAsia="Courier New" w:hAnsi="Courier New"/>
          <w:sz w:val="15"/>
          <w:szCs w:val="15"/>
          <w:color w:val="auto"/>
        </w:rPr>
        <w:t>SFAS 140: "Accounting for Transfers and Servicing of Financial Assets and Extinguishments of Liabilities - a replacement of FASB Statement No. 125." (Pages 8, 9 and 44)</w:t>
      </w:r>
    </w:p>
    <w:p>
      <w:pPr>
        <w:spacing w:after="0" w:line="57" w:lineRule="exact"/>
        <w:rPr>
          <w:sz w:val="20"/>
          <w:szCs w:val="20"/>
          <w:color w:val="auto"/>
        </w:rPr>
      </w:pPr>
    </w:p>
    <w:p>
      <w:pPr>
        <w:spacing w:after="0"/>
        <w:tabs>
          <w:tab w:leader="none" w:pos="960" w:val="left"/>
          <w:tab w:leader="none" w:pos="3220" w:val="left"/>
        </w:tabs>
        <w:rPr>
          <w:sz w:val="20"/>
          <w:szCs w:val="20"/>
          <w:color w:val="auto"/>
        </w:rPr>
      </w:pPr>
      <w:r>
        <w:rPr>
          <w:rFonts w:ascii="Courier New" w:cs="Courier New" w:eastAsia="Courier New" w:hAnsi="Courier New"/>
          <w:sz w:val="15"/>
          <w:szCs w:val="15"/>
          <w:color w:val="auto"/>
        </w:rPr>
        <w:t>SFAS 141:</w:t>
        <w:tab/>
        <w:t>"Business Combinations."</w:t>
      </w:r>
      <w:r>
        <w:rPr>
          <w:sz w:val="20"/>
          <w:szCs w:val="20"/>
          <w:color w:val="auto"/>
        </w:rPr>
        <w:tab/>
      </w:r>
      <w:r>
        <w:rPr>
          <w:rFonts w:ascii="Courier New" w:cs="Courier New" w:eastAsia="Courier New" w:hAnsi="Courier New"/>
          <w:sz w:val="14"/>
          <w:szCs w:val="14"/>
          <w:color w:val="auto"/>
        </w:rPr>
        <w:t>(Page 44)</w:t>
      </w:r>
    </w:p>
    <w:p>
      <w:pPr>
        <w:spacing w:after="0" w:line="166" w:lineRule="exact"/>
        <w:rPr>
          <w:sz w:val="20"/>
          <w:szCs w:val="20"/>
          <w:color w:val="auto"/>
        </w:rPr>
      </w:pPr>
    </w:p>
    <w:p>
      <w:pPr>
        <w:spacing w:after="0"/>
        <w:tabs>
          <w:tab w:leader="none" w:pos="960" w:val="left"/>
          <w:tab w:leader="none" w:pos="4540" w:val="left"/>
        </w:tabs>
        <w:rPr>
          <w:sz w:val="20"/>
          <w:szCs w:val="20"/>
          <w:color w:val="auto"/>
        </w:rPr>
      </w:pPr>
      <w:r>
        <w:rPr>
          <w:rFonts w:ascii="Courier New" w:cs="Courier New" w:eastAsia="Courier New" w:hAnsi="Courier New"/>
          <w:sz w:val="15"/>
          <w:szCs w:val="15"/>
          <w:color w:val="auto"/>
        </w:rPr>
        <w:t>SFAS 142:</w:t>
        <w:tab/>
        <w:t>"Goodwill and Other Intangible Assets."</w:t>
      </w:r>
      <w:r>
        <w:rPr>
          <w:sz w:val="20"/>
          <w:szCs w:val="20"/>
          <w:color w:val="auto"/>
        </w:rPr>
        <w:tab/>
      </w:r>
      <w:r>
        <w:rPr>
          <w:rFonts w:ascii="Courier New" w:cs="Courier New" w:eastAsia="Courier New" w:hAnsi="Courier New"/>
          <w:sz w:val="14"/>
          <w:szCs w:val="14"/>
          <w:color w:val="auto"/>
        </w:rPr>
        <w:t>(Page 44)</w:t>
      </w:r>
    </w:p>
    <w:p>
      <w:pPr>
        <w:spacing w:after="0" w:line="166"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Shareholder Value Added ("SVA"): Represents operating earnings excluding the amortization of goodwill and certain other intangibles (i.e., cash operating earnings) minus preferred dividends and an explicit charge for capital. (Pages 12-13, 17-19, 21-23 and 45)</w:t>
      </w:r>
    </w:p>
    <w:p>
      <w:pPr>
        <w:spacing w:after="0" w:line="68"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Special Items: The first six months of 2001 included $806 million (pre-tax) in merger and restructuring expenses and the cumulative effect of a transition adjustment of $(25) million (after-tax) related to the adoption of SFAS 133. Special items in the first half of 2000 include a $141 million loss resulting from the economic hedge of the purchase price of Flemings prior to its acquisition and $50 million of restructuring costs associated with previously announced initiatives. (Pages 12-16, 26, 32, 43 and 45)</w:t>
      </w:r>
    </w:p>
    <w:p>
      <w:pPr>
        <w:spacing w:after="0" w:line="82"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Stress Testing: Discloses market risk under plausible events in abnormal markets. (Pages 41 and 42)</w:t>
      </w:r>
    </w:p>
    <w:p>
      <w:pPr>
        <w:spacing w:after="0" w:line="17" w:lineRule="exact"/>
        <w:rPr>
          <w:sz w:val="20"/>
          <w:szCs w:val="20"/>
          <w:color w:val="auto"/>
        </w:rPr>
      </w:pPr>
    </w:p>
    <w:p>
      <w:pPr>
        <w:ind w:right="3499"/>
        <w:spacing w:after="0" w:line="385" w:lineRule="auto"/>
        <w:rPr>
          <w:sz w:val="20"/>
          <w:szCs w:val="20"/>
          <w:color w:val="auto"/>
        </w:rPr>
      </w:pPr>
      <w:r>
        <w:rPr>
          <w:rFonts w:ascii="Courier New" w:cs="Courier New" w:eastAsia="Courier New" w:hAnsi="Courier New"/>
          <w:sz w:val="14"/>
          <w:szCs w:val="14"/>
          <w:color w:val="auto"/>
        </w:rPr>
        <w:t>Value-at-Risk ("VAR"): A measure of the dollar amount of potential loss from adverse market moves in an everyday market environment. (Pages 40, 41 and 42)</w:t>
      </w:r>
    </w:p>
    <w:p>
      <w:pPr>
        <w:sectPr>
          <w:pgSz w:w="11900" w:h="16838" w:orient="portrait"/>
          <w:cols w:equalWidth="0" w:num="1">
            <w:col w:w="10239"/>
          </w:cols>
          <w:pgMar w:left="220" w:top="261" w:right="1440" w:bottom="1052" w:gutter="0" w:footer="0" w:header="0"/>
        </w:sectPr>
      </w:pPr>
    </w:p>
    <w:p>
      <w:pPr>
        <w:spacing w:after="0" w:line="33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61" w:right="1440" w:bottom="1052"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303"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66" w:lineRule="exact"/>
        <w:rPr>
          <w:sz w:val="20"/>
          <w:szCs w:val="20"/>
          <w:color w:val="auto"/>
        </w:rPr>
      </w:pPr>
    </w:p>
    <w:p>
      <w:pPr>
        <w:ind w:left="1500" w:right="3399"/>
        <w:spacing w:after="0" w:line="320" w:lineRule="auto"/>
        <w:rPr>
          <w:sz w:val="20"/>
          <w:szCs w:val="20"/>
          <w:color w:val="auto"/>
        </w:rPr>
      </w:pPr>
      <w:r>
        <w:rPr>
          <w:rFonts w:ascii="Courier New" w:cs="Courier New" w:eastAsia="Courier New" w:hAnsi="Courier New"/>
          <w:sz w:val="14"/>
          <w:szCs w:val="14"/>
          <w:color w:val="auto"/>
        </w:rPr>
        <w:t>For a discussion of the quantitative and qualitative disclosures about market risk, see the market risk management section of the MD&amp;A on pages 40-42 of this Form 10-Q.</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1500" w:right="3319"/>
        <w:spacing w:after="0" w:line="247" w:lineRule="auto"/>
        <w:rPr>
          <w:sz w:val="20"/>
          <w:szCs w:val="20"/>
          <w:color w:val="auto"/>
        </w:rPr>
      </w:pPr>
      <w:r>
        <w:rPr>
          <w:rFonts w:ascii="Courier New" w:cs="Courier New" w:eastAsia="Courier New" w:hAnsi="Courier New"/>
          <w:sz w:val="15"/>
          <w:szCs w:val="15"/>
          <w:color w:val="auto"/>
        </w:rPr>
        <w:t>In June 1999, Sumitomo Corporation filed a lawsuit against The Chase Manhattan Bank in the United States District Court for the Southern District of New York. The complaint alleges that during the period from 1994 to 1996, the Bank assisted a Sumitomo employee in making copper trades by funding unauthorized loans to the Sumitomo employee. The complaint alleges that the Bank knew the employee did not have authority to enter into the transactions on behalf of Sumitomo. The complaint asserts claims under the Racketeer Influenced and Corrupt Organizations Act ("RICO") and New York common law and alleges damages of $532 million (subject to trebling under RICO), plus punitive damages.</w:t>
      </w:r>
    </w:p>
    <w:p>
      <w:pPr>
        <w:spacing w:after="0" w:line="88" w:lineRule="exact"/>
        <w:rPr>
          <w:sz w:val="20"/>
          <w:szCs w:val="20"/>
          <w:color w:val="auto"/>
        </w:rPr>
      </w:pPr>
    </w:p>
    <w:p>
      <w:pPr>
        <w:ind w:left="1500" w:right="3239"/>
        <w:spacing w:after="0" w:line="263" w:lineRule="auto"/>
        <w:rPr>
          <w:sz w:val="20"/>
          <w:szCs w:val="20"/>
          <w:color w:val="auto"/>
        </w:rPr>
      </w:pPr>
      <w:r>
        <w:rPr>
          <w:rFonts w:ascii="Courier New" w:cs="Courier New" w:eastAsia="Courier New" w:hAnsi="Courier New"/>
          <w:sz w:val="14"/>
          <w:szCs w:val="14"/>
          <w:color w:val="auto"/>
        </w:rPr>
        <w:t>In August 1999, Sumitomo Corporation filed a separate action against J.P. Morgan &amp; Co., Morgan Guaranty Trust Company of New York and a former Morgan employee (collectively, "Morgan") in the United States District Court for the Southern District of New York. The complaint in this action contains allegations, similar to the allegations in the complaint filed by Sumitomo against Chase, that during the period from 1993 to 1996, Morgan assisted a Sumitomo employee in making copper trades by funding unauthorized loans to the Sumitomo employee. The complaint alleges that Morgan knew the employee did not have authority to enter into the transactions on behalf of Sumitomo. The complaint asserts claims under RICO and New York common law and alleges damages of $735 million (subject to trebling under RICO), plus punitive damages. The separate actions against Chase and Morgan have been consolidated for discovery purposes.</w:t>
      </w:r>
    </w:p>
    <w:p>
      <w:pPr>
        <w:spacing w:after="0" w:line="84" w:lineRule="exact"/>
        <w:rPr>
          <w:sz w:val="20"/>
          <w:szCs w:val="20"/>
          <w:color w:val="auto"/>
        </w:rPr>
      </w:pPr>
    </w:p>
    <w:p>
      <w:pPr>
        <w:ind w:left="1500" w:right="3239"/>
        <w:spacing w:after="0" w:line="241" w:lineRule="auto"/>
        <w:rPr>
          <w:sz w:val="20"/>
          <w:szCs w:val="20"/>
          <w:color w:val="auto"/>
        </w:rPr>
      </w:pPr>
      <w:r>
        <w:rPr>
          <w:rFonts w:ascii="Courier New" w:cs="Courier New" w:eastAsia="Courier New" w:hAnsi="Courier New"/>
          <w:sz w:val="15"/>
          <w:szCs w:val="15"/>
          <w:color w:val="auto"/>
        </w:rPr>
        <w:t>Chase Securities Inc. (now known as J.P. Morgan Securities Inc. ("JPMSI")) has been named as a defendant or third-party defendant in 14 actions that were filed in either the United States District Court for the Northern District of Oklahoma or Oklahoma state court or New York state court beginning in October 1999 arising out of the failure of Commercial Financial Services, Inc. ("CFS"). Plaintiffs in these actions are institutional investors who purchased over $1.6 billion in original face amount of asset-backed securities issued by CFS. The securities were backed by delinquent credit card receivables. In addition to JPMSI, the defendants in various of the actions are the founders and key executives of CFS, as well as its auditors, its outside counsel and the rating agencies that rated the securities. JPMSI is alleged to have been the investment banker to CFS and to have acted as an initial purchaser and as placement agent in connection with the issuance of certain of the securities. Plaintiffs allege that defendants either knew or were reckless in not knowing that the securities were sold to plaintiffs on the basis of misleading misrepresentations and omissions of material facts. The complaints against JPMSI assert claims under the Securities Exchange Act of 1934, the Oklahoma Securities Act, and under common law theories of fraud and negligent misrepresentation. In the actions against JPMSI, damages in the amount of approximately $1.2 billion allegedly suffered as a result of defendants' misrepresentations and omissions, plus punitive damages, are being claimed.</w:t>
      </w:r>
    </w:p>
    <w:p>
      <w:pPr>
        <w:spacing w:after="0" w:line="103" w:lineRule="exact"/>
        <w:rPr>
          <w:sz w:val="20"/>
          <w:szCs w:val="20"/>
          <w:color w:val="auto"/>
        </w:rPr>
      </w:pPr>
    </w:p>
    <w:p>
      <w:pPr>
        <w:ind w:left="1500" w:right="3239"/>
        <w:spacing w:after="0" w:line="247" w:lineRule="auto"/>
        <w:rPr>
          <w:sz w:val="20"/>
          <w:szCs w:val="20"/>
          <w:color w:val="auto"/>
        </w:rPr>
      </w:pPr>
      <w:r>
        <w:rPr>
          <w:rFonts w:ascii="Courier New" w:cs="Courier New" w:eastAsia="Courier New" w:hAnsi="Courier New"/>
          <w:sz w:val="15"/>
          <w:szCs w:val="15"/>
          <w:color w:val="auto"/>
        </w:rPr>
        <w:t>The Securities and Exchange Commission ("SEC") has investigated the question of whether, in connection with the bond paying agency function within JPMorgan Chase's Institutional Trust Services group, there had been violations of its transfer agency recordkeeping or reporting regulations and whether JPMorgan Chase's disclosure regarding these issues had been adequate and timely. The conditions giving rise to the alleged violations have since been addressed, and JPMorgan Chase has made an offer of settlement to the SEC, which is under consideration. If accepted in its present form, the settlement will have no material adverse effect on the consolidated financial condition of JPMorgan Chase.</w:t>
      </w:r>
    </w:p>
    <w:p>
      <w:pPr>
        <w:sectPr>
          <w:pgSz w:w="11900" w:h="16838" w:orient="portrait"/>
          <w:cols w:equalWidth="0" w:num="1">
            <w:col w:w="10239"/>
          </w:cols>
          <w:pgMar w:left="220" w:top="261" w:right="1440" w:bottom="1440" w:gutter="0" w:footer="0" w:header="0"/>
        </w:sectPr>
      </w:pPr>
    </w:p>
    <w:p>
      <w:pPr>
        <w:spacing w:after="0" w:line="25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61"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 (CONTINUED)</w:t>
      </w:r>
    </w:p>
    <w:p>
      <w:pPr>
        <w:spacing w:after="0" w:line="33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 (continued)</w:t>
      </w:r>
    </w:p>
    <w:p>
      <w:pPr>
        <w:spacing w:after="0" w:line="166" w:lineRule="exact"/>
        <w:rPr>
          <w:sz w:val="20"/>
          <w:szCs w:val="20"/>
          <w:color w:val="auto"/>
        </w:rPr>
      </w:pPr>
    </w:p>
    <w:p>
      <w:pPr>
        <w:ind w:left="1500" w:right="3239"/>
        <w:spacing w:after="0" w:line="259" w:lineRule="auto"/>
        <w:rPr>
          <w:sz w:val="20"/>
          <w:szCs w:val="20"/>
          <w:color w:val="auto"/>
        </w:rPr>
      </w:pPr>
      <w:r>
        <w:rPr>
          <w:rFonts w:ascii="Courier New" w:cs="Courier New" w:eastAsia="Courier New" w:hAnsi="Courier New"/>
          <w:sz w:val="14"/>
          <w:szCs w:val="14"/>
          <w:color w:val="auto"/>
        </w:rPr>
        <w:t>Beginning in May 2001, JPMC and certain of its securities subsidiaries (each referred to in this paragraph as "JPMC") have been named, along with numerous other firms in the securities industry, as defendants in a large number of putative class action lawsuits filed in the United States District Court for the Southern District of New York. These suits purport to challenge alleged improprieties in the allocation of stock in various public offerings, including some offerings for which a JPMC entity served as an underwriter. The suits allege violations of securities and antitrust laws arising from alleged material misstatements and omissions in registration statements and prospectuses for the initial public offerings and with respect to aftermarket transactions in the offered securities. The securities claims allege, among other things, misrepresentations concerning commissions paid to JPMC and aftermarket transactions by customers who received allocations of shares in the respective initial public offerings. The antitrust claims allege an illegal conspiracy to require customers, in exchange for initial public offering allocations, to pay undisclosed and excessive commissions and to make aftermarket purchases of the initial public offering securities at a price higher than the offering price, as a precondition to receiving allocation. JPMC has also received various subpoenas and informal requests from governmental and other agencies seeking information relating to initial public offering allocation practices. JPMC is cooperating with these agencies and has responded or is in the process of responding to these requests.</w:t>
      </w:r>
    </w:p>
    <w:p>
      <w:pPr>
        <w:spacing w:after="0" w:line="257" w:lineRule="exact"/>
        <w:rPr>
          <w:sz w:val="20"/>
          <w:szCs w:val="20"/>
          <w:color w:val="auto"/>
        </w:rPr>
      </w:pPr>
    </w:p>
    <w:p>
      <w:pPr>
        <w:ind w:left="1500" w:right="3239"/>
        <w:spacing w:after="0" w:line="244" w:lineRule="auto"/>
        <w:rPr>
          <w:sz w:val="20"/>
          <w:szCs w:val="20"/>
          <w:color w:val="auto"/>
        </w:rPr>
      </w:pPr>
      <w:r>
        <w:rPr>
          <w:rFonts w:ascii="Courier New" w:cs="Courier New" w:eastAsia="Courier New" w:hAnsi="Courier New"/>
          <w:sz w:val="15"/>
          <w:szCs w:val="15"/>
          <w:color w:val="auto"/>
        </w:rPr>
        <w:t>In addition to the matters described above, JPMorgan Chase and its subsidiaries have been named from time to time as defendants in various legal actions and proceedings arising in connection with their respective businesses and have been involved from time to time in investigations and proceedings by governmental agencies. In view of the inherent difficulty of predicting the outcome of such matters, JPMorgan Chase cannot state what the eventual outcome of these pending matters will be. JPMorgan Chase is contesting the allegations made in each pending matter and believes, based on current knowledge and after consultation with counsel, that the outcome of such matters will not have a material adverse effect on the consolidated financial condition of JPMorgan Chase but may be material to JPMorgan Chase's operating results for any particular period, depending on the level of JPMorgan Chase's income for such period.</w:t>
      </w:r>
    </w:p>
    <w:p>
      <w:pPr>
        <w:spacing w:after="0" w:line="9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Sales of Unregistered Common Stock</w:t>
      </w:r>
    </w:p>
    <w:p>
      <w:pPr>
        <w:spacing w:after="0" w:line="166" w:lineRule="exact"/>
        <w:rPr>
          <w:sz w:val="20"/>
          <w:szCs w:val="20"/>
          <w:color w:val="auto"/>
        </w:rPr>
      </w:pPr>
    </w:p>
    <w:p>
      <w:pPr>
        <w:ind w:left="1500" w:right="3319"/>
        <w:spacing w:after="0" w:line="255" w:lineRule="auto"/>
        <w:rPr>
          <w:sz w:val="20"/>
          <w:szCs w:val="20"/>
          <w:color w:val="auto"/>
        </w:rPr>
      </w:pPr>
      <w:r>
        <w:rPr>
          <w:rFonts w:ascii="Courier New" w:cs="Courier New" w:eastAsia="Courier New" w:hAnsi="Courier New"/>
          <w:sz w:val="15"/>
          <w:szCs w:val="15"/>
          <w:color w:val="auto"/>
        </w:rPr>
        <w:t>During the second quarter of 2001, shares of common stock of J.P. Morgan Chase &amp; Co. were issued in a transaction exempt from registration under the Securities Act of 1933 pursuant to Section 4(2) thereof as follows: On April 2, 2001, 498 shares of common stock were issued to a retired director who had deferred receipt of such common stock pursuant to the Deferred Compensation Plan for Non-Employee Directors.</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6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 (CONTINUED)</w:t>
      </w:r>
    </w:p>
    <w:p>
      <w:pPr>
        <w:spacing w:after="0" w:line="33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1500" w:right="3319"/>
        <w:spacing w:after="0" w:line="264" w:lineRule="auto"/>
        <w:rPr>
          <w:sz w:val="20"/>
          <w:szCs w:val="20"/>
          <w:color w:val="auto"/>
        </w:rPr>
      </w:pPr>
      <w:r>
        <w:rPr>
          <w:rFonts w:ascii="Courier New" w:cs="Courier New" w:eastAsia="Courier New" w:hAnsi="Courier New"/>
          <w:sz w:val="15"/>
          <w:szCs w:val="15"/>
          <w:color w:val="auto"/>
        </w:rPr>
        <w:t>The following is a summary of matters submitted to vote at the Annual Meeting of Stockholders of JPMorgan Chase held on May 15, 2001. A total of 1,593,686,386 shares, or 80.4% of the 1,982,943,058 shares entitled to vote at the Annual Meeting, were represented at the meeting.</w:t>
      </w:r>
    </w:p>
    <w:p>
      <w:pPr>
        <w:spacing w:after="0" w:line="75" w:lineRule="exact"/>
        <w:rPr>
          <w:sz w:val="20"/>
          <w:szCs w:val="20"/>
          <w:color w:val="auto"/>
        </w:rPr>
      </w:pPr>
    </w:p>
    <w:p>
      <w:pPr>
        <w:ind w:left="1940" w:hanging="443"/>
        <w:spacing w:after="0"/>
        <w:tabs>
          <w:tab w:leader="none" w:pos="19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left="1500" w:right="3319"/>
        <w:spacing w:after="0" w:line="290" w:lineRule="auto"/>
        <w:rPr>
          <w:sz w:val="20"/>
          <w:szCs w:val="20"/>
          <w:color w:val="auto"/>
        </w:rPr>
      </w:pPr>
      <w:r>
        <w:rPr>
          <w:rFonts w:ascii="Courier New" w:cs="Courier New" w:eastAsia="Courier New" w:hAnsi="Courier New"/>
          <w:sz w:val="15"/>
          <w:szCs w:val="15"/>
          <w:color w:val="auto"/>
        </w:rPr>
        <w:t>The following fifteen (15) directors were elected to hold office until the 2002 Annual Meeting or until their successors are elected and have qualified.</w:t>
      </w:r>
    </w:p>
    <w:p>
      <w:pPr>
        <w:spacing w:after="0" w:line="392" w:lineRule="exact"/>
        <w:rPr>
          <w:sz w:val="20"/>
          <w:szCs w:val="20"/>
          <w:color w:val="auto"/>
        </w:rPr>
      </w:pPr>
    </w:p>
    <w:tbl>
      <w:tblPr>
        <w:tblLayout w:type="fixed"/>
        <w:tblInd w:w="194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1920" w:type="dxa"/>
            <w:vAlign w:val="bottom"/>
          </w:tcPr>
          <w:p>
            <w:pPr>
              <w:ind w:left="300"/>
              <w:spacing w:after="0"/>
              <w:rPr>
                <w:sz w:val="20"/>
                <w:szCs w:val="20"/>
                <w:color w:val="auto"/>
              </w:rPr>
            </w:pPr>
            <w:r>
              <w:rPr>
                <w:rFonts w:ascii="Courier New" w:cs="Courier New" w:eastAsia="Courier New" w:hAnsi="Courier New"/>
                <w:sz w:val="15"/>
                <w:szCs w:val="15"/>
                <w:color w:val="auto"/>
              </w:rPr>
              <w:t>Votes Received</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w w:val="95"/>
              </w:rPr>
              <w:t>Votes Withheld</w:t>
            </w:r>
          </w:p>
        </w:tc>
      </w:tr>
      <w:tr>
        <w:trPr>
          <w:trHeight w:val="245"/>
        </w:trPr>
        <w:tc>
          <w:tcPr>
            <w:tcW w:w="2400" w:type="dxa"/>
            <w:vAlign w:val="bottom"/>
          </w:tcPr>
          <w:p>
            <w:pPr>
              <w:spacing w:after="0"/>
              <w:rPr>
                <w:sz w:val="21"/>
                <w:szCs w:val="21"/>
                <w:color w:val="auto"/>
              </w:rPr>
            </w:pPr>
          </w:p>
        </w:tc>
        <w:tc>
          <w:tcPr>
            <w:tcW w:w="19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2400" w:type="dxa"/>
            <w:vAlign w:val="bottom"/>
          </w:tcPr>
          <w:p>
            <w:pPr>
              <w:spacing w:after="0"/>
              <w:rPr>
                <w:sz w:val="20"/>
                <w:szCs w:val="20"/>
                <w:color w:val="auto"/>
              </w:rPr>
            </w:pPr>
            <w:r>
              <w:rPr>
                <w:rFonts w:ascii="Courier New" w:cs="Courier New" w:eastAsia="Courier New" w:hAnsi="Courier New"/>
                <w:sz w:val="15"/>
                <w:szCs w:val="15"/>
                <w:color w:val="auto"/>
              </w:rPr>
              <w:t>Hans W. Becherer</w:t>
            </w:r>
          </w:p>
        </w:tc>
        <w:tc>
          <w:tcPr>
            <w:tcW w:w="1920" w:type="dxa"/>
            <w:vAlign w:val="bottom"/>
          </w:tcPr>
          <w:p>
            <w:pPr>
              <w:ind w:left="300"/>
              <w:spacing w:after="0"/>
              <w:rPr>
                <w:sz w:val="20"/>
                <w:szCs w:val="20"/>
                <w:color w:val="auto"/>
              </w:rPr>
            </w:pPr>
            <w:r>
              <w:rPr>
                <w:rFonts w:ascii="Courier New" w:cs="Courier New" w:eastAsia="Courier New" w:hAnsi="Courier New"/>
                <w:sz w:val="15"/>
                <w:szCs w:val="15"/>
                <w:color w:val="auto"/>
              </w:rPr>
              <w:t>1,580,957,106</w:t>
            </w:r>
          </w:p>
        </w:tc>
        <w:tc>
          <w:tcPr>
            <w:tcW w:w="16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5"/>
              </w:rPr>
              <w:t>12,729,280</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Riley P. Bechtel</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1,581,216,371</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12,470,015</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A. Bennack Jr.</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1,580,842,556</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12,843,830</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A. Bossidy</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1,580,919,066</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12,767,320</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M. Anthony Burns</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1,581,287,828</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12,398,558</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H. Laurance Fuller</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1,581,364,676</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12,321,710</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Ellen V. Futter</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1,580,751,079</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12,935,307</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H. Gray III</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1,579,581,252</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14,105,134</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B. Harrison, Jr.</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1,581,261,404</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12,424,982</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Helene L. Kaplan</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1,530,025,114</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63,661,272</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Lee R. Raymond</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1,581,239,934</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12,446,452</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Stafford</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1,580,817,728</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12,868,658</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Lloyd D. Ward</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1,581,136,747</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12,549,639</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Douglas A. Warner III</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1,580,116,044</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5"/>
              </w:rPr>
              <w:t>13,570,342</w:t>
            </w:r>
          </w:p>
        </w:tc>
      </w:tr>
      <w:tr>
        <w:trPr>
          <w:trHeight w:val="245"/>
        </w:trPr>
        <w:tc>
          <w:tcPr>
            <w:tcW w:w="2400" w:type="dxa"/>
            <w:vAlign w:val="bottom"/>
          </w:tcPr>
          <w:p>
            <w:pPr>
              <w:spacing w:after="0"/>
              <w:rPr>
                <w:sz w:val="20"/>
                <w:szCs w:val="20"/>
                <w:color w:val="auto"/>
              </w:rPr>
            </w:pPr>
            <w:r>
              <w:rPr>
                <w:rFonts w:ascii="Courier New" w:cs="Courier New" w:eastAsia="Courier New" w:hAnsi="Courier New"/>
                <w:sz w:val="15"/>
                <w:szCs w:val="15"/>
                <w:color w:val="auto"/>
              </w:rPr>
              <w:t>Marina v.N. Whitman</w:t>
            </w:r>
          </w:p>
        </w:tc>
        <w:tc>
          <w:tcPr>
            <w:tcW w:w="1920" w:type="dxa"/>
            <w:vAlign w:val="bottom"/>
          </w:tcPr>
          <w:p>
            <w:pPr>
              <w:ind w:left="300"/>
              <w:spacing w:after="0"/>
              <w:rPr>
                <w:sz w:val="20"/>
                <w:szCs w:val="20"/>
                <w:color w:val="auto"/>
              </w:rPr>
            </w:pPr>
            <w:r>
              <w:rPr>
                <w:rFonts w:ascii="Courier New" w:cs="Courier New" w:eastAsia="Courier New" w:hAnsi="Courier New"/>
                <w:sz w:val="15"/>
                <w:szCs w:val="15"/>
                <w:color w:val="auto"/>
              </w:rPr>
              <w:t>1,580,999,632</w:t>
            </w:r>
          </w:p>
        </w:tc>
        <w:tc>
          <w:tcPr>
            <w:tcW w:w="16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5"/>
              </w:rPr>
              <w:t>12,686,754</w:t>
            </w:r>
          </w:p>
        </w:tc>
      </w:tr>
    </w:tbl>
    <w:p>
      <w:pPr>
        <w:spacing w:after="0" w:line="200" w:lineRule="exact"/>
        <w:rPr>
          <w:sz w:val="20"/>
          <w:szCs w:val="20"/>
          <w:color w:val="auto"/>
        </w:rPr>
      </w:pPr>
    </w:p>
    <w:p>
      <w:pPr>
        <w:spacing w:after="0" w:line="227" w:lineRule="exact"/>
        <w:rPr>
          <w:sz w:val="20"/>
          <w:szCs w:val="20"/>
          <w:color w:val="auto"/>
        </w:rPr>
      </w:pPr>
    </w:p>
    <w:p>
      <w:pPr>
        <w:ind w:left="1940" w:hanging="443"/>
        <w:spacing w:after="0"/>
        <w:tabs>
          <w:tab w:leader="none" w:pos="19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Ratifying Independent Accountants</w:t>
      </w:r>
    </w:p>
    <w:p>
      <w:pPr>
        <w:spacing w:after="0" w:line="166" w:lineRule="exact"/>
        <w:rPr>
          <w:sz w:val="20"/>
          <w:szCs w:val="20"/>
          <w:color w:val="auto"/>
        </w:rPr>
      </w:pPr>
    </w:p>
    <w:p>
      <w:pPr>
        <w:ind w:left="1500" w:right="3319"/>
        <w:spacing w:after="0" w:line="287" w:lineRule="auto"/>
        <w:rPr>
          <w:sz w:val="20"/>
          <w:szCs w:val="20"/>
          <w:color w:val="auto"/>
        </w:rPr>
      </w:pPr>
      <w:r>
        <w:rPr>
          <w:rFonts w:ascii="Courier New" w:cs="Courier New" w:eastAsia="Courier New" w:hAnsi="Courier New"/>
          <w:sz w:val="14"/>
          <w:szCs w:val="14"/>
          <w:color w:val="auto"/>
        </w:rPr>
        <w:t>A proposal to ratify PricewaterhouseCoopers LLP as independent accountants was approved by 99.26% of the votes cast. The proposal received a "for" vote of 1,561,863,267 and an "against" vote of 11,602,254. The number of votes abstaining was 20,217,485. There were 3,380 broker non-votes.</w:t>
      </w:r>
    </w:p>
    <w:p>
      <w:pPr>
        <w:spacing w:after="0" w:line="22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 Approval of Employee Stock Purchase Plan</w:t>
      </w:r>
    </w:p>
    <w:p>
      <w:pPr>
        <w:spacing w:after="0" w:line="166" w:lineRule="exact"/>
        <w:rPr>
          <w:sz w:val="20"/>
          <w:szCs w:val="20"/>
          <w:color w:val="auto"/>
        </w:rPr>
      </w:pPr>
    </w:p>
    <w:p>
      <w:pPr>
        <w:ind w:left="1500" w:right="3239"/>
        <w:spacing w:after="0" w:line="264" w:lineRule="auto"/>
        <w:rPr>
          <w:sz w:val="20"/>
          <w:szCs w:val="20"/>
          <w:color w:val="auto"/>
        </w:rPr>
      </w:pPr>
      <w:r>
        <w:rPr>
          <w:rFonts w:ascii="Courier New" w:cs="Courier New" w:eastAsia="Courier New" w:hAnsi="Courier New"/>
          <w:sz w:val="15"/>
          <w:szCs w:val="15"/>
          <w:color w:val="auto"/>
        </w:rPr>
        <w:t>A proposal to approve the Firm's Employee Stock Purchase Plan was approved by 97.75% of the votes cast. The proposal received a "for" vote of 1,534,982,883 and an "against" vote of 35,273,770. The number of votes abstaining was 23,348,045. There were 81,688 broker non-votes.</w:t>
      </w:r>
    </w:p>
    <w:p>
      <w:pPr>
        <w:spacing w:after="0" w:line="75" w:lineRule="exact"/>
        <w:rPr>
          <w:sz w:val="20"/>
          <w:szCs w:val="20"/>
          <w:color w:val="auto"/>
        </w:rPr>
      </w:pPr>
    </w:p>
    <w:p>
      <w:pPr>
        <w:ind w:left="1940" w:hanging="443"/>
        <w:spacing w:after="0"/>
        <w:tabs>
          <w:tab w:leader="none" w:pos="19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Proposal Re: Executive Compensation Disclosure</w:t>
      </w:r>
    </w:p>
    <w:p>
      <w:pPr>
        <w:spacing w:after="0" w:line="166" w:lineRule="exact"/>
        <w:rPr>
          <w:sz w:val="20"/>
          <w:szCs w:val="20"/>
          <w:color w:val="auto"/>
        </w:rPr>
      </w:pPr>
    </w:p>
    <w:p>
      <w:pPr>
        <w:ind w:left="1500" w:right="3399"/>
        <w:spacing w:after="0" w:line="255" w:lineRule="auto"/>
        <w:rPr>
          <w:sz w:val="20"/>
          <w:szCs w:val="20"/>
          <w:color w:val="auto"/>
        </w:rPr>
      </w:pPr>
      <w:r>
        <w:rPr>
          <w:rFonts w:ascii="Courier New" w:cs="Courier New" w:eastAsia="Courier New" w:hAnsi="Courier New"/>
          <w:sz w:val="15"/>
          <w:szCs w:val="15"/>
          <w:color w:val="auto"/>
        </w:rPr>
        <w:t>A proposal by Evelyn Y. Davis requiring that management disclose in future proxy statements the names and titles of certain executive officers receiving annual compensation in excess of $250,000 was rejected by 93.83% of the votes cast. The vote "for" was 78,564,128, and the vote "against" was 1,194,448,616. The number of votes abstaining was 34,622,968, and there were 286,050,674 broker non-votes.</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61"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45"/>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54</w:t>
            </w:r>
          </w:p>
        </w:tc>
        <w:tc>
          <w:tcPr>
            <w:tcW w:w="8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8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20" w:type="dxa"/>
            <w:vAlign w:val="bottom"/>
          </w:tcPr>
          <w:p>
            <w:pPr>
              <w:ind w:left="480"/>
              <w:spacing w:after="0"/>
              <w:rPr>
                <w:sz w:val="20"/>
                <w:szCs w:val="20"/>
                <w:color w:val="auto"/>
              </w:rPr>
            </w:pPr>
            <w:r>
              <w:rPr>
                <w:rFonts w:ascii="Courier New" w:cs="Courier New" w:eastAsia="Courier New" w:hAnsi="Courier New"/>
                <w:sz w:val="15"/>
                <w:szCs w:val="15"/>
                <w:color w:val="auto"/>
              </w:rPr>
              <w:t>(4)</w:t>
            </w:r>
          </w:p>
        </w:tc>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w w:val="99"/>
              </w:rPr>
              <w:t>Stockholder Proposal Re:</w:t>
            </w:r>
          </w:p>
        </w:tc>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Director Nomination Procedures</w:t>
            </w:r>
          </w:p>
        </w:tc>
      </w:tr>
      <w:tr>
        <w:trPr>
          <w:trHeight w:val="259"/>
        </w:trPr>
        <w:tc>
          <w:tcPr>
            <w:tcW w:w="1020" w:type="dxa"/>
            <w:vAlign w:val="bottom"/>
          </w:tcPr>
          <w:p>
            <w:pPr>
              <w:spacing w:after="0"/>
              <w:rPr>
                <w:sz w:val="22"/>
                <w:szCs w:val="22"/>
                <w:color w:val="auto"/>
              </w:rPr>
            </w:pPr>
          </w:p>
        </w:tc>
        <w:tc>
          <w:tcPr>
            <w:tcW w:w="598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A proposal by Richard A. Dee requesting that the Board of</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8"/>
              </w:rPr>
              <w:t>Directors adopt a policy requiring the Governance Committee to</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6"/>
              </w:rPr>
              <w:t>nominate two candidates for each directorship to be filled upon</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voting at the annual meetings was rejected by 95.43% of the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votes cast. The vote "for" was 57,878,960, and the vote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6"/>
              </w:rPr>
              <w:t>"against" was 1,208,455,330. The number of votes abstaining was</w:t>
            </w:r>
          </w:p>
        </w:tc>
      </w:tr>
      <w:tr>
        <w:trPr>
          <w:trHeight w:val="245"/>
        </w:trPr>
        <w:tc>
          <w:tcPr>
            <w:tcW w:w="1020" w:type="dxa"/>
            <w:vAlign w:val="bottom"/>
          </w:tcPr>
          <w:p>
            <w:pPr>
              <w:spacing w:after="0"/>
              <w:rPr>
                <w:sz w:val="21"/>
                <w:szCs w:val="21"/>
                <w:color w:val="auto"/>
              </w:rPr>
            </w:pPr>
          </w:p>
        </w:tc>
        <w:tc>
          <w:tcPr>
            <w:tcW w:w="598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41,326,765, and there were 286,025,331 broker non-votes.</w:t>
            </w:r>
          </w:p>
        </w:tc>
      </w:tr>
      <w:tr>
        <w:trPr>
          <w:trHeight w:val="259"/>
        </w:trPr>
        <w:tc>
          <w:tcPr>
            <w:tcW w:w="1020" w:type="dxa"/>
            <w:vAlign w:val="bottom"/>
          </w:tcPr>
          <w:p>
            <w:pPr>
              <w:spacing w:after="0"/>
              <w:rPr>
                <w:sz w:val="22"/>
                <w:szCs w:val="22"/>
                <w:color w:val="auto"/>
              </w:rPr>
            </w:pPr>
          </w:p>
        </w:tc>
        <w:tc>
          <w:tcPr>
            <w:tcW w:w="820" w:type="dxa"/>
            <w:vAlign w:val="bottom"/>
          </w:tcPr>
          <w:p>
            <w:pPr>
              <w:ind w:left="480"/>
              <w:spacing w:after="0"/>
              <w:rPr>
                <w:sz w:val="20"/>
                <w:szCs w:val="20"/>
                <w:color w:val="auto"/>
              </w:rPr>
            </w:pPr>
            <w:r>
              <w:rPr>
                <w:rFonts w:ascii="Courier New" w:cs="Courier New" w:eastAsia="Courier New" w:hAnsi="Courier New"/>
                <w:sz w:val="15"/>
                <w:szCs w:val="15"/>
                <w:color w:val="auto"/>
              </w:rPr>
              <w:t>(5)</w:t>
            </w:r>
          </w:p>
        </w:tc>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w w:val="99"/>
              </w:rPr>
              <w:t>Stockholder Proposal Re:</w:t>
            </w:r>
          </w:p>
        </w:tc>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International Financial</w:t>
            </w:r>
          </w:p>
        </w:tc>
      </w:tr>
      <w:tr>
        <w:trPr>
          <w:trHeight w:val="245"/>
        </w:trPr>
        <w:tc>
          <w:tcPr>
            <w:tcW w:w="1020" w:type="dxa"/>
            <w:vAlign w:val="bottom"/>
          </w:tcPr>
          <w:p>
            <w:pPr>
              <w:spacing w:after="0"/>
              <w:rPr>
                <w:sz w:val="21"/>
                <w:szCs w:val="21"/>
                <w:color w:val="auto"/>
              </w:rPr>
            </w:pPr>
          </w:p>
        </w:tc>
        <w:tc>
          <w:tcPr>
            <w:tcW w:w="31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Stabilization</w:t>
            </w:r>
          </w:p>
        </w:tc>
        <w:tc>
          <w:tcPr>
            <w:tcW w:w="2880" w:type="dxa"/>
            <w:vAlign w:val="bottom"/>
          </w:tcPr>
          <w:p>
            <w:pPr>
              <w:spacing w:after="0"/>
              <w:rPr>
                <w:sz w:val="21"/>
                <w:szCs w:val="21"/>
                <w:color w:val="auto"/>
              </w:rPr>
            </w:pPr>
          </w:p>
        </w:tc>
      </w:tr>
      <w:tr>
        <w:trPr>
          <w:trHeight w:val="259"/>
        </w:trPr>
        <w:tc>
          <w:tcPr>
            <w:tcW w:w="1020" w:type="dxa"/>
            <w:vAlign w:val="bottom"/>
          </w:tcPr>
          <w:p>
            <w:pPr>
              <w:spacing w:after="0"/>
              <w:rPr>
                <w:sz w:val="22"/>
                <w:szCs w:val="22"/>
                <w:color w:val="auto"/>
              </w:rPr>
            </w:pPr>
          </w:p>
        </w:tc>
        <w:tc>
          <w:tcPr>
            <w:tcW w:w="598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6"/>
              </w:rPr>
              <w:t>A proposal by the Sisters of Charity of St. Elizabeth and other</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church groups that the Board of Directors develop a policy</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regarding short-term lending and exposure of other financial</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6"/>
              </w:rPr>
              <w:t>instruments to emerging market countries was rejected by 96.72%</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8"/>
              </w:rPr>
              <w:t>of the votes cast. The vote "for" was 39,302,185, and the vote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6"/>
              </w:rPr>
              <w:t>"against" was 1,160,726,592. The number of votes abstaining was</w:t>
            </w:r>
          </w:p>
        </w:tc>
      </w:tr>
      <w:tr>
        <w:trPr>
          <w:trHeight w:val="245"/>
        </w:trPr>
        <w:tc>
          <w:tcPr>
            <w:tcW w:w="1020" w:type="dxa"/>
            <w:vAlign w:val="bottom"/>
          </w:tcPr>
          <w:p>
            <w:pPr>
              <w:spacing w:after="0"/>
              <w:rPr>
                <w:sz w:val="21"/>
                <w:szCs w:val="21"/>
                <w:color w:val="auto"/>
              </w:rPr>
            </w:pPr>
          </w:p>
        </w:tc>
        <w:tc>
          <w:tcPr>
            <w:tcW w:w="598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107,595,216, and there were 286,062,393 broker non-votes.</w:t>
            </w: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98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Exhibits and Reports on Form 8-K</w:t>
            </w:r>
          </w:p>
        </w:tc>
      </w:tr>
      <w:tr>
        <w:trPr>
          <w:trHeight w:val="245"/>
        </w:trPr>
        <w:tc>
          <w:tcPr>
            <w:tcW w:w="1020" w:type="dxa"/>
            <w:vAlign w:val="bottom"/>
          </w:tcPr>
          <w:p>
            <w:pPr>
              <w:spacing w:after="0"/>
              <w:rPr>
                <w:sz w:val="21"/>
                <w:szCs w:val="21"/>
                <w:color w:val="auto"/>
              </w:rPr>
            </w:pPr>
          </w:p>
        </w:tc>
        <w:tc>
          <w:tcPr>
            <w:tcW w:w="31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(A)Exhibits:</w:t>
            </w:r>
          </w:p>
        </w:tc>
        <w:tc>
          <w:tcPr>
            <w:tcW w:w="2880" w:type="dxa"/>
            <w:vAlign w:val="bottom"/>
          </w:tcPr>
          <w:p>
            <w:pPr>
              <w:spacing w:after="0"/>
              <w:rPr>
                <w:sz w:val="21"/>
                <w:szCs w:val="21"/>
                <w:color w:val="auto"/>
              </w:rPr>
            </w:pPr>
          </w:p>
        </w:tc>
      </w:tr>
    </w:tbl>
    <w:p>
      <w:pPr>
        <w:spacing w:after="0" w:line="91" w:lineRule="exact"/>
        <w:rPr>
          <w:sz w:val="20"/>
          <w:szCs w:val="20"/>
          <w:color w:val="auto"/>
        </w:rPr>
      </w:pPr>
    </w:p>
    <w:p>
      <w:pPr>
        <w:ind w:left="1500" w:right="3399"/>
        <w:spacing w:after="0" w:line="249" w:lineRule="auto"/>
        <w:rPr>
          <w:sz w:val="20"/>
          <w:szCs w:val="20"/>
          <w:color w:val="auto"/>
        </w:rPr>
      </w:pPr>
      <w:r>
        <w:rPr>
          <w:rFonts w:ascii="Courier New" w:cs="Courier New" w:eastAsia="Courier New" w:hAnsi="Courier New"/>
          <w:sz w:val="15"/>
          <w:szCs w:val="15"/>
          <w:color w:val="auto"/>
        </w:rPr>
        <w:t>11 - Computation of Earnings per Common Share 12(a) - Computation of Ratio of Earnings to Fixed Charges 12(b) - Computation of Ratio of Earnings to Fixed Charges and</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Preferred Stock Dividend Requirements</w:t>
      </w:r>
    </w:p>
    <w:p>
      <w:pPr>
        <w:spacing w:after="0" w:line="140"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(B)Reports on Form 8-K:</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JPMorgan Chase filed three reports on Form 8-K during the</w:t>
      </w:r>
    </w:p>
    <w:p>
      <w:pPr>
        <w:spacing w:after="0" w:line="2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quarter ended June 30, 2001, as follows:</w:t>
      </w:r>
    </w:p>
    <w:p>
      <w:pPr>
        <w:spacing w:after="0" w:line="140"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Form 8-K dated April 5, 2001: JPMorgan Chase disclosed a</w:t>
      </w:r>
    </w:p>
    <w:p>
      <w:pPr>
        <w:spacing w:after="0" w:line="2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summary of the performance of the direct private equity</w:t>
      </w:r>
    </w:p>
    <w:p>
      <w:pPr>
        <w:ind w:left="1500"/>
        <w:spacing w:after="0"/>
        <w:rPr>
          <w:sz w:val="20"/>
          <w:szCs w:val="20"/>
          <w:color w:val="auto"/>
        </w:rPr>
      </w:pPr>
      <w:r>
        <w:rPr>
          <w:rFonts w:ascii="Courier New" w:cs="Courier New" w:eastAsia="Courier New" w:hAnsi="Courier New"/>
          <w:sz w:val="15"/>
          <w:szCs w:val="15"/>
          <w:color w:val="auto"/>
        </w:rPr>
        <w:t>investments of JPMorgan Partners.</w:t>
      </w:r>
    </w:p>
    <w:p>
      <w:pPr>
        <w:spacing w:after="0" w:line="140" w:lineRule="exact"/>
        <w:rPr>
          <w:sz w:val="20"/>
          <w:szCs w:val="20"/>
          <w:color w:val="auto"/>
        </w:rPr>
      </w:pPr>
    </w:p>
    <w:p>
      <w:pPr>
        <w:ind w:left="1500" w:right="3399"/>
        <w:spacing w:after="0" w:line="344" w:lineRule="auto"/>
        <w:rPr>
          <w:sz w:val="20"/>
          <w:szCs w:val="20"/>
          <w:color w:val="auto"/>
        </w:rPr>
      </w:pPr>
      <w:r>
        <w:rPr>
          <w:rFonts w:ascii="Courier New" w:cs="Courier New" w:eastAsia="Courier New" w:hAnsi="Courier New"/>
          <w:sz w:val="15"/>
          <w:szCs w:val="15"/>
          <w:color w:val="auto"/>
        </w:rPr>
        <w:t>Form 8-K dated April 18, 2001: JPMorgan Chase announced first quarter 2001 results.</w:t>
      </w:r>
    </w:p>
    <w:p>
      <w:pPr>
        <w:spacing w:after="0" w:line="17" w:lineRule="exact"/>
        <w:rPr>
          <w:sz w:val="20"/>
          <w:szCs w:val="20"/>
          <w:color w:val="auto"/>
        </w:rPr>
      </w:pPr>
    </w:p>
    <w:p>
      <w:pPr>
        <w:ind w:left="1500" w:right="3499"/>
        <w:spacing w:after="0" w:line="290" w:lineRule="auto"/>
        <w:rPr>
          <w:sz w:val="20"/>
          <w:szCs w:val="20"/>
          <w:color w:val="auto"/>
        </w:rPr>
      </w:pPr>
      <w:r>
        <w:rPr>
          <w:rFonts w:ascii="Courier New" w:cs="Courier New" w:eastAsia="Courier New" w:hAnsi="Courier New"/>
          <w:sz w:val="15"/>
          <w:szCs w:val="15"/>
          <w:color w:val="auto"/>
        </w:rPr>
        <w:t>Form 8-K dated June 5, 2001: JPMorgan Chase announced its business outlook at an investor presentation held on June 5, 2001.</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6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55</w:t>
      </w: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3" w:lineRule="exact"/>
        <w:rPr>
          <w:sz w:val="20"/>
          <w:szCs w:val="20"/>
          <w:color w:val="auto"/>
        </w:rPr>
      </w:pPr>
    </w:p>
    <w:p>
      <w:pPr>
        <w:jc w:val="both"/>
        <w:ind w:left="80" w:right="3579"/>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J.P. MORGAN CHASE &amp; CO.</w:t>
      </w:r>
    </w:p>
    <w:p>
      <w:pPr>
        <w:spacing w:after="0" w:line="2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ind w:left="402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9959"/>
          </w:cols>
          <w:pgMar w:left="500" w:top="2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left="80" w:right="340"/>
        <w:spacing w:after="0" w:line="385" w:lineRule="auto"/>
        <w:rPr>
          <w:sz w:val="20"/>
          <w:szCs w:val="20"/>
          <w:color w:val="auto"/>
        </w:rPr>
      </w:pPr>
      <w:r>
        <w:rPr>
          <w:rFonts w:ascii="Courier New" w:cs="Courier New" w:eastAsia="Courier New" w:hAnsi="Courier New"/>
          <w:sz w:val="14"/>
          <w:szCs w:val="14"/>
          <w:color w:val="auto"/>
        </w:rPr>
        <w:t>Date August 14, 2001 ---------------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Joseph L. Sclafani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Joseph L. Sclafani</w:t>
      </w:r>
    </w:p>
    <w:p>
      <w:pPr>
        <w:spacing w:after="0" w:line="140" w:lineRule="exact"/>
        <w:rPr>
          <w:sz w:val="20"/>
          <w:szCs w:val="20"/>
          <w:color w:val="auto"/>
        </w:rPr>
      </w:pPr>
    </w:p>
    <w:p>
      <w:pPr>
        <w:sectPr>
          <w:pgSz w:w="11900" w:h="16838" w:orient="portrait"/>
          <w:cols w:equalWidth="0" w:num="3">
            <w:col w:w="2160" w:space="720"/>
            <w:col w:w="180" w:space="340"/>
            <w:col w:w="6559"/>
          </w:cols>
          <w:pgMar w:left="500" w:top="261"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4"/>
          <w:szCs w:val="14"/>
          <w:color w:val="auto"/>
        </w:rPr>
        <w:t>Executive Vice President and Controller</w:t>
      </w:r>
    </w:p>
    <w:p>
      <w:pPr>
        <w:spacing w:after="0" w:line="3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2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959"/>
          </w:cols>
          <w:pgMar w:left="500" w:top="261"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56</w:t>
      </w:r>
    </w:p>
    <w:p>
      <w:pPr>
        <w:spacing w:after="0" w:line="2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APPENDIX 1</w:t>
      </w:r>
    </w:p>
    <w:p>
      <w:pPr>
        <w:spacing w:after="0" w:line="309"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Pursuant to Item 304 of Regulation S-T, the following is a description of the graphic image material included in the foregoing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GRAPHIC</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PAGE</w:t>
            </w:r>
          </w:p>
        </w:tc>
        <w:tc>
          <w:tcPr>
            <w:tcW w:w="11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7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680" w:right="3499" w:hanging="1320"/>
        <w:spacing w:after="0" w:line="290" w:lineRule="auto"/>
        <w:tabs>
          <w:tab w:leader="none" w:pos="115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41Bar Graph entitled "Daily Market Risk-Related Revenues For Six Months Ending June 30, 2001" presenting the following information:</w:t>
      </w:r>
    </w:p>
    <w:p>
      <w:pPr>
        <w:spacing w:after="0" w:line="200" w:lineRule="exact"/>
        <w:rPr>
          <w:sz w:val="20"/>
          <w:szCs w:val="20"/>
          <w:color w:val="auto"/>
        </w:rPr>
      </w:pPr>
    </w:p>
    <w:p>
      <w:pPr>
        <w:spacing w:after="0" w:line="360"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0&gt;&lt;10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10&gt;&lt;20</w:t>
            </w:r>
          </w:p>
        </w:tc>
        <w:tc>
          <w:tcPr>
            <w:tcW w:w="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20&gt;&lt;30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30&gt;&lt;40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40&gt;&lt;50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50&gt;&lt;60</w:t>
            </w:r>
          </w:p>
        </w:tc>
        <w:tc>
          <w:tcPr>
            <w:tcW w:w="0" w:type="dxa"/>
            <w:vAlign w:val="bottom"/>
          </w:tcPr>
          <w:p>
            <w:pPr>
              <w:spacing w:after="0"/>
              <w:rPr>
                <w:sz w:val="1"/>
                <w:szCs w:val="1"/>
                <w:color w:val="auto"/>
              </w:rPr>
            </w:pPr>
          </w:p>
        </w:tc>
      </w:tr>
      <w:tr>
        <w:trPr>
          <w:trHeight w:val="245"/>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820" w:type="dxa"/>
            <w:vAlign w:val="bottom"/>
          </w:tcPr>
          <w:p>
            <w:pPr>
              <w:spacing w:after="0"/>
              <w:rPr>
                <w:sz w:val="20"/>
                <w:szCs w:val="20"/>
                <w:color w:val="auto"/>
              </w:rPr>
            </w:pPr>
            <w:r>
              <w:rPr>
                <w:rFonts w:ascii="Courier New" w:cs="Courier New" w:eastAsia="Courier New" w:hAnsi="Courier New"/>
                <w:sz w:val="15"/>
                <w:szCs w:val="15"/>
                <w:color w:val="auto"/>
              </w:rPr>
              <w:t>Number of trading</w:t>
            </w: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20" w:type="dxa"/>
            <w:vAlign w:val="bottom"/>
          </w:tcPr>
          <w:p>
            <w:pPr>
              <w:spacing w:after="0" w:line="168" w:lineRule="exact"/>
              <w:rPr>
                <w:sz w:val="20"/>
                <w:szCs w:val="20"/>
                <w:color w:val="auto"/>
              </w:rPr>
            </w:pPr>
            <w:r>
              <w:rPr>
                <w:rFonts w:ascii="Courier New" w:cs="Courier New" w:eastAsia="Courier New" w:hAnsi="Courier New"/>
                <w:sz w:val="15"/>
                <w:szCs w:val="15"/>
                <w:color w:val="auto"/>
              </w:rPr>
              <w:t>days revenue was</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Pr>
          <w:p>
            <w:pPr>
              <w:spacing w:after="0" w:line="168" w:lineRule="exact"/>
              <w:rPr>
                <w:sz w:val="20"/>
                <w:szCs w:val="20"/>
                <w:color w:val="auto"/>
              </w:rPr>
            </w:pPr>
            <w:r>
              <w:rPr>
                <w:rFonts w:ascii="Courier New" w:cs="Courier New" w:eastAsia="Courier New" w:hAnsi="Courier New"/>
                <w:sz w:val="15"/>
                <w:szCs w:val="15"/>
                <w:color w:val="auto"/>
              </w:rPr>
              <w:t>within the above</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prescribed positive</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8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16</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45"/>
        </w:trPr>
        <w:tc>
          <w:tcPr>
            <w:tcW w:w="1820" w:type="dxa"/>
            <w:vAlign w:val="bottom"/>
          </w:tcPr>
          <w:p>
            <w:pPr>
              <w:spacing w:after="0"/>
              <w:rPr>
                <w:sz w:val="20"/>
                <w:szCs w:val="20"/>
                <w:color w:val="auto"/>
              </w:rPr>
            </w:pPr>
            <w:r>
              <w:rPr>
                <w:rFonts w:ascii="Courier New" w:cs="Courier New" w:eastAsia="Courier New" w:hAnsi="Courier New"/>
                <w:sz w:val="15"/>
                <w:szCs w:val="15"/>
                <w:color w:val="auto"/>
              </w:rPr>
              <w:t>range</w:t>
            </w:r>
          </w:p>
        </w:tc>
        <w:tc>
          <w:tcPr>
            <w:tcW w:w="8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8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60&gt;&lt;70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70&gt;&lt;80</w:t>
            </w:r>
          </w:p>
        </w:tc>
        <w:tc>
          <w:tcPr>
            <w:tcW w:w="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80&gt;&lt;90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90&gt;&lt;100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100&gt;&lt;110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over 110</w:t>
            </w:r>
          </w:p>
        </w:tc>
        <w:tc>
          <w:tcPr>
            <w:tcW w:w="0" w:type="dxa"/>
            <w:vAlign w:val="bottom"/>
          </w:tcPr>
          <w:p>
            <w:pPr>
              <w:spacing w:after="0"/>
              <w:rPr>
                <w:sz w:val="1"/>
                <w:szCs w:val="1"/>
                <w:color w:val="auto"/>
              </w:rPr>
            </w:pPr>
          </w:p>
        </w:tc>
      </w:tr>
      <w:tr>
        <w:trPr>
          <w:trHeight w:val="245"/>
        </w:trPr>
        <w:tc>
          <w:tcPr>
            <w:tcW w:w="1820" w:type="dxa"/>
            <w:vAlign w:val="bottom"/>
          </w:tcPr>
          <w:p>
            <w:pPr>
              <w:spacing w:after="0"/>
              <w:rPr>
                <w:sz w:val="21"/>
                <w:szCs w:val="21"/>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820" w:type="dxa"/>
            <w:vAlign w:val="bottom"/>
          </w:tcPr>
          <w:p>
            <w:pPr>
              <w:spacing w:after="0"/>
              <w:rPr>
                <w:sz w:val="24"/>
                <w:szCs w:val="24"/>
                <w:color w:val="auto"/>
              </w:rPr>
            </w:pPr>
          </w:p>
        </w:tc>
        <w:tc>
          <w:tcPr>
            <w:tcW w:w="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1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0&gt;&lt;(10) (10)&gt;&lt;(20)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(20)&gt;&lt;(30)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Over (30)</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0"/>
                <w:szCs w:val="20"/>
                <w:color w:val="auto"/>
              </w:rPr>
            </w:pPr>
            <w:r>
              <w:rPr>
                <w:rFonts w:ascii="Courier New" w:cs="Courier New" w:eastAsia="Courier New" w:hAnsi="Courier New"/>
                <w:sz w:val="15"/>
                <w:szCs w:val="15"/>
                <w:color w:val="auto"/>
              </w:rPr>
              <w:t>Number of trading</w:t>
            </w: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days revenue was</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within the above</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prescribed negative</w:t>
            </w: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w:t>
            </w: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10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0"/>
                <w:szCs w:val="20"/>
                <w:color w:val="auto"/>
              </w:rPr>
            </w:pPr>
            <w:r>
              <w:rPr>
                <w:rFonts w:ascii="Courier New" w:cs="Courier New" w:eastAsia="Courier New" w:hAnsi="Courier New"/>
                <w:sz w:val="15"/>
                <w:szCs w:val="15"/>
                <w:color w:val="auto"/>
              </w:rPr>
              <w:t>range</w:t>
            </w:r>
          </w:p>
        </w:tc>
        <w:tc>
          <w:tcPr>
            <w:tcW w:w="8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Average Daily Revenue: $41 million</w:t>
      </w:r>
    </w:p>
    <w:p>
      <w:pPr>
        <w:sectPr>
          <w:pgSz w:w="11900" w:h="16838" w:orient="portrait"/>
          <w:cols w:equalWidth="0" w:num="1">
            <w:col w:w="10239"/>
          </w:cols>
          <w:pgMar w:left="220" w:top="26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INDEX TO EXHIBITS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SEQUENTIALLY NUMBERED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240" w:type="dxa"/>
            <w:vAlign w:val="bottom"/>
          </w:tcPr>
          <w:p>
            <w:pPr>
              <w:ind w:left="920"/>
              <w:spacing w:after="0"/>
              <w:rPr>
                <w:sz w:val="20"/>
                <w:szCs w:val="20"/>
                <w:color w:val="auto"/>
              </w:rPr>
            </w:pPr>
            <w:r>
              <w:rPr>
                <w:rFonts w:ascii="Courier New" w:cs="Courier New" w:eastAsia="Courier New" w:hAnsi="Courier New"/>
                <w:sz w:val="15"/>
                <w:szCs w:val="15"/>
                <w:color w:val="auto"/>
              </w:rPr>
              <w:t>EXHIBITS</w:t>
            </w:r>
          </w:p>
        </w:tc>
        <w:tc>
          <w:tcPr>
            <w:tcW w:w="2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 AT WHICH LOCATED</w:t>
            </w: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11</w:t>
            </w:r>
          </w:p>
        </w:tc>
        <w:tc>
          <w:tcPr>
            <w:tcW w:w="3240" w:type="dxa"/>
            <w:vAlign w:val="bottom"/>
          </w:tcPr>
          <w:p>
            <w:pPr>
              <w:ind w:left="480"/>
              <w:spacing w:after="0"/>
              <w:rPr>
                <w:sz w:val="20"/>
                <w:szCs w:val="20"/>
                <w:color w:val="auto"/>
              </w:rPr>
            </w:pPr>
            <w:r>
              <w:rPr>
                <w:rFonts w:ascii="Courier New" w:cs="Courier New" w:eastAsia="Courier New" w:hAnsi="Courier New"/>
                <w:sz w:val="15"/>
                <w:szCs w:val="15"/>
                <w:color w:val="auto"/>
              </w:rPr>
              <w:t>Computation of Earnings</w:t>
            </w:r>
          </w:p>
        </w:tc>
        <w:tc>
          <w:tcPr>
            <w:tcW w:w="2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57</w:t>
            </w:r>
          </w:p>
        </w:tc>
      </w:tr>
      <w:tr>
        <w:trPr>
          <w:trHeight w:val="245"/>
        </w:trPr>
        <w:tc>
          <w:tcPr>
            <w:tcW w:w="1540" w:type="dxa"/>
            <w:vAlign w:val="bottom"/>
          </w:tcPr>
          <w:p>
            <w:pPr>
              <w:spacing w:after="0"/>
              <w:rPr>
                <w:sz w:val="21"/>
                <w:szCs w:val="21"/>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5"/>
                <w:szCs w:val="15"/>
                <w:color w:val="auto"/>
              </w:rPr>
              <w:t>per Common Share</w:t>
            </w:r>
          </w:p>
        </w:tc>
        <w:tc>
          <w:tcPr>
            <w:tcW w:w="2320" w:type="dxa"/>
            <w:vAlign w:val="bottom"/>
          </w:tcPr>
          <w:p>
            <w:pPr>
              <w:spacing w:after="0"/>
              <w:rPr>
                <w:sz w:val="21"/>
                <w:szCs w:val="21"/>
                <w:color w:val="auto"/>
              </w:rPr>
            </w:pPr>
          </w:p>
        </w:tc>
      </w:tr>
      <w:tr>
        <w:trPr>
          <w:trHeight w:val="259"/>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12(a)</w:t>
            </w:r>
          </w:p>
        </w:tc>
        <w:tc>
          <w:tcPr>
            <w:tcW w:w="3240" w:type="dxa"/>
            <w:vAlign w:val="bottom"/>
          </w:tcPr>
          <w:p>
            <w:pPr>
              <w:ind w:left="480"/>
              <w:spacing w:after="0"/>
              <w:rPr>
                <w:sz w:val="20"/>
                <w:szCs w:val="20"/>
                <w:color w:val="auto"/>
              </w:rPr>
            </w:pPr>
            <w:r>
              <w:rPr>
                <w:rFonts w:ascii="Courier New" w:cs="Courier New" w:eastAsia="Courier New" w:hAnsi="Courier New"/>
                <w:sz w:val="15"/>
                <w:szCs w:val="15"/>
                <w:color w:val="auto"/>
              </w:rPr>
              <w:t>Computation of Ratio of</w:t>
            </w:r>
          </w:p>
        </w:tc>
        <w:tc>
          <w:tcPr>
            <w:tcW w:w="2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58</w:t>
            </w:r>
          </w:p>
        </w:tc>
      </w:tr>
      <w:tr>
        <w:trPr>
          <w:trHeight w:val="245"/>
        </w:trPr>
        <w:tc>
          <w:tcPr>
            <w:tcW w:w="1540" w:type="dxa"/>
            <w:vAlign w:val="bottom"/>
          </w:tcPr>
          <w:p>
            <w:pPr>
              <w:spacing w:after="0"/>
              <w:rPr>
                <w:sz w:val="21"/>
                <w:szCs w:val="21"/>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5"/>
                <w:szCs w:val="15"/>
                <w:color w:val="auto"/>
              </w:rPr>
              <w:t>Earnings to Fixed Charges</w:t>
            </w:r>
          </w:p>
        </w:tc>
        <w:tc>
          <w:tcPr>
            <w:tcW w:w="2320" w:type="dxa"/>
            <w:vAlign w:val="bottom"/>
          </w:tcPr>
          <w:p>
            <w:pPr>
              <w:spacing w:after="0"/>
              <w:rPr>
                <w:sz w:val="21"/>
                <w:szCs w:val="21"/>
                <w:color w:val="auto"/>
              </w:rPr>
            </w:pPr>
          </w:p>
        </w:tc>
      </w:tr>
      <w:tr>
        <w:trPr>
          <w:trHeight w:val="259"/>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12(b)</w:t>
            </w:r>
          </w:p>
        </w:tc>
        <w:tc>
          <w:tcPr>
            <w:tcW w:w="3240" w:type="dxa"/>
            <w:vAlign w:val="bottom"/>
          </w:tcPr>
          <w:p>
            <w:pPr>
              <w:ind w:left="480"/>
              <w:spacing w:after="0"/>
              <w:rPr>
                <w:sz w:val="20"/>
                <w:szCs w:val="20"/>
                <w:color w:val="auto"/>
              </w:rPr>
            </w:pPr>
            <w:r>
              <w:rPr>
                <w:rFonts w:ascii="Courier New" w:cs="Courier New" w:eastAsia="Courier New" w:hAnsi="Courier New"/>
                <w:sz w:val="15"/>
                <w:szCs w:val="15"/>
                <w:color w:val="auto"/>
              </w:rPr>
              <w:t>Computation of Ratio of</w:t>
            </w:r>
          </w:p>
        </w:tc>
        <w:tc>
          <w:tcPr>
            <w:tcW w:w="2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59</w:t>
            </w:r>
          </w:p>
        </w:tc>
      </w:tr>
      <w:tr>
        <w:trPr>
          <w:trHeight w:val="168"/>
        </w:trPr>
        <w:tc>
          <w:tcPr>
            <w:tcW w:w="1540" w:type="dxa"/>
            <w:vAlign w:val="bottom"/>
          </w:tcPr>
          <w:p>
            <w:pPr>
              <w:spacing w:after="0"/>
              <w:rPr>
                <w:sz w:val="14"/>
                <w:szCs w:val="14"/>
                <w:color w:val="auto"/>
              </w:rPr>
            </w:pPr>
          </w:p>
        </w:tc>
        <w:tc>
          <w:tcPr>
            <w:tcW w:w="32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Earnings to Fixed Charges</w:t>
            </w:r>
          </w:p>
        </w:tc>
        <w:tc>
          <w:tcPr>
            <w:tcW w:w="232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32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and Preferred Stock Dividend</w:t>
            </w:r>
          </w:p>
        </w:tc>
        <w:tc>
          <w:tcPr>
            <w:tcW w:w="2320" w:type="dxa"/>
            <w:vAlign w:val="bottom"/>
          </w:tcPr>
          <w:p>
            <w:pPr>
              <w:spacing w:after="0"/>
              <w:rPr>
                <w:sz w:val="14"/>
                <w:szCs w:val="14"/>
                <w:color w:val="auto"/>
              </w:rPr>
            </w:pPr>
          </w:p>
        </w:tc>
      </w:tr>
      <w:tr>
        <w:trPr>
          <w:trHeight w:val="245"/>
        </w:trPr>
        <w:tc>
          <w:tcPr>
            <w:tcW w:w="1540" w:type="dxa"/>
            <w:vAlign w:val="bottom"/>
          </w:tcPr>
          <w:p>
            <w:pPr>
              <w:spacing w:after="0"/>
              <w:rPr>
                <w:sz w:val="21"/>
                <w:szCs w:val="21"/>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5"/>
                <w:szCs w:val="15"/>
                <w:color w:val="auto"/>
              </w:rPr>
              <w:t>Requirements</w:t>
            </w:r>
          </w:p>
        </w:tc>
        <w:tc>
          <w:tcPr>
            <w:tcW w:w="2320" w:type="dxa"/>
            <w:vAlign w:val="bottom"/>
          </w:tcPr>
          <w:p>
            <w:pPr>
              <w:spacing w:after="0"/>
              <w:rPr>
                <w:sz w:val="21"/>
                <w:szCs w:val="21"/>
                <w:color w:val="auto"/>
              </w:rPr>
            </w:pPr>
          </w:p>
        </w:tc>
      </w:tr>
      <w:tr>
        <w:trPr>
          <w:trHeight w:val="505"/>
        </w:trPr>
        <w:tc>
          <w:tcPr>
            <w:tcW w:w="1540" w:type="dxa"/>
            <w:vAlign w:val="bottom"/>
          </w:tcPr>
          <w:p>
            <w:pPr>
              <w:spacing w:after="0"/>
              <w:rPr>
                <w:sz w:val="24"/>
                <w:szCs w:val="24"/>
                <w:color w:val="auto"/>
              </w:rPr>
            </w:pPr>
          </w:p>
        </w:tc>
        <w:tc>
          <w:tcPr>
            <w:tcW w:w="3240" w:type="dxa"/>
            <w:vAlign w:val="bottom"/>
          </w:tcPr>
          <w:p>
            <w:pPr>
              <w:ind w:left="1800"/>
              <w:spacing w:after="0"/>
              <w:rPr>
                <w:sz w:val="20"/>
                <w:szCs w:val="20"/>
                <w:color w:val="auto"/>
              </w:rPr>
            </w:pPr>
            <w:r>
              <w:rPr>
                <w:rFonts w:ascii="Courier New" w:cs="Courier New" w:eastAsia="Courier New" w:hAnsi="Courier New"/>
                <w:sz w:val="15"/>
                <w:szCs w:val="15"/>
                <w:color w:val="auto"/>
              </w:rPr>
              <w:t>-56-</w:t>
            </w:r>
          </w:p>
        </w:tc>
        <w:tc>
          <w:tcPr>
            <w:tcW w:w="2320" w:type="dxa"/>
            <w:vAlign w:val="bottom"/>
          </w:tcPr>
          <w:p>
            <w:pPr>
              <w:spacing w:after="0"/>
              <w:rPr>
                <w:sz w:val="24"/>
                <w:szCs w:val="24"/>
                <w:color w:val="auto"/>
              </w:rPr>
            </w:pPr>
          </w:p>
        </w:tc>
      </w:tr>
    </w:tbl>
    <w:p>
      <w:pPr>
        <w:sectPr>
          <w:pgSz w:w="11900" w:h="16838" w:orient="portrait"/>
          <w:cols w:equalWidth="0" w:num="1">
            <w:col w:w="10239"/>
          </w:cols>
          <w:pgMar w:left="220" w:top="26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11</w:t>
      </w:r>
    </w:p>
    <w:p>
      <w:pPr>
        <w:ind w:left="2540"/>
        <w:spacing w:after="0" w:line="237" w:lineRule="auto"/>
        <w:rPr>
          <w:sz w:val="20"/>
          <w:szCs w:val="20"/>
          <w:color w:val="auto"/>
        </w:rPr>
      </w:pPr>
      <w:r>
        <w:rPr>
          <w:rFonts w:ascii="Courier New" w:cs="Courier New" w:eastAsia="Courier New" w:hAnsi="Courier New"/>
          <w:sz w:val="15"/>
          <w:szCs w:val="15"/>
          <w:color w:val="auto"/>
        </w:rPr>
        <w:t>J.P. MORGAN CHASE &amp; CO.</w:t>
      </w:r>
    </w:p>
    <w:p>
      <w:pPr>
        <w:ind w:left="1760"/>
        <w:spacing w:after="0"/>
        <w:rPr>
          <w:sz w:val="20"/>
          <w:szCs w:val="20"/>
          <w:color w:val="auto"/>
        </w:rPr>
      </w:pPr>
      <w:r>
        <w:rPr>
          <w:rFonts w:ascii="Courier New" w:cs="Courier New" w:eastAsia="Courier New" w:hAnsi="Courier New"/>
          <w:sz w:val="15"/>
          <w:szCs w:val="15"/>
          <w:color w:val="auto"/>
        </w:rPr>
        <w:t>COMPUTATION OF EARNINGS PER COMMON SHARE</w:t>
      </w:r>
    </w:p>
    <w:p>
      <w:pPr>
        <w:spacing w:after="0" w:line="309"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For a discussion of the computation of basic and diluted earnings per common share, see Note 17 of JPMorgan Chase's 2000 Annual Report.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 millions, except per share amounts)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MONTHS ENDED</w:t>
            </w:r>
          </w:p>
        </w:tc>
        <w:tc>
          <w:tcPr>
            <w:tcW w:w="2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9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5"/>
                <w:szCs w:val="25"/>
                <w:color w:val="auto"/>
                <w:w w:val="74"/>
                <w:vertAlign w:val="subscript"/>
              </w:rPr>
              <w:t>2001</w:t>
            </w:r>
          </w:p>
        </w:tc>
        <w:tc>
          <w:tcPr>
            <w:tcW w:w="14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2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20" w:type="dxa"/>
            <w:vAlign w:val="bottom"/>
          </w:tcPr>
          <w:p>
            <w:pPr>
              <w:spacing w:after="0"/>
              <w:rPr>
                <w:sz w:val="22"/>
                <w:szCs w:val="22"/>
                <w:color w:val="auto"/>
              </w:rPr>
            </w:pPr>
          </w:p>
        </w:tc>
        <w:tc>
          <w:tcPr>
            <w:tcW w:w="172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80" w:hanging="170"/>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BASIC EARNINGS PER SHARE</w:t>
      </w:r>
    </w:p>
    <w:p>
      <w:pPr>
        <w:ind w:left="180" w:hanging="170"/>
        <w:spacing w:after="0" w:line="237" w:lineRule="auto"/>
        <w:tabs>
          <w:tab w:leader="none" w:pos="1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3"/>
        </w:trPr>
        <w:tc>
          <w:tcPr>
            <w:tcW w:w="5260" w:type="dxa"/>
            <w:vAlign w:val="bottom"/>
          </w:tcPr>
          <w:p>
            <w:pPr>
              <w:spacing w:after="0" w:line="143" w:lineRule="exact"/>
              <w:rPr>
                <w:sz w:val="20"/>
                <w:szCs w:val="20"/>
                <w:color w:val="auto"/>
              </w:rPr>
            </w:pPr>
            <w:r>
              <w:rPr>
                <w:rFonts w:ascii="Courier New" w:cs="Courier New" w:eastAsia="Courier New" w:hAnsi="Courier New"/>
                <w:sz w:val="15"/>
                <w:szCs w:val="15"/>
                <w:color w:val="auto"/>
              </w:rPr>
              <w:t>Earnings:</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378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1,633</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1,577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3,621</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Preferred Stock Dividends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Applicable to Common Stock</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3,570</w:t>
            </w:r>
          </w:p>
        </w:tc>
        <w:tc>
          <w:tcPr>
            <w:tcW w:w="0" w:type="dxa"/>
            <w:vAlign w:val="bottom"/>
          </w:tcPr>
          <w:p>
            <w:pPr>
              <w:spacing w:after="0"/>
              <w:rPr>
                <w:sz w:val="1"/>
                <w:szCs w:val="1"/>
                <w:color w:val="auto"/>
              </w:rPr>
            </w:pPr>
          </w:p>
        </w:tc>
      </w:tr>
      <w:tr>
        <w:trPr>
          <w:trHeight w:val="245"/>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Shares:</w:t>
            </w:r>
          </w:p>
        </w:tc>
        <w:tc>
          <w:tcPr>
            <w:tcW w:w="13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2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1,978.4</w:t>
            </w:r>
          </w:p>
        </w:tc>
        <w:tc>
          <w:tcPr>
            <w:tcW w:w="320" w:type="dxa"/>
            <w:vAlign w:val="bottom"/>
          </w:tcPr>
          <w:p>
            <w:pPr>
              <w:spacing w:after="0"/>
              <w:rPr>
                <w:sz w:val="7"/>
                <w:szCs w:val="7"/>
                <w:color w:val="auto"/>
              </w:rPr>
            </w:pP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1,853.1</w:t>
            </w:r>
          </w:p>
        </w:tc>
        <w:tc>
          <w:tcPr>
            <w:tcW w:w="300" w:type="dxa"/>
            <w:vAlign w:val="bottom"/>
          </w:tcPr>
          <w:p>
            <w:pPr>
              <w:spacing w:after="0"/>
              <w:rPr>
                <w:sz w:val="7"/>
                <w:szCs w:val="7"/>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1,972.6</w:t>
            </w:r>
          </w:p>
        </w:tc>
        <w:tc>
          <w:tcPr>
            <w:tcW w:w="3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1,858.9</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0"/>
                <w:szCs w:val="20"/>
                <w:color w:val="auto"/>
              </w:rPr>
            </w:pPr>
            <w:r>
              <w:rPr>
                <w:rFonts w:ascii="Courier New" w:cs="Courier New" w:eastAsia="Courier New" w:hAnsi="Courier New"/>
                <w:sz w:val="15"/>
                <w:szCs w:val="15"/>
                <w:color w:val="auto"/>
              </w:rPr>
              <w:t>Basic Average Common Shares Outstanding</w:t>
            </w:r>
          </w:p>
        </w:tc>
        <w:tc>
          <w:tcPr>
            <w:tcW w:w="4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Income per Share (a)</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0.87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3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359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1,607</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1,537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3,570</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Applicable to Common Stock</w:t>
            </w:r>
          </w:p>
        </w:tc>
        <w:tc>
          <w:tcPr>
            <w:tcW w:w="4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Shares:</w:t>
            </w:r>
          </w:p>
        </w:tc>
        <w:tc>
          <w:tcPr>
            <w:tcW w:w="13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2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1,978.4</w:t>
            </w:r>
          </w:p>
        </w:tc>
        <w:tc>
          <w:tcPr>
            <w:tcW w:w="320" w:type="dxa"/>
            <w:vAlign w:val="bottom"/>
          </w:tcPr>
          <w:p>
            <w:pPr>
              <w:spacing w:after="0"/>
              <w:rPr>
                <w:sz w:val="7"/>
                <w:szCs w:val="7"/>
                <w:color w:val="auto"/>
              </w:rPr>
            </w:pP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1,853.1</w:t>
            </w:r>
          </w:p>
        </w:tc>
        <w:tc>
          <w:tcPr>
            <w:tcW w:w="300" w:type="dxa"/>
            <w:vAlign w:val="bottom"/>
          </w:tcPr>
          <w:p>
            <w:pPr>
              <w:spacing w:after="0"/>
              <w:rPr>
                <w:sz w:val="7"/>
                <w:szCs w:val="7"/>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1,972.6</w:t>
            </w:r>
          </w:p>
        </w:tc>
        <w:tc>
          <w:tcPr>
            <w:tcW w:w="3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1,858.9</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Average Common Shares Outstanding</w:t>
            </w:r>
          </w:p>
        </w:tc>
        <w:tc>
          <w:tcPr>
            <w:tcW w:w="4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Shares Issuable upon Exercise of Stock Options</w:t>
            </w:r>
          </w:p>
        </w:tc>
        <w:tc>
          <w:tcPr>
            <w:tcW w:w="440" w:type="dxa"/>
            <w:vAlign w:val="bottom"/>
          </w:tcPr>
          <w:p>
            <w:pPr>
              <w:spacing w:after="0"/>
              <w:rPr>
                <w:sz w:val="14"/>
                <w:szCs w:val="14"/>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55.2</w:t>
            </w:r>
          </w:p>
        </w:tc>
        <w:tc>
          <w:tcPr>
            <w:tcW w:w="320" w:type="dxa"/>
            <w:vAlign w:val="bottom"/>
          </w:tcPr>
          <w:p>
            <w:pPr>
              <w:spacing w:after="0"/>
              <w:rPr>
                <w:sz w:val="14"/>
                <w:szCs w:val="14"/>
                <w:color w:val="auto"/>
              </w:rPr>
            </w:pP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86.1</w:t>
            </w:r>
          </w:p>
        </w:tc>
        <w:tc>
          <w:tcPr>
            <w:tcW w:w="30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60.4</w:t>
            </w: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83.4</w:t>
            </w:r>
          </w:p>
        </w:tc>
        <w:tc>
          <w:tcPr>
            <w:tcW w:w="0" w:type="dxa"/>
            <w:vAlign w:val="bottom"/>
          </w:tcPr>
          <w:p>
            <w:pPr>
              <w:spacing w:after="0"/>
              <w:rPr>
                <w:sz w:val="1"/>
                <w:szCs w:val="1"/>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Dilutive Effect</w:t>
            </w:r>
          </w:p>
        </w:tc>
        <w:tc>
          <w:tcPr>
            <w:tcW w:w="4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Average Common Shares Outstanding Assuming Dilution</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2,033.6</w:t>
            </w:r>
          </w:p>
        </w:tc>
        <w:tc>
          <w:tcPr>
            <w:tcW w:w="32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1,939.2</w:t>
            </w:r>
          </w:p>
        </w:tc>
        <w:tc>
          <w:tcPr>
            <w:tcW w:w="30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2,033.0</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1,942.3</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Income per Share (a)</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0.83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3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360" w:right="3579" w:hanging="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Basic and diluted earnings per share have been reduced by $(0.01) in the first six months of 2001 due to the impact of the adoption of SFAS 133 relating to the accounting for derivative instruments and hedging activities.</w:t>
      </w:r>
    </w:p>
    <w:p>
      <w:pPr>
        <w:spacing w:after="0" w:line="1"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115"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12(a)</w:t>
      </w:r>
    </w:p>
    <w:p>
      <w:pPr>
        <w:ind w:left="2540"/>
        <w:spacing w:after="0"/>
        <w:rPr>
          <w:sz w:val="20"/>
          <w:szCs w:val="20"/>
          <w:color w:val="auto"/>
        </w:rPr>
      </w:pPr>
      <w:r>
        <w:rPr>
          <w:rFonts w:ascii="Courier New" w:cs="Courier New" w:eastAsia="Courier New" w:hAnsi="Courier New"/>
          <w:sz w:val="15"/>
          <w:szCs w:val="15"/>
          <w:color w:val="auto"/>
        </w:rPr>
        <w:t>J.P. MORGAN CHASE &amp; CO.</w:t>
      </w:r>
    </w:p>
    <w:p>
      <w:pPr>
        <w:spacing w:after="0" w:line="14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 w:type="dxa"/>
            <w:vAlign w:val="bottom"/>
          </w:tcPr>
          <w:p>
            <w:pPr>
              <w:spacing w:after="0"/>
              <w:rPr>
                <w:sz w:val="21"/>
                <w:szCs w:val="21"/>
                <w:color w:val="auto"/>
              </w:rPr>
            </w:pPr>
          </w:p>
        </w:tc>
        <w:tc>
          <w:tcPr>
            <w:tcW w:w="6180" w:type="dxa"/>
            <w:vAlign w:val="bottom"/>
          </w:tcPr>
          <w:p>
            <w:pPr>
              <w:ind w:left="1840"/>
              <w:spacing w:after="0"/>
              <w:rPr>
                <w:sz w:val="20"/>
                <w:szCs w:val="20"/>
                <w:color w:val="auto"/>
              </w:rPr>
            </w:pPr>
            <w:r>
              <w:rPr>
                <w:rFonts w:ascii="Courier New" w:cs="Courier New" w:eastAsia="Courier New" w:hAnsi="Courier New"/>
                <w:sz w:val="15"/>
                <w:szCs w:val="15"/>
                <w:color w:val="auto"/>
              </w:rPr>
              <w:t>(IN MILLIONS, EXCEPT RATIOS)</w:t>
            </w: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4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 2001</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EXCLUDING INTEREST ON DEPOSITS</w:t>
            </w: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2,465</w:t>
            </w:r>
          </w:p>
        </w:tc>
        <w:tc>
          <w:tcPr>
            <w:tcW w:w="0" w:type="dxa"/>
            <w:vAlign w:val="bottom"/>
          </w:tcPr>
          <w:p>
            <w:pPr>
              <w:spacing w:after="0"/>
              <w:rPr>
                <w:sz w:val="1"/>
                <w:szCs w:val="1"/>
                <w:color w:val="auto"/>
              </w:rPr>
            </w:pP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income taxes and effect of accounting change</w:t>
            </w:r>
          </w:p>
        </w:tc>
        <w:tc>
          <w:tcPr>
            <w:tcW w:w="1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180" w:type="dxa"/>
            <w:vAlign w:val="bottom"/>
          </w:tcPr>
          <w:p>
            <w:pPr>
              <w:spacing w:after="0"/>
              <w:rPr>
                <w:sz w:val="22"/>
                <w:szCs w:val="22"/>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7,692</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One-third of rents, net of income from subleases (a)</w:t>
            </w:r>
          </w:p>
        </w:tc>
        <w:tc>
          <w:tcPr>
            <w:tcW w:w="1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68"/>
        </w:trPr>
        <w:tc>
          <w:tcPr>
            <w:tcW w:w="6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fixed charges</w:t>
            </w:r>
          </w:p>
        </w:tc>
        <w:tc>
          <w:tcPr>
            <w:tcW w:w="1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6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7,807</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Less:</w:t>
            </w: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Equity in undistributed income of affiliates</w:t>
            </w:r>
          </w:p>
        </w:tc>
        <w:tc>
          <w:tcPr>
            <w:tcW w:w="118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taxes, effect of accounting change and fixed charges,</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10,211</w:t>
            </w:r>
          </w:p>
        </w:tc>
        <w:tc>
          <w:tcPr>
            <w:tcW w:w="0" w:type="dxa"/>
            <w:vAlign w:val="bottom"/>
          </w:tcPr>
          <w:p>
            <w:pPr>
              <w:spacing w:after="0"/>
              <w:rPr>
                <w:sz w:val="1"/>
                <w:szCs w:val="1"/>
                <w:color w:val="auto"/>
              </w:rPr>
            </w:pPr>
          </w:p>
        </w:tc>
      </w:tr>
      <w:tr>
        <w:trPr>
          <w:trHeight w:val="168"/>
        </w:trPr>
        <w:tc>
          <w:tcPr>
            <w:tcW w:w="6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excluding capitalized interest</w:t>
            </w:r>
          </w:p>
        </w:tc>
        <w:tc>
          <w:tcPr>
            <w:tcW w:w="1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as above</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7,807</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INCLUDING INTEREST ON DEPOSITS</w:t>
            </w: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7,807</w:t>
            </w:r>
          </w:p>
        </w:tc>
        <w:tc>
          <w:tcPr>
            <w:tcW w:w="0" w:type="dxa"/>
            <w:vAlign w:val="bottom"/>
          </w:tcPr>
          <w:p>
            <w:pPr>
              <w:spacing w:after="0"/>
              <w:rPr>
                <w:sz w:val="1"/>
                <w:szCs w:val="1"/>
                <w:color w:val="auto"/>
              </w:rPr>
            </w:pPr>
          </w:p>
        </w:tc>
      </w:tr>
      <w:tr>
        <w:trPr>
          <w:trHeight w:val="245"/>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as above</w:t>
            </w:r>
          </w:p>
        </w:tc>
        <w:tc>
          <w:tcPr>
            <w:tcW w:w="11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Interest on deposits</w:t>
            </w:r>
          </w:p>
        </w:tc>
        <w:tc>
          <w:tcPr>
            <w:tcW w:w="1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4,758</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Total fixed charges and interest on deposits</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12,565</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taxes, effect of accounting change and fixed charges,</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10,211</w:t>
            </w:r>
          </w:p>
        </w:tc>
        <w:tc>
          <w:tcPr>
            <w:tcW w:w="0" w:type="dxa"/>
            <w:vAlign w:val="bottom"/>
          </w:tcPr>
          <w:p>
            <w:pPr>
              <w:spacing w:after="0"/>
              <w:rPr>
                <w:sz w:val="1"/>
                <w:szCs w:val="1"/>
                <w:color w:val="auto"/>
              </w:rPr>
            </w:pPr>
          </w:p>
        </w:tc>
      </w:tr>
      <w:tr>
        <w:trPr>
          <w:trHeight w:val="245"/>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excluding capitalized interest, as above</w:t>
            </w:r>
          </w:p>
        </w:tc>
        <w:tc>
          <w:tcPr>
            <w:tcW w:w="11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Interest on deposits</w:t>
            </w:r>
          </w:p>
        </w:tc>
        <w:tc>
          <w:tcPr>
            <w:tcW w:w="1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4,758</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Total earnings before taxes, effect of accounting change,</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14,969</w:t>
            </w:r>
          </w:p>
        </w:tc>
        <w:tc>
          <w:tcPr>
            <w:tcW w:w="0" w:type="dxa"/>
            <w:vAlign w:val="bottom"/>
          </w:tcPr>
          <w:p>
            <w:pPr>
              <w:spacing w:after="0"/>
              <w:rPr>
                <w:sz w:val="1"/>
                <w:szCs w:val="1"/>
                <w:color w:val="auto"/>
              </w:rPr>
            </w:pPr>
          </w:p>
        </w:tc>
      </w:tr>
      <w:tr>
        <w:trPr>
          <w:trHeight w:val="168"/>
        </w:trPr>
        <w:tc>
          <w:tcPr>
            <w:tcW w:w="6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fixed charges and interest on deposits</w:t>
            </w:r>
          </w:p>
        </w:tc>
        <w:tc>
          <w:tcPr>
            <w:tcW w:w="1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80" w:hanging="170"/>
        <w:spacing w:after="0"/>
        <w:tabs>
          <w:tab w:leader="none" w:pos="1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The proportion deemed representative of the interest factor.</w:t>
      </w:r>
    </w:p>
    <w:p>
      <w:pPr>
        <w:ind w:left="180" w:hanging="170"/>
        <w:spacing w:after="0"/>
        <w:tabs>
          <w:tab w:leader="none" w:pos="1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115"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12(b)</w:t>
      </w:r>
    </w:p>
    <w:tbl>
      <w:tblPr>
        <w:tblLayout w:type="fixed"/>
        <w:tblInd w:w="1400" w:type="dxa"/>
        <w:tblCellMar>
          <w:top w:w="0" w:type="dxa"/>
          <w:left w:w="0" w:type="dxa"/>
          <w:bottom w:w="0" w:type="dxa"/>
          <w:right w:w="0" w:type="dxa"/>
        </w:tblCellMar>
      </w:tblPr>
      <w:tr>
        <w:trPr>
          <w:trHeight w:val="245"/>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J.P. MORGAN CHASE &amp;</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CO.</w:t>
            </w:r>
          </w:p>
        </w:tc>
      </w:tr>
      <w:tr>
        <w:trPr>
          <w:trHeight w:val="233"/>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6"/>
              </w:rPr>
              <w:t>COMPUTATION OF RATIO OF EARNINGS</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w w:val="95"/>
              </w:rPr>
              <w:t>TO FIXED CHARGES</w:t>
            </w:r>
          </w:p>
        </w:tc>
      </w:tr>
      <w:tr>
        <w:trPr>
          <w:trHeight w:val="194"/>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AND PREFERRED STOCK DIVIDEND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REQUIREMENTS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 w:type="dxa"/>
            <w:vAlign w:val="bottom"/>
          </w:tcPr>
          <w:p>
            <w:pPr>
              <w:spacing w:after="0"/>
              <w:rPr>
                <w:sz w:val="21"/>
                <w:szCs w:val="21"/>
                <w:color w:val="auto"/>
              </w:rPr>
            </w:pPr>
          </w:p>
        </w:tc>
        <w:tc>
          <w:tcPr>
            <w:tcW w:w="6260" w:type="dxa"/>
            <w:vAlign w:val="bottom"/>
          </w:tcPr>
          <w:p>
            <w:pPr>
              <w:ind w:left="1840"/>
              <w:spacing w:after="0"/>
              <w:rPr>
                <w:sz w:val="20"/>
                <w:szCs w:val="20"/>
                <w:color w:val="auto"/>
              </w:rPr>
            </w:pPr>
            <w:r>
              <w:rPr>
                <w:rFonts w:ascii="Courier New" w:cs="Courier New" w:eastAsia="Courier New" w:hAnsi="Courier New"/>
                <w:sz w:val="15"/>
                <w:szCs w:val="15"/>
                <w:color w:val="auto"/>
              </w:rPr>
              <w:t>(IN MILLIONS, EXCEPT RATIOS)</w:t>
            </w: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4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 2001</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EXCLUDING INTEREST ON DEPOSITS</w:t>
            </w: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vMerge w:val="restart"/>
          </w:tcPr>
          <w:p>
            <w:pPr>
              <w:ind w:left="92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2,465</w:t>
            </w:r>
          </w:p>
        </w:tc>
        <w:tc>
          <w:tcPr>
            <w:tcW w:w="0" w:type="dxa"/>
            <w:vAlign w:val="bottom"/>
          </w:tcPr>
          <w:p>
            <w:pPr>
              <w:spacing w:after="0"/>
              <w:rPr>
                <w:sz w:val="1"/>
                <w:szCs w:val="1"/>
                <w:color w:val="auto"/>
              </w:rPr>
            </w:pPr>
          </w:p>
        </w:tc>
      </w:tr>
      <w:tr>
        <w:trPr>
          <w:trHeight w:val="168"/>
        </w:trPr>
        <w:tc>
          <w:tcPr>
            <w:tcW w:w="6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income taxes and effect of accounting change</w:t>
            </w: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100" w:type="dxa"/>
            <w:vAlign w:val="bottom"/>
          </w:tcPr>
          <w:p>
            <w:pPr>
              <w:spacing w:after="0"/>
              <w:rPr>
                <w:sz w:val="22"/>
                <w:szCs w:val="22"/>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7,692</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One-third of rents, net of income from subleases (a)</w:t>
            </w:r>
          </w:p>
        </w:tc>
        <w:tc>
          <w:tcPr>
            <w:tcW w:w="1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68"/>
        </w:trPr>
        <w:tc>
          <w:tcPr>
            <w:tcW w:w="67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fixed charges</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7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7,807</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Less:</w:t>
            </w:r>
          </w:p>
        </w:tc>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Equity in undistributed income of affiliates</w:t>
            </w:r>
          </w:p>
        </w:tc>
        <w:tc>
          <w:tcPr>
            <w:tcW w:w="110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taxes, effect of accounting change and fixed charges,</w:t>
            </w:r>
          </w:p>
        </w:tc>
        <w:tc>
          <w:tcPr>
            <w:tcW w:w="1100" w:type="dxa"/>
            <w:vAlign w:val="bottom"/>
            <w:vMerge w:val="restart"/>
          </w:tcPr>
          <w:p>
            <w:pPr>
              <w:ind w:left="92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10,211</w:t>
            </w:r>
          </w:p>
        </w:tc>
        <w:tc>
          <w:tcPr>
            <w:tcW w:w="0" w:type="dxa"/>
            <w:vAlign w:val="bottom"/>
          </w:tcPr>
          <w:p>
            <w:pPr>
              <w:spacing w:after="0"/>
              <w:rPr>
                <w:sz w:val="1"/>
                <w:szCs w:val="1"/>
                <w:color w:val="auto"/>
              </w:rPr>
            </w:pPr>
          </w:p>
        </w:tc>
      </w:tr>
      <w:tr>
        <w:trPr>
          <w:trHeight w:val="168"/>
        </w:trPr>
        <w:tc>
          <w:tcPr>
            <w:tcW w:w="67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excluding capitalized interest</w:t>
            </w: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as above</w:t>
            </w:r>
          </w:p>
        </w:tc>
        <w:tc>
          <w:tcPr>
            <w:tcW w:w="11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7,807</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dividends</w:t>
            </w:r>
          </w:p>
        </w:tc>
        <w:tc>
          <w:tcPr>
            <w:tcW w:w="110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including preferred stock dividends</w:t>
            </w:r>
          </w:p>
        </w:tc>
        <w:tc>
          <w:tcPr>
            <w:tcW w:w="11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7,847</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 and</w:t>
            </w:r>
          </w:p>
        </w:tc>
        <w:tc>
          <w:tcPr>
            <w:tcW w:w="1100" w:type="dxa"/>
            <w:vAlign w:val="bottom"/>
          </w:tcPr>
          <w:p>
            <w:pPr>
              <w:spacing w:after="0"/>
              <w:rPr>
                <w:sz w:val="22"/>
                <w:szCs w:val="22"/>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 requirements</w:t>
            </w: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INCLUDING INTEREST ON DEPOSITS</w:t>
            </w: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vMerge w:val="restart"/>
          </w:tcPr>
          <w:p>
            <w:pPr>
              <w:ind w:left="92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7,847</w:t>
            </w:r>
          </w:p>
        </w:tc>
        <w:tc>
          <w:tcPr>
            <w:tcW w:w="0" w:type="dxa"/>
            <w:vAlign w:val="bottom"/>
          </w:tcPr>
          <w:p>
            <w:pPr>
              <w:spacing w:after="0"/>
              <w:rPr>
                <w:sz w:val="1"/>
                <w:szCs w:val="1"/>
                <w:color w:val="auto"/>
              </w:rPr>
            </w:pPr>
          </w:p>
        </w:tc>
      </w:tr>
      <w:tr>
        <w:trPr>
          <w:trHeight w:val="245"/>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including preferred stock dividends, as above</w:t>
            </w:r>
          </w:p>
        </w:tc>
        <w:tc>
          <w:tcPr>
            <w:tcW w:w="110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260" w:type="dxa"/>
            <w:vAlign w:val="bottom"/>
          </w:tcPr>
          <w:p>
            <w:pPr>
              <w:ind w:left="100"/>
              <w:spacing w:after="0"/>
              <w:rPr>
                <w:sz w:val="20"/>
                <w:szCs w:val="20"/>
                <w:color w:val="auto"/>
              </w:rPr>
            </w:pPr>
            <w:r>
              <w:rPr>
                <w:rFonts w:ascii="Courier New" w:cs="Courier New" w:eastAsia="Courier New" w:hAnsi="Courier New"/>
                <w:sz w:val="15"/>
                <w:szCs w:val="15"/>
                <w:color w:val="auto"/>
              </w:rPr>
              <w:t>Interest on deposits</w:t>
            </w:r>
          </w:p>
        </w:tc>
        <w:tc>
          <w:tcPr>
            <w:tcW w:w="110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4,758</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Total fixed charges including preferred stock</w:t>
            </w:r>
          </w:p>
        </w:tc>
        <w:tc>
          <w:tcPr>
            <w:tcW w:w="1100" w:type="dxa"/>
            <w:vAlign w:val="bottom"/>
            <w:vMerge w:val="restart"/>
          </w:tcPr>
          <w:p>
            <w:pPr>
              <w:ind w:left="92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12,605</w:t>
            </w:r>
          </w:p>
        </w:tc>
        <w:tc>
          <w:tcPr>
            <w:tcW w:w="0" w:type="dxa"/>
            <w:vAlign w:val="bottom"/>
          </w:tcPr>
          <w:p>
            <w:pPr>
              <w:spacing w:after="0"/>
              <w:rPr>
                <w:sz w:val="1"/>
                <w:szCs w:val="1"/>
                <w:color w:val="auto"/>
              </w:rPr>
            </w:pPr>
          </w:p>
        </w:tc>
      </w:tr>
      <w:tr>
        <w:trPr>
          <w:trHeight w:val="168"/>
        </w:trPr>
        <w:tc>
          <w:tcPr>
            <w:tcW w:w="67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dividends and interest on deposits</w:t>
            </w: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taxes, effect of accounting change and fixed charges,</w:t>
            </w:r>
          </w:p>
        </w:tc>
        <w:tc>
          <w:tcPr>
            <w:tcW w:w="1100" w:type="dxa"/>
            <w:vAlign w:val="bottom"/>
            <w:vMerge w:val="restart"/>
          </w:tcPr>
          <w:p>
            <w:pPr>
              <w:ind w:left="92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10,211</w:t>
            </w:r>
          </w:p>
        </w:tc>
        <w:tc>
          <w:tcPr>
            <w:tcW w:w="0" w:type="dxa"/>
            <w:vAlign w:val="bottom"/>
          </w:tcPr>
          <w:p>
            <w:pPr>
              <w:spacing w:after="0"/>
              <w:rPr>
                <w:sz w:val="1"/>
                <w:szCs w:val="1"/>
                <w:color w:val="auto"/>
              </w:rPr>
            </w:pPr>
          </w:p>
        </w:tc>
      </w:tr>
      <w:tr>
        <w:trPr>
          <w:trHeight w:val="245"/>
        </w:trPr>
        <w:tc>
          <w:tcPr>
            <w:tcW w:w="67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excluding capitalized interest, as above</w:t>
            </w:r>
          </w:p>
        </w:tc>
        <w:tc>
          <w:tcPr>
            <w:tcW w:w="110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260" w:type="dxa"/>
            <w:vAlign w:val="bottom"/>
          </w:tcPr>
          <w:p>
            <w:pPr>
              <w:ind w:left="100"/>
              <w:spacing w:after="0"/>
              <w:rPr>
                <w:sz w:val="20"/>
                <w:szCs w:val="20"/>
                <w:color w:val="auto"/>
              </w:rPr>
            </w:pPr>
            <w:r>
              <w:rPr>
                <w:rFonts w:ascii="Courier New" w:cs="Courier New" w:eastAsia="Courier New" w:hAnsi="Courier New"/>
                <w:sz w:val="15"/>
                <w:szCs w:val="15"/>
                <w:color w:val="auto"/>
              </w:rPr>
              <w:t>Interest on deposits</w:t>
            </w:r>
          </w:p>
        </w:tc>
        <w:tc>
          <w:tcPr>
            <w:tcW w:w="110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4,758</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Total earnings before taxes, effect of accounting change, fixed charges</w:t>
            </w:r>
          </w:p>
        </w:tc>
        <w:tc>
          <w:tcPr>
            <w:tcW w:w="1100" w:type="dxa"/>
            <w:vAlign w:val="bottom"/>
            <w:vMerge w:val="restart"/>
          </w:tcPr>
          <w:p>
            <w:pPr>
              <w:ind w:left="92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14,969</w:t>
            </w:r>
          </w:p>
        </w:tc>
        <w:tc>
          <w:tcPr>
            <w:tcW w:w="0" w:type="dxa"/>
            <w:vAlign w:val="bottom"/>
          </w:tcPr>
          <w:p>
            <w:pPr>
              <w:spacing w:after="0"/>
              <w:rPr>
                <w:sz w:val="1"/>
                <w:szCs w:val="1"/>
                <w:color w:val="auto"/>
              </w:rPr>
            </w:pPr>
          </w:p>
        </w:tc>
      </w:tr>
      <w:tr>
        <w:trPr>
          <w:trHeight w:val="168"/>
        </w:trPr>
        <w:tc>
          <w:tcPr>
            <w:tcW w:w="67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and interest on deposits</w:t>
            </w: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100" w:type="dxa"/>
            <w:vAlign w:val="bottom"/>
          </w:tcPr>
          <w:p>
            <w:pPr>
              <w:spacing w:after="0"/>
              <w:rPr>
                <w:sz w:val="22"/>
                <w:szCs w:val="22"/>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168"/>
        </w:trPr>
        <w:tc>
          <w:tcPr>
            <w:tcW w:w="67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and preferred stock dividend requirements</w:t>
            </w: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The proportion deemed representative of the interest factor.</w:t>
      </w:r>
    </w:p>
    <w:p>
      <w:pPr>
        <w:ind w:left="180" w:hanging="170"/>
        <w:spacing w:after="0"/>
        <w:tabs>
          <w:tab w:leader="none" w:pos="1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sectPr>
      <w:pgSz w:w="11900" w:h="16838" w:orient="portrait"/>
      <w:cols w:equalWidth="0" w:num="1">
        <w:col w:w="10239"/>
      </w:cols>
      <w:pgMar w:left="2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decimal"/>
      <w:start w:val="28"/>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Letter"/>
      <w:start w:val="2"/>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lvl w:ilvl="1">
      <w:lvlJc w:val="left"/>
      <w:lvlText w:val="(%2)"/>
      <w:numFmt w:val="lowerLetter"/>
      <w:start w:val="1"/>
    </w:lvl>
  </w:abstractNum>
  <w:abstractNum w:abstractNumId="34">
    <w:nsid w:val="542289EC"/>
    <w:multiLevelType w:val="hybridMultilevel"/>
    <w:lvl w:ilvl="0">
      <w:lvlJc w:val="left"/>
      <w:lvlText w:val="(%1)"/>
      <w:numFmt w:val="lowerLetter"/>
      <w:start w:val="2"/>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upperLetter"/>
      <w:start w:val="1"/>
    </w:lvl>
  </w:abstractNum>
  <w:abstractNum w:abstractNumId="51">
    <w:nsid w:val="23F9C13C"/>
    <w:multiLevelType w:val="hybridMultilevel"/>
    <w:lvl w:ilvl="0">
      <w:lvlJc w:val="left"/>
      <w:lvlText w:val="(%1)"/>
      <w:numFmt w:val="upperLetter"/>
      <w:start w:val="2"/>
    </w:lvl>
  </w:abstractNum>
  <w:abstractNum w:abstractNumId="52">
    <w:nsid w:val="649BB77C"/>
    <w:multiLevelType w:val="hybridMultilevel"/>
    <w:lvl w:ilvl="0">
      <w:lvlJc w:val="left"/>
      <w:lvlText w:val="(%1)"/>
      <w:numFmt w:val="decimal"/>
      <w:start w:val="3"/>
    </w:lvl>
  </w:abstractNum>
  <w:abstractNum w:abstractNumId="53">
    <w:nsid w:val="275AC794"/>
    <w:multiLevelType w:val="hybridMultilevel"/>
    <w:lvl w:ilvl="0">
      <w:lvlJc w:val="left"/>
      <w:lvlText w:val="1"/>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2019-12-12T22:37:03Z</dcterms:created>
  <dcterms:modified xsi:type="dcterms:W3CDTF">2019-12-12T22:37:03Z</dcterms:modified>
</cp:coreProperties>
</file>