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01" w:lineRule="exact"/>
        <w:rPr>
          <w:sz w:val="24"/>
          <w:szCs w:val="24"/>
          <w:color w:val="auto"/>
        </w:rPr>
      </w:pPr>
    </w:p>
    <w:p>
      <w:pPr>
        <w:spacing w:after="0" w:line="242" w:lineRule="exact"/>
        <w:tabs>
          <w:tab w:leader="none" w:pos="400" w:val="left"/>
          <w:tab w:leader="none" w:pos="52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90"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500" w:hanging="417"/>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1" w:lineRule="exact"/>
        <w:rPr>
          <w:sz w:val="24"/>
          <w:szCs w:val="24"/>
          <w:color w:val="auto"/>
        </w:rPr>
      </w:pPr>
    </w:p>
    <w:p>
      <w:pPr>
        <w:ind w:left="500" w:hanging="417"/>
        <w:spacing w:after="0"/>
        <w:tabs>
          <w:tab w:leader="none" w:pos="5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5"/>
          <w:szCs w:val="25"/>
          <w:color w:val="auto"/>
        </w:rPr>
        <w:t>JPM</w:t>
      </w:r>
      <w:r>
        <w:rPr>
          <w:rFonts w:ascii="Times New Roman" w:cs="Times New Roman" w:eastAsia="Times New Roman" w:hAnsi="Times New Roman"/>
          <w:sz w:val="21"/>
          <w:szCs w:val="21"/>
          <w:color w:val="auto"/>
        </w:rPr>
        <w:t>ORGAN</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HASE &amp;</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O.</w:t>
      </w:r>
    </w:p>
    <w:p>
      <w:pPr>
        <w:spacing w:after="0" w:line="141"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5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51" w:lineRule="exact"/>
        <w:rPr>
          <w:sz w:val="24"/>
          <w:szCs w:val="24"/>
          <w:color w:val="auto"/>
        </w:rPr>
      </w:pPr>
    </w:p>
    <w:p>
      <w:pPr>
        <w:ind w:left="500" w:hanging="417"/>
        <w:spacing w:after="0"/>
        <w:tabs>
          <w:tab w:leader="none" w:pos="50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500" w:hanging="417"/>
        <w:spacing w:after="0"/>
        <w:tabs>
          <w:tab w:leader="none" w:pos="50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120" w:right="1440" w:bottom="1440" w:gutter="0" w:footer="0" w:header="0"/>
        </w:sectPr>
      </w:pPr>
    </w:p>
    <w:bookmarkStart w:id="1" w:name="page2"/>
    <w:bookmarkEnd w:id="1"/>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4580255</wp:posOffset>
            </wp:positionH>
            <wp:positionV relativeFrom="page">
              <wp:posOffset>500380</wp:posOffset>
            </wp:positionV>
            <wp:extent cx="2760345"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760345" cy="2311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Aaron Bertinetti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Head of ESG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Relations</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May 13, 2024</w:t>
      </w:r>
    </w:p>
    <w:p>
      <w:pPr>
        <w:spacing w:after="0" w:line="239"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ISS</w:t>
      </w:r>
    </w:p>
    <w:p>
      <w:pPr>
        <w:spacing w:after="0" w:line="23"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702 King Farm Boulevard, Suite 400</w:t>
      </w:r>
    </w:p>
    <w:p>
      <w:pPr>
        <w:ind w:left="80"/>
        <w:spacing w:after="0" w:line="235" w:lineRule="auto"/>
        <w:rPr>
          <w:sz w:val="20"/>
          <w:szCs w:val="20"/>
          <w:color w:val="auto"/>
        </w:rPr>
      </w:pPr>
      <w:r>
        <w:rPr>
          <w:rFonts w:ascii="Calibri" w:cs="Calibri" w:eastAsia="Calibri" w:hAnsi="Calibri"/>
          <w:sz w:val="18"/>
          <w:szCs w:val="18"/>
          <w:color w:val="auto"/>
        </w:rPr>
        <w:t>Rockville, Maryland 20850 USA</w:t>
      </w:r>
    </w:p>
    <w:p>
      <w:pPr>
        <w:spacing w:after="0" w:line="240"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RE: JPM - Comments on the ISS Report published on our 2024 Annual Meetng</w:t>
      </w:r>
    </w:p>
    <w:p>
      <w:pPr>
        <w:spacing w:after="0" w:line="163" w:lineRule="exact"/>
        <w:rPr>
          <w:sz w:val="20"/>
          <w:szCs w:val="20"/>
          <w:color w:val="auto"/>
        </w:rPr>
      </w:pPr>
    </w:p>
    <w:p>
      <w:pPr>
        <w:jc w:val="both"/>
        <w:ind w:left="100" w:right="6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are writng to provide our response to your analysis and recommendaton to shareholders in your proxy report (“ISS Report”). We will also fle this leter with the SEC in order to make it widely available to our shareholders. For more informaton, our Proxy statement (“Proxy”) can be found </w:t>
      </w:r>
      <w:hyperlink r:id="rId13">
        <w:r>
          <w:rPr>
            <w:rFonts w:ascii="Calibri" w:cs="Calibri" w:eastAsia="Calibri" w:hAnsi="Calibri"/>
            <w:sz w:val="18"/>
            <w:szCs w:val="18"/>
            <w:u w:val="single" w:color="auto"/>
            <w:color w:val="0000FF"/>
          </w:rPr>
          <w:t>here</w:t>
        </w:r>
        <w:r>
          <w:rPr>
            <w:rFonts w:ascii="Calibri" w:cs="Calibri" w:eastAsia="Calibri" w:hAnsi="Calibri"/>
            <w:sz w:val="18"/>
            <w:szCs w:val="18"/>
            <w:u w:val="single" w:color="auto"/>
            <w:color w:val="auto"/>
          </w:rPr>
          <w:t xml:space="preserve"> </w:t>
        </w:r>
      </w:hyperlink>
      <w:r>
        <w:rPr>
          <w:rFonts w:ascii="Calibri" w:cs="Calibri" w:eastAsia="Calibri" w:hAnsi="Calibri"/>
          <w:sz w:val="18"/>
          <w:szCs w:val="18"/>
          <w:color w:val="auto"/>
        </w:rPr>
        <w:t xml:space="preserve">and our Proxy Supplemental presentaton (“Supplement”) can be found </w:t>
      </w:r>
      <w:hyperlink r:id="rId14">
        <w:r>
          <w:rPr>
            <w:rFonts w:ascii="Calibri" w:cs="Calibri" w:eastAsia="Calibri" w:hAnsi="Calibri"/>
            <w:sz w:val="18"/>
            <w:szCs w:val="18"/>
            <w:u w:val="single" w:color="auto"/>
            <w:color w:val="0000FF"/>
          </w:rPr>
          <w:t>here</w:t>
        </w:r>
      </w:hyperlink>
      <w:r>
        <w:rPr>
          <w:rFonts w:ascii="Calibri" w:cs="Calibri" w:eastAsia="Calibri" w:hAnsi="Calibri"/>
          <w:sz w:val="18"/>
          <w:szCs w:val="18"/>
          <w:color w:val="auto"/>
          <w:highlight w:val="white"/>
        </w:rPr>
        <w:t>.</w:t>
      </w:r>
    </w:p>
    <w:p>
      <w:pPr>
        <w:spacing w:after="0" w:line="160" w:lineRule="exact"/>
        <w:rPr>
          <w:sz w:val="20"/>
          <w:szCs w:val="20"/>
          <w:color w:val="auto"/>
        </w:rPr>
      </w:pPr>
    </w:p>
    <w:p>
      <w:pPr>
        <w:ind w:left="100"/>
        <w:spacing w:after="0"/>
        <w:rPr>
          <w:sz w:val="20"/>
          <w:szCs w:val="20"/>
          <w:color w:val="auto"/>
        </w:rPr>
      </w:pPr>
      <w:r>
        <w:rPr>
          <w:rFonts w:ascii="Calibri" w:cs="Calibri" w:eastAsia="Calibri" w:hAnsi="Calibri"/>
          <w:sz w:val="18"/>
          <w:szCs w:val="18"/>
          <w:color w:val="auto"/>
        </w:rPr>
        <w:t>We believe the current ISS Report merits a revised analysis and recommendaton for the following reasons:</w:t>
      </w:r>
    </w:p>
    <w:p>
      <w:pPr>
        <w:spacing w:after="0" w:line="158" w:lineRule="exact"/>
        <w:rPr>
          <w:sz w:val="20"/>
          <w:szCs w:val="20"/>
          <w:color w:val="auto"/>
        </w:rPr>
      </w:pPr>
    </w:p>
    <w:p>
      <w:pPr>
        <w:ind w:left="100"/>
        <w:spacing w:after="0"/>
        <w:rPr>
          <w:sz w:val="20"/>
          <w:szCs w:val="20"/>
          <w:color w:val="auto"/>
        </w:rPr>
      </w:pPr>
      <w:r>
        <w:rPr>
          <w:rFonts w:ascii="Calibri" w:cs="Calibri" w:eastAsia="Calibri" w:hAnsi="Calibri"/>
          <w:sz w:val="18"/>
          <w:szCs w:val="18"/>
          <w:b w:val="1"/>
          <w:bCs w:val="1"/>
          <w:u w:val="single" w:color="auto"/>
          <w:color w:val="auto"/>
        </w:rPr>
        <w:t>On Proposal 10: Shareholder Opportunity to Vote on Excessive Golden Parachutes:</w:t>
      </w:r>
    </w:p>
    <w:p>
      <w:pPr>
        <w:spacing w:after="0" w:line="163" w:lineRule="exact"/>
        <w:rPr>
          <w:sz w:val="20"/>
          <w:szCs w:val="20"/>
          <w:color w:val="auto"/>
        </w:rPr>
      </w:pPr>
    </w:p>
    <w:p>
      <w:pPr>
        <w:jc w:val="both"/>
        <w:ind w:left="660" w:right="140" w:hanging="328"/>
        <w:spacing w:after="0" w:line="235" w:lineRule="auto"/>
        <w:tabs>
          <w:tab w:leader="none" w:pos="655" w:val="left"/>
        </w:tabs>
        <w:numPr>
          <w:ilvl w:val="0"/>
          <w:numId w:val="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 argues that this proposal should be supported “in the absence of a policy that limits severance payouts in excess of market norms”. The Firm does not have such a policy for payouts “in excess of market norms” because it has an existng policy that provides for severance payments well below market norms.</w:t>
      </w:r>
    </w:p>
    <w:p>
      <w:pPr>
        <w:spacing w:after="0" w:line="164" w:lineRule="exact"/>
        <w:rPr>
          <w:rFonts w:ascii="Calibri" w:cs="Calibri" w:eastAsia="Calibri" w:hAnsi="Calibri"/>
          <w:sz w:val="18"/>
          <w:szCs w:val="18"/>
          <w:b w:val="1"/>
          <w:bCs w:val="1"/>
          <w:color w:val="auto"/>
        </w:rPr>
      </w:pPr>
    </w:p>
    <w:p>
      <w:pPr>
        <w:ind w:left="660" w:right="360" w:hanging="328"/>
        <w:spacing w:after="0" w:line="220" w:lineRule="auto"/>
        <w:tabs>
          <w:tab w:leader="none" w:pos="655" w:val="left"/>
        </w:tabs>
        <w:numPr>
          <w:ilvl w:val="0"/>
          <w:numId w:val="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By advising in favor of this proposal, ISS implies market norms are 2.99x annual compensaton. If enacted, the severance payouts for our CEO could be ~49 tmes larger than his existng severance limit of $400,000 if only based on annual cash compensaton and ~270 tmes larger if applied to all annual compensaton including equity.</w:t>
      </w:r>
      <w:r>
        <w:rPr>
          <w:rFonts w:ascii="Calibri" w:cs="Calibri" w:eastAsia="Calibri" w:hAnsi="Calibri"/>
          <w:sz w:val="23"/>
          <w:szCs w:val="23"/>
          <w:b w:val="1"/>
          <w:bCs w:val="1"/>
          <w:color w:val="auto"/>
          <w:vertAlign w:val="superscript"/>
        </w:rPr>
        <w:t>1</w:t>
      </w:r>
      <w:r>
        <w:rPr>
          <w:rFonts w:ascii="Calibri" w:cs="Calibri" w:eastAsia="Calibri" w:hAnsi="Calibri"/>
          <w:sz w:val="18"/>
          <w:szCs w:val="18"/>
          <w:b w:val="1"/>
          <w:bCs w:val="1"/>
          <w:color w:val="auto"/>
        </w:rPr>
        <w:t xml:space="preserve"> A proposal that signifcantly increases severance payments does not “enhance shareholder’s interests”.</w:t>
      </w:r>
    </w:p>
    <w:p>
      <w:pPr>
        <w:spacing w:after="0" w:line="164" w:lineRule="exact"/>
        <w:rPr>
          <w:rFonts w:ascii="Calibri" w:cs="Calibri" w:eastAsia="Calibri" w:hAnsi="Calibri"/>
          <w:sz w:val="18"/>
          <w:szCs w:val="18"/>
          <w:b w:val="1"/>
          <w:bCs w:val="1"/>
          <w:color w:val="auto"/>
        </w:rPr>
      </w:pPr>
    </w:p>
    <w:p>
      <w:pPr>
        <w:ind w:left="660" w:right="40" w:hanging="328"/>
        <w:spacing w:after="0" w:line="235" w:lineRule="auto"/>
        <w:tabs>
          <w:tab w:leader="none" w:pos="655" w:val="left"/>
        </w:tabs>
        <w:numPr>
          <w:ilvl w:val="0"/>
          <w:numId w:val="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 support for the proposal rests on assertons that it is not “overly prescriptve" and that the Board’s concerns about its impact on our compensaton structure are “not viewed as compelling”. Introducing a multplier well beyond our current severance limits may undermine our existng long-term and highly retentve compensaton structure that is more strongly aligned with shareholder interests. This is clearly compelling and demonstrates the proposal is overly prescriptve.</w:t>
      </w:r>
    </w:p>
    <w:p>
      <w:pPr>
        <w:spacing w:after="0" w:line="165" w:lineRule="exact"/>
        <w:rPr>
          <w:rFonts w:ascii="Calibri" w:cs="Calibri" w:eastAsia="Calibri" w:hAnsi="Calibri"/>
          <w:sz w:val="18"/>
          <w:szCs w:val="18"/>
          <w:b w:val="1"/>
          <w:bCs w:val="1"/>
          <w:color w:val="auto"/>
        </w:rPr>
      </w:pPr>
    </w:p>
    <w:p>
      <w:pPr>
        <w:ind w:left="660" w:right="300" w:hanging="328"/>
        <w:spacing w:after="0" w:line="235" w:lineRule="auto"/>
        <w:tabs>
          <w:tab w:leader="none" w:pos="655" w:val="left"/>
        </w:tabs>
        <w:numPr>
          <w:ilvl w:val="0"/>
          <w:numId w:val="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 fails to analyze the Board’s additonal arguments, including that the proponent seeks to expand the defniton of a golden parachute event from a change in control event to an event that includes retrement or resignaton. This infated severance policy for payouts that ISS recommends supportng would apply under these circumstances, including the retrement of our CEO in the medium term.</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On Proposal 5: Independent Board Chairman:</w:t>
      </w:r>
    </w:p>
    <w:p>
      <w:pPr>
        <w:spacing w:after="0" w:line="163" w:lineRule="exact"/>
        <w:rPr>
          <w:sz w:val="20"/>
          <w:szCs w:val="20"/>
          <w:color w:val="auto"/>
        </w:rPr>
      </w:pPr>
    </w:p>
    <w:p>
      <w:pPr>
        <w:ind w:left="660" w:right="180" w:hanging="328"/>
        <w:spacing w:after="0" w:line="235" w:lineRule="auto"/>
        <w:tabs>
          <w:tab w:leader="none" w:pos="655" w:val="left"/>
        </w:tabs>
        <w:numPr>
          <w:ilvl w:val="0"/>
          <w:numId w:val="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 claims support for this proposal is warranted because “the size and complexity of JPMorgan suggests that it is difcult for any one person to run both the company and the board”. This fails to match the empirical evidence of the last 18 years of leadership by the current Chairman and CEO that has seen the Firm become the largest U.S. bank, outperforming our peers including those with independent chairs, and delivering substantal shareholder returns. It also ignores additonal ratonales the Board has provided in response to this proposal.</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provided more details on these concerns with the ISS Report’s omissions and analysis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20" w:firstLine="8"/>
        <w:spacing w:after="0" w:line="205" w:lineRule="auto"/>
        <w:tabs>
          <w:tab w:leader="none" w:pos="80" w:val="left"/>
        </w:tabs>
        <w:numPr>
          <w:ilvl w:val="0"/>
          <w:numId w:val="8"/>
        </w:numPr>
        <w:rPr>
          <w:rFonts w:ascii="Calibri" w:cs="Calibri" w:eastAsia="Calibri" w:hAnsi="Calibri"/>
          <w:sz w:val="19"/>
          <w:szCs w:val="19"/>
          <w:color w:val="auto"/>
          <w:vertAlign w:val="superscript"/>
        </w:rPr>
      </w:pPr>
      <w:r>
        <w:rPr>
          <w:rFonts w:ascii="Calibri" w:cs="Calibri" w:eastAsia="Calibri" w:hAnsi="Calibri"/>
          <w:sz w:val="14"/>
          <w:szCs w:val="14"/>
          <w:color w:val="auto"/>
        </w:rPr>
        <w:t>This is based on the Chairman and CEO’s 2023 annual compensaton of $36mm, of which $6.5m was in salary and cash incentves, with the remainder awarded in equity. Comparisons are based on applying the 2.99 multple to those earnings relatve to the existng severance limit of $400,000.</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277 Park Avenue, New York, NY 10172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00FF"/>
        </w:rPr>
        <w:t>aaron.bertinetti@jpmchase.com</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JPMorgan Chase &amp; Co.</w:t>
      </w:r>
    </w:p>
    <w:p>
      <w:pPr>
        <w:sectPr>
          <w:pgSz w:w="11900" w:h="16838" w:orient="portrait"/>
          <w:cols w:equalWidth="0" w:num="1">
            <w:col w:w="11240"/>
          </w:cols>
          <w:pgMar w:left="320" w:top="1440" w:right="339"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2 | </w:t>
      </w:r>
      <w:r>
        <w:rPr>
          <w:rFonts w:ascii="Times New Roman" w:cs="Times New Roman" w:eastAsia="Times New Roman" w:hAnsi="Times New Roman"/>
          <w:sz w:val="22"/>
          <w:szCs w:val="22"/>
          <w:color w:val="7E7E7E"/>
        </w:rPr>
        <w:t>P a g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25"/>
          <w:szCs w:val="25"/>
          <w:b w:val="1"/>
          <w:bCs w:val="1"/>
          <w:u w:val="single" w:color="auto"/>
          <w:color w:val="auto"/>
        </w:rPr>
        <w:t>PROPOSAL 10: SHAREHOLDER OPPORTUNITY TO VOTE ON EXCESSIVE GOLDEN PARACHUTES</w:t>
      </w:r>
    </w:p>
    <w:p>
      <w:pPr>
        <w:spacing w:after="0" w:line="26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color w:val="auto"/>
        </w:rPr>
        <w:t>We recognize that ISS acknowledges “the company does not maintain golden parachute agreements or other agreements that provide for special benefts upon a change in control. There have also not been any recent severance-related controversies at the company. Severance amounts for US NEOs are capped at one years' salary, not to exceed $400,000, under the company's broad-based US Severance Pay Plan.”</w:t>
      </w:r>
    </w:p>
    <w:p>
      <w:pPr>
        <w:spacing w:after="0" w:line="165" w:lineRule="exact"/>
        <w:rPr>
          <w:sz w:val="20"/>
          <w:szCs w:val="20"/>
          <w:color w:val="auto"/>
        </w:rPr>
      </w:pPr>
    </w:p>
    <w:p>
      <w:pPr>
        <w:jc w:val="both"/>
        <w:ind w:right="380"/>
        <w:spacing w:after="0" w:line="235" w:lineRule="auto"/>
        <w:rPr>
          <w:sz w:val="20"/>
          <w:szCs w:val="20"/>
          <w:color w:val="auto"/>
        </w:rPr>
      </w:pPr>
      <w:r>
        <w:rPr>
          <w:rFonts w:ascii="Calibri" w:cs="Calibri" w:eastAsia="Calibri" w:hAnsi="Calibri"/>
          <w:sz w:val="18"/>
          <w:szCs w:val="18"/>
          <w:color w:val="auto"/>
        </w:rPr>
        <w:t>However, the ISS Report then argues that this proposal should be supported “in the absence of a policy that limits severance payouts in excess of market norms”. The frm does not have such a policy for payouts in excess of market norms because it has an existng policy that already provides for severance payments well below market norms.</w:t>
      </w:r>
    </w:p>
    <w:p>
      <w:pPr>
        <w:spacing w:after="0" w:line="165" w:lineRule="exact"/>
        <w:rPr>
          <w:sz w:val="20"/>
          <w:szCs w:val="20"/>
          <w:color w:val="auto"/>
        </w:rPr>
      </w:pPr>
    </w:p>
    <w:p>
      <w:pPr>
        <w:jc w:val="both"/>
        <w:ind w:right="380"/>
        <w:spacing w:after="0" w:line="258" w:lineRule="auto"/>
        <w:rPr>
          <w:sz w:val="20"/>
          <w:szCs w:val="20"/>
          <w:color w:val="auto"/>
        </w:rPr>
      </w:pPr>
      <w:r>
        <w:rPr>
          <w:rFonts w:ascii="Calibri" w:cs="Calibri" w:eastAsia="Calibri" w:hAnsi="Calibri"/>
          <w:sz w:val="17"/>
          <w:szCs w:val="17"/>
          <w:color w:val="auto"/>
        </w:rPr>
        <w:t>As disclosed in the Supplement (p. 8) and Proxy (pp. 102 - 104), the Board believes the proposed policy is unnecessary and would provide no meaningful additonal benefts to shareholders. The ISS Report omits a more complete discussion and analysis of reasons noted in bullet points # 2, 4 and 5 below.</w:t>
      </w:r>
    </w:p>
    <w:p>
      <w:pPr>
        <w:spacing w:after="0" w:line="148" w:lineRule="exact"/>
        <w:rPr>
          <w:sz w:val="20"/>
          <w:szCs w:val="20"/>
          <w:color w:val="auto"/>
        </w:rPr>
      </w:pPr>
    </w:p>
    <w:p>
      <w:pPr>
        <w:ind w:left="660" w:hanging="328"/>
        <w:spacing w:after="0" w:line="254" w:lineRule="auto"/>
        <w:tabs>
          <w:tab w:leader="none" w:pos="645"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No Employment or Golden Parachute Agreements</w:t>
      </w:r>
      <w:r>
        <w:rPr>
          <w:rFonts w:ascii="Calibri" w:cs="Calibri" w:eastAsia="Calibri" w:hAnsi="Calibri"/>
          <w:sz w:val="17"/>
          <w:szCs w:val="17"/>
          <w:color w:val="auto"/>
        </w:rPr>
        <w:t>: The Firm does not provide golden parachute agreements. There are no employment agreements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Named Executve Ofcers (“NEOs”) are not enttled to special severance benefts. The key terms of the proposal are not compatble with our Firm’s compensaton program for our NEOs. The proposal misleadingly suggests that NEOs may be enttled to benefts that do not exist at JPMC.</w:t>
      </w:r>
    </w:p>
    <w:p>
      <w:pPr>
        <w:spacing w:after="0" w:line="151" w:lineRule="exact"/>
        <w:rPr>
          <w:rFonts w:ascii="Calibri" w:cs="Calibri" w:eastAsia="Calibri" w:hAnsi="Calibri"/>
          <w:sz w:val="17"/>
          <w:szCs w:val="17"/>
          <w:color w:val="auto"/>
        </w:rPr>
      </w:pPr>
    </w:p>
    <w:p>
      <w:pPr>
        <w:jc w:val="both"/>
        <w:ind w:left="660" w:right="140" w:hanging="328"/>
        <w:spacing w:after="0" w:line="258" w:lineRule="auto"/>
        <w:tabs>
          <w:tab w:leader="none" w:pos="645"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Including Equity is Not Market Practce</w:t>
      </w:r>
      <w:r>
        <w:rPr>
          <w:rFonts w:ascii="Calibri" w:cs="Calibri" w:eastAsia="Calibri" w:hAnsi="Calibri"/>
          <w:sz w:val="17"/>
          <w:szCs w:val="17"/>
          <w:color w:val="auto"/>
        </w:rPr>
        <w:t>: The inclusion of equity awards in severance payments does not align with general market practces. Using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proponent’s defniton, a severance payout would include equity, which represents the majority of annual incentve compensaton for all NEOs.</w:t>
      </w:r>
    </w:p>
    <w:p>
      <w:pPr>
        <w:spacing w:after="0" w:line="147" w:lineRule="exact"/>
        <w:rPr>
          <w:rFonts w:ascii="Calibri" w:cs="Calibri" w:eastAsia="Calibri" w:hAnsi="Calibri"/>
          <w:sz w:val="17"/>
          <w:szCs w:val="17"/>
          <w:color w:val="auto"/>
        </w:rPr>
      </w:pPr>
    </w:p>
    <w:p>
      <w:pPr>
        <w:ind w:left="660" w:right="40" w:hanging="328"/>
        <w:spacing w:after="0" w:line="254" w:lineRule="auto"/>
        <w:tabs>
          <w:tab w:leader="none" w:pos="645"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Our Severance is currently reasonable</w:t>
      </w:r>
      <w:r>
        <w:rPr>
          <w:rFonts w:ascii="Calibri" w:cs="Calibri" w:eastAsia="Calibri" w:hAnsi="Calibri"/>
          <w:sz w:val="17"/>
          <w:szCs w:val="17"/>
          <w:color w:val="auto"/>
        </w:rPr>
        <w:t>: All employees partcipate at the same level of severance that is capped at 52 weeks of salary or $400,000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U.S.-based employees. In contrast, the proposal would allow severance packages up to 2.99 tmes the sum of base salary plus target short-term bonus without shareholder approval. The Firm does not have target short-term bonuses but awards annual variable incentves in cash and equity.</w:t>
      </w:r>
    </w:p>
    <w:p>
      <w:pPr>
        <w:spacing w:after="0" w:line="151" w:lineRule="exact"/>
        <w:rPr>
          <w:rFonts w:ascii="Calibri" w:cs="Calibri" w:eastAsia="Calibri" w:hAnsi="Calibri"/>
          <w:sz w:val="17"/>
          <w:szCs w:val="17"/>
          <w:color w:val="auto"/>
        </w:rPr>
      </w:pPr>
    </w:p>
    <w:p>
      <w:pPr>
        <w:ind w:left="660" w:right="140" w:hanging="328"/>
        <w:spacing w:after="0" w:line="235" w:lineRule="auto"/>
        <w:tabs>
          <w:tab w:leader="none" w:pos="645"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Goes Beyond Change in Control</w:t>
      </w:r>
      <w:r>
        <w:rPr>
          <w:rFonts w:ascii="Calibri" w:cs="Calibri" w:eastAsia="Calibri" w:hAnsi="Calibri"/>
          <w:sz w:val="18"/>
          <w:szCs w:val="18"/>
          <w:color w:val="auto"/>
        </w:rPr>
        <w:t>: The proposal defnes a golden parachute payment as that which is paid out or vests due to a senior executve’s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terminaton for any reason. This can be interpreted to mean that it should apply beyond a change in control event to payments awarded under any terminaton trigger, including in the event of retrement, employment terminaton or resignaton.</w:t>
      </w:r>
    </w:p>
    <w:p>
      <w:pPr>
        <w:spacing w:after="0" w:line="164" w:lineRule="exact"/>
        <w:rPr>
          <w:rFonts w:ascii="Calibri" w:cs="Calibri" w:eastAsia="Calibri" w:hAnsi="Calibri"/>
          <w:sz w:val="18"/>
          <w:szCs w:val="18"/>
          <w:color w:val="auto"/>
        </w:rPr>
      </w:pPr>
    </w:p>
    <w:p>
      <w:pPr>
        <w:ind w:left="660" w:right="180" w:hanging="328"/>
        <w:spacing w:after="0" w:line="235" w:lineRule="auto"/>
        <w:tabs>
          <w:tab w:leader="none" w:pos="645"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Misleading Peer Comparisons: </w:t>
      </w:r>
      <w:r>
        <w:rPr>
          <w:rFonts w:ascii="Calibri" w:cs="Calibri" w:eastAsia="Calibri" w:hAnsi="Calibri"/>
          <w:sz w:val="18"/>
          <w:szCs w:val="18"/>
          <w:color w:val="auto"/>
        </w:rPr>
        <w:t>The proponent notes this proposal received majority support at four other companies but fails to note that each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these companies have employment agreements that provide for additonal severance benefts of the type that do not exist at the Firm.</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Further, ISS dismisses the Board’s concerns that this prescriptve approach is not compatble with our compensaton structure by statng this “is not viewed as compelling, as the board would have fexibility to construct policies in a way that conforms to the pay structures while also enhancing shareholder protectons”.</w:t>
      </w:r>
    </w:p>
    <w:p>
      <w:pPr>
        <w:spacing w:after="0" w:line="16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Contrary to ISS’ assertons, the policy in this proposal </w:t>
      </w:r>
      <w:r>
        <w:rPr>
          <w:rFonts w:ascii="Calibri" w:cs="Calibri" w:eastAsia="Calibri" w:hAnsi="Calibri"/>
          <w:sz w:val="18"/>
          <w:szCs w:val="18"/>
          <w:b w:val="1"/>
          <w:bCs w:val="1"/>
          <w:i w:val="1"/>
          <w:iCs w:val="1"/>
          <w:color w:val="auto"/>
        </w:rPr>
        <w:t>would</w:t>
      </w:r>
      <w:r>
        <w:rPr>
          <w:rFonts w:ascii="Calibri" w:cs="Calibri" w:eastAsia="Calibri" w:hAnsi="Calibri"/>
          <w:sz w:val="18"/>
          <w:szCs w:val="18"/>
          <w:color w:val="auto"/>
        </w:rPr>
        <w:t xml:space="preserve"> prescriptvely alter the design of our compensaton structure by introducing a severance incentve that, using 2023 annual compensaton, would increase the CEO’s payment limit from 6% to 299% of annual salary and cash incentves or from 1% to 299% of annual salary and annual incentves when including equity as the proponent suggests. That may distort employment incentves not only for NEOs, but for all employees across the frm who would ask for equivalent benefts. It may also distort employment decisions as the proposal expands beyond change in control to any terminaton trigger, including in the event of our CEO’s retrement in the medium term.</w:t>
      </w:r>
    </w:p>
    <w:p>
      <w:pPr>
        <w:spacing w:after="0" w:line="16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Our Proxy annually discloses the limits of what is available to U.S.-based NEOs in the event of terminaton under a variety of scenarios. A proposal based on substantally larger and speculatve costs does not align with shareholder interests.</w:t>
      </w:r>
    </w:p>
    <w:p>
      <w:pPr>
        <w:sectPr>
          <w:pgSz w:w="11900" w:h="16838" w:orient="portrait"/>
          <w:cols w:equalWidth="0" w:num="1">
            <w:col w:w="11220"/>
          </w:cols>
          <w:pgMar w:left="320" w:top="189" w:right="35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3 | </w:t>
      </w:r>
      <w:r>
        <w:rPr>
          <w:rFonts w:ascii="Times New Roman" w:cs="Times New Roman" w:eastAsia="Times New Roman" w:hAnsi="Times New Roman"/>
          <w:sz w:val="22"/>
          <w:szCs w:val="22"/>
          <w:color w:val="7E7E7E"/>
        </w:rPr>
        <w:t>P a g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5"/>
          <w:szCs w:val="25"/>
          <w:b w:val="1"/>
          <w:bCs w:val="1"/>
          <w:u w:val="single" w:color="auto"/>
          <w:color w:val="auto"/>
        </w:rPr>
        <w:t>PROPOSAL 5: SHAREHOLDER PROPOSAL REGARDING INDEPENDENT CHAIR</w:t>
      </w:r>
    </w:p>
    <w:p>
      <w:pPr>
        <w:spacing w:after="0" w:line="24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color w:val="auto"/>
        </w:rPr>
        <w:t>The ISS Report acknowledges there are “no signifcant concerns regarding shareholder rights” under the current Board leadership structure and that the Firm has outperformed its peers, before making a contradictory argument that “the size and complexity of JPMorgan suggests that it is difcult for any one person to run both the company and the board”. This statement is demonstrably false, given the observable facts over the last 18 years of leadership from the current Chairman and CEO.</w:t>
      </w:r>
    </w:p>
    <w:p>
      <w:pPr>
        <w:spacing w:after="0" w:line="165"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As disclosed in the Supplement (p. 11) and Proxy (pp. 92 - 94), the Board believes the proposal’s requested policy is adverse to the interests of the Firm’s shareholders. The ISS Report omits a more complete discussion and analysis of reasons noted in bullet points # 1, 2, 3, 6 and 7 below.</w:t>
      </w:r>
    </w:p>
    <w:p>
      <w:pPr>
        <w:spacing w:after="0" w:line="164" w:lineRule="exact"/>
        <w:rPr>
          <w:sz w:val="20"/>
          <w:szCs w:val="20"/>
          <w:color w:val="auto"/>
        </w:rPr>
      </w:pPr>
    </w:p>
    <w:p>
      <w:pPr>
        <w:ind w:left="660" w:right="6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The proponent asserts that having an independent board chairman “whenever possible” is best practce, </w:t>
      </w:r>
      <w:r>
        <w:rPr>
          <w:rFonts w:ascii="Calibri" w:cs="Calibri" w:eastAsia="Calibri" w:hAnsi="Calibri"/>
          <w:sz w:val="18"/>
          <w:szCs w:val="18"/>
          <w:b w:val="1"/>
          <w:bCs w:val="1"/>
          <w:color w:val="auto"/>
        </w:rPr>
        <w:t>without providing any empirical evidence</w:t>
      </w:r>
      <w:r>
        <w:rPr>
          <w:rFonts w:ascii="Calibri" w:cs="Calibri" w:eastAsia="Calibri" w:hAnsi="Calibri"/>
          <w:sz w:val="18"/>
          <w:szCs w:val="18"/>
          <w:color w:val="auto"/>
        </w:rPr>
        <w:t xml:space="preserve"> demonstratng a signifcant relatonship between separate Chair and CEO roles and strong company performance. In contrast, the Firm’s long-term, strong fnancial performance and meaningful progress on key initatves demonstrate that the current structure allows for efectve executon on strategic priorites.</w:t>
      </w:r>
    </w:p>
    <w:p>
      <w:pPr>
        <w:spacing w:after="0" w:line="165" w:lineRule="exact"/>
        <w:rPr>
          <w:rFonts w:ascii="Calibri" w:cs="Calibri" w:eastAsia="Calibri" w:hAnsi="Calibri"/>
          <w:sz w:val="18"/>
          <w:szCs w:val="18"/>
          <w:color w:val="auto"/>
        </w:rPr>
      </w:pPr>
    </w:p>
    <w:p>
      <w:pPr>
        <w:ind w:left="660" w:right="20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As disclosed in the Proxy (pp. 38, 93), the </w:t>
      </w:r>
      <w:r>
        <w:rPr>
          <w:rFonts w:ascii="Calibri" w:cs="Calibri" w:eastAsia="Calibri" w:hAnsi="Calibri"/>
          <w:sz w:val="18"/>
          <w:szCs w:val="18"/>
          <w:b w:val="1"/>
          <w:bCs w:val="1"/>
          <w:color w:val="auto"/>
        </w:rPr>
        <w:t>Firm has outperformed most of its peers on ROTCE and relevant indices on total shareholder return</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(“TSR”) under the leadership structure of our Chair and a Lead Independent Director</w:t>
      </w:r>
      <w:r>
        <w:rPr>
          <w:rFonts w:ascii="Calibri" w:cs="Calibri" w:eastAsia="Calibri" w:hAnsi="Calibri"/>
          <w:sz w:val="18"/>
          <w:szCs w:val="18"/>
          <w:color w:val="auto"/>
        </w:rPr>
        <w:t>. This includes outperforming companies with independent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chairs. This enduring outperformance has occurred while maintaining an independent Board with a Lead Independent Director, and disproves ISS’ general and unsubstantated claim that “an independent chair is beter able to oversee the executves of a company and set a pro-shareholder agenda.” Moreover, ISS’ Report (p. 32) acknowledges that the Firm’s total shareholder return (TSR) has outperformed its industry group and the S&amp;P500 Index on a one-, three- and fve-year basis.</w:t>
      </w:r>
    </w:p>
    <w:p>
      <w:pPr>
        <w:spacing w:after="0" w:line="167" w:lineRule="exact"/>
        <w:rPr>
          <w:rFonts w:ascii="Calibri" w:cs="Calibri" w:eastAsia="Calibri" w:hAnsi="Calibri"/>
          <w:sz w:val="18"/>
          <w:szCs w:val="18"/>
          <w:color w:val="auto"/>
        </w:rPr>
      </w:pPr>
    </w:p>
    <w:p>
      <w:pPr>
        <w:ind w:left="660" w:right="20" w:hanging="328"/>
        <w:spacing w:after="0" w:line="21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Annual evaluaton of the Firm’s leadership structure is important because </w:t>
      </w:r>
      <w:r>
        <w:rPr>
          <w:rFonts w:ascii="Calibri" w:cs="Calibri" w:eastAsia="Calibri" w:hAnsi="Calibri"/>
          <w:sz w:val="18"/>
          <w:szCs w:val="18"/>
          <w:b w:val="1"/>
          <w:bCs w:val="1"/>
          <w:color w:val="auto"/>
        </w:rPr>
        <w:t>“one-size-does-not-ft-all”</w:t>
      </w:r>
      <w:r>
        <w:rPr>
          <w:rFonts w:ascii="Calibri" w:cs="Calibri" w:eastAsia="Calibri" w:hAnsi="Calibri"/>
          <w:sz w:val="18"/>
          <w:szCs w:val="18"/>
          <w:color w:val="auto"/>
        </w:rPr>
        <w:t xml:space="preserve"> and there is no clear consensus about ideal leadership structures. As evidenced by a market practce study</w:t>
      </w:r>
      <w:r>
        <w:rPr>
          <w:rFonts w:ascii="Calibri" w:cs="Calibri" w:eastAsia="Calibri" w:hAnsi="Calibri"/>
          <w:sz w:val="23"/>
          <w:szCs w:val="23"/>
          <w:color w:val="auto"/>
          <w:vertAlign w:val="superscript"/>
        </w:rPr>
        <w:t>2</w:t>
      </w:r>
      <w:r>
        <w:rPr>
          <w:rFonts w:ascii="Calibri" w:cs="Calibri" w:eastAsia="Calibri" w:hAnsi="Calibri"/>
          <w:sz w:val="18"/>
          <w:szCs w:val="18"/>
          <w:color w:val="auto"/>
        </w:rPr>
        <w:t xml:space="preserve"> the majority of the 100 largest U.S. public companies listed on the NYSE and Nasdaq have a combined CEO/Chair role, and ~30% of those companies with separate roles do not have an independent chair.</w:t>
      </w:r>
    </w:p>
    <w:p>
      <w:pPr>
        <w:spacing w:after="0" w:line="164" w:lineRule="exact"/>
        <w:rPr>
          <w:rFonts w:ascii="Calibri" w:cs="Calibri" w:eastAsia="Calibri" w:hAnsi="Calibri"/>
          <w:sz w:val="18"/>
          <w:szCs w:val="18"/>
          <w:color w:val="auto"/>
        </w:rPr>
      </w:pPr>
    </w:p>
    <w:p>
      <w:pPr>
        <w:ind w:left="660" w:right="38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It would </w:t>
      </w:r>
      <w:r>
        <w:rPr>
          <w:rFonts w:ascii="Calibri" w:cs="Calibri" w:eastAsia="Calibri" w:hAnsi="Calibri"/>
          <w:sz w:val="18"/>
          <w:szCs w:val="18"/>
          <w:b w:val="1"/>
          <w:bCs w:val="1"/>
          <w:color w:val="auto"/>
        </w:rPr>
        <w:t>prevent the Board from exercising its discreton</w:t>
      </w:r>
      <w:r>
        <w:rPr>
          <w:rFonts w:ascii="Calibri" w:cs="Calibri" w:eastAsia="Calibri" w:hAnsi="Calibri"/>
          <w:sz w:val="18"/>
          <w:szCs w:val="18"/>
          <w:color w:val="auto"/>
        </w:rPr>
        <w:t xml:space="preserve"> to make the best-informed decision on its leadership structure, which is critcal to the Board's ability to fulfll its fduciary dutes.</w:t>
      </w:r>
    </w:p>
    <w:p>
      <w:pPr>
        <w:spacing w:after="0" w:line="163" w:lineRule="exact"/>
        <w:rPr>
          <w:rFonts w:ascii="Calibri" w:cs="Calibri" w:eastAsia="Calibri" w:hAnsi="Calibri"/>
          <w:sz w:val="18"/>
          <w:szCs w:val="18"/>
          <w:color w:val="auto"/>
        </w:rPr>
      </w:pPr>
    </w:p>
    <w:p>
      <w:pPr>
        <w:ind w:left="66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color w:val="auto"/>
        </w:rPr>
        <w:t>The Board conducted extensive shareholder outreach and enhanced our Corporate Governance Principles</w:t>
      </w:r>
      <w:r>
        <w:rPr>
          <w:rFonts w:ascii="Calibri" w:cs="Calibri" w:eastAsia="Calibri" w:hAnsi="Calibri"/>
          <w:sz w:val="18"/>
          <w:szCs w:val="18"/>
          <w:color w:val="auto"/>
        </w:rPr>
        <w:t>. The Board believes its general policy 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separatng the Chair and CEO roles upon the next CEO transiton best serves the Firm and its shareholders as it focuses on enabling an orderly CEO transiton to take place in the medium-term.</w:t>
      </w:r>
    </w:p>
    <w:p>
      <w:pPr>
        <w:spacing w:after="0" w:line="164"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It is unclear what the proponent intends in </w:t>
      </w:r>
      <w:r>
        <w:rPr>
          <w:rFonts w:ascii="Calibri" w:cs="Calibri" w:eastAsia="Calibri" w:hAnsi="Calibri"/>
          <w:sz w:val="18"/>
          <w:szCs w:val="18"/>
          <w:b w:val="1"/>
          <w:bCs w:val="1"/>
          <w:color w:val="auto"/>
        </w:rPr>
        <w:t>suggestng that the Firm adopt a “Temporary Chairman” – this is not a standard corporate governance</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 xml:space="preserve">practce </w:t>
      </w:r>
      <w:r>
        <w:rPr>
          <w:rFonts w:ascii="Calibri" w:cs="Calibri" w:eastAsia="Calibri" w:hAnsi="Calibri"/>
          <w:sz w:val="18"/>
          <w:szCs w:val="18"/>
          <w:color w:val="auto"/>
        </w:rPr>
        <w:t>and would undermine the authority of the Chair role at JPMorgan Chase.</w:t>
      </w:r>
    </w:p>
    <w:p>
      <w:pPr>
        <w:spacing w:after="0" w:line="163" w:lineRule="exact"/>
        <w:rPr>
          <w:rFonts w:ascii="Calibri" w:cs="Calibri" w:eastAsia="Calibri" w:hAnsi="Calibri"/>
          <w:sz w:val="18"/>
          <w:szCs w:val="18"/>
          <w:color w:val="auto"/>
        </w:rPr>
      </w:pPr>
    </w:p>
    <w:p>
      <w:pPr>
        <w:ind w:left="660" w:right="60" w:hanging="328"/>
        <w:spacing w:after="0" w:line="235" w:lineRule="auto"/>
        <w:tabs>
          <w:tab w:leader="none" w:pos="64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Shareholders have demonstrated </w:t>
      </w:r>
      <w:r>
        <w:rPr>
          <w:rFonts w:ascii="Calibri" w:cs="Calibri" w:eastAsia="Calibri" w:hAnsi="Calibri"/>
          <w:sz w:val="18"/>
          <w:szCs w:val="18"/>
          <w:b w:val="1"/>
          <w:bCs w:val="1"/>
          <w:color w:val="auto"/>
        </w:rPr>
        <w:t>overwhelming support for the current Lead Independent Director</w:t>
      </w:r>
      <w:r>
        <w:rPr>
          <w:rFonts w:ascii="Calibri" w:cs="Calibri" w:eastAsia="Calibri" w:hAnsi="Calibri"/>
          <w:sz w:val="18"/>
          <w:szCs w:val="18"/>
          <w:color w:val="auto"/>
        </w:rPr>
        <w:t>, Stephen B. Burke, receiving more than 90% of shareholder votes for each electon during his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1815465</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8"/>
        <w:spacing w:after="0" w:line="226" w:lineRule="auto"/>
        <w:tabs>
          <w:tab w:leader="none" w:pos="68" w:val="left"/>
        </w:tabs>
        <w:numPr>
          <w:ilvl w:val="0"/>
          <w:numId w:val="11"/>
        </w:numPr>
        <w:rPr>
          <w:rFonts w:ascii="Calibri" w:cs="Calibri" w:eastAsia="Calibri" w:hAnsi="Calibri"/>
          <w:sz w:val="17"/>
          <w:szCs w:val="17"/>
          <w:color w:val="auto"/>
          <w:vertAlign w:val="superscript"/>
        </w:rPr>
      </w:pPr>
      <w:r>
        <w:rPr>
          <w:rFonts w:ascii="Calibri" w:cs="Calibri" w:eastAsia="Calibri" w:hAnsi="Calibri"/>
          <w:sz w:val="13"/>
          <w:szCs w:val="13"/>
          <w:color w:val="auto"/>
        </w:rPr>
        <w:t>Shearman &amp; Sterling's 2023 Corporate Governance &amp; Executve Compensaton Survey states that, of the 100 largest U.S. public companies listed on the NYSE and Nasdaq, 54 have a combined CEO/Chair role, and at the 46 companies where the chair and CEO positons are separated, 14 chairs were not independent.</w:t>
      </w:r>
    </w:p>
    <w:p>
      <w:pPr>
        <w:sectPr>
          <w:pgSz w:w="11900" w:h="16838" w:orient="portrait"/>
          <w:cols w:equalWidth="0" w:num="1">
            <w:col w:w="11200"/>
          </w:cols>
          <w:pgMar w:left="320" w:top="189" w:right="379"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4 | </w:t>
      </w:r>
      <w:r>
        <w:rPr>
          <w:rFonts w:ascii="Times New Roman" w:cs="Times New Roman" w:eastAsia="Times New Roman" w:hAnsi="Times New Roman"/>
          <w:sz w:val="22"/>
          <w:szCs w:val="22"/>
          <w:color w:val="7E7E7E"/>
        </w:rPr>
        <w:t>P a g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5"/>
          <w:szCs w:val="25"/>
          <w:b w:val="1"/>
          <w:bCs w:val="1"/>
          <w:u w:val="single" w:color="auto"/>
          <w:color w:val="auto"/>
        </w:rPr>
        <w:t>SUMMARY</w:t>
      </w:r>
    </w:p>
    <w:p>
      <w:pPr>
        <w:spacing w:after="0" w:line="267" w:lineRule="exact"/>
        <w:rPr>
          <w:sz w:val="20"/>
          <w:szCs w:val="20"/>
          <w:color w:val="auto"/>
        </w:rPr>
      </w:pPr>
    </w:p>
    <w:p>
      <w:pPr>
        <w:ind w:right="340"/>
        <w:spacing w:after="0" w:line="227" w:lineRule="auto"/>
        <w:rPr>
          <w:sz w:val="20"/>
          <w:szCs w:val="20"/>
          <w:color w:val="auto"/>
        </w:rPr>
      </w:pPr>
      <w:r>
        <w:rPr>
          <w:rFonts w:ascii="Calibri" w:cs="Calibri" w:eastAsia="Calibri" w:hAnsi="Calibri"/>
          <w:sz w:val="18"/>
          <w:szCs w:val="18"/>
          <w:color w:val="auto"/>
        </w:rPr>
        <w:t>Without addressing the above, the ISS Report’s recommendatons do not appear to provide shareholders and ISS clients with a logical and transparent account of the Board’s ratonale for why shareholders should not support these proposals.</w:t>
      </w:r>
    </w:p>
    <w:p>
      <w:pPr>
        <w:spacing w:after="0" w:line="16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Based on the foregoing, we request ISS to conduct a review of the facts and provide an updated analysis and recommendaton that address these concerns and omissions.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971675"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716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alibri" w:cs="Calibri" w:eastAsia="Calibri" w:hAnsi="Calibri"/>
          <w:sz w:val="18"/>
          <w:szCs w:val="18"/>
          <w:color w:val="auto"/>
        </w:rPr>
        <w:t>Aaron Bertnet</w:t>
      </w:r>
    </w:p>
    <w:sectPr>
      <w:pgSz w:w="11900" w:h="16838" w:orient="portrait"/>
      <w:cols w:equalWidth="0" w:num="1">
        <w:col w:w="11020"/>
      </w:cols>
      <w:pgMar w:left="320" w:top="1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3" Type="http://schemas.openxmlformats.org/officeDocument/2006/relationships/hyperlink" Target="https://www.sec.gov/ix?doc=/Archives/edgar/data/19617/000001961724000273/jpm-20240406.htm" TargetMode="External"/><Relationship Id="rId14" Type="http://schemas.openxmlformats.org/officeDocument/2006/relationships/hyperlink" Target="https://www.sec.gov/Archives/edgar/data/19617/000001961724000323/proxysupplementalmateri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2024-05-13T15:55:08Z</dcterms:created>
  <dcterms:modified xsi:type="dcterms:W3CDTF">2024-05-13T15:55:08Z</dcterms:modified>
</cp:coreProperties>
</file>