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0" w:type="dxa"/>
        <w:tblCellMar>
          <w:top w:w="0" w:type="dxa"/>
          <w:left w:w="0" w:type="dxa"/>
          <w:bottom w:w="0" w:type="dxa"/>
          <w:right w:w="0" w:type="dxa"/>
        </w:tblCellMar>
      </w:tblPr>
      <w:tr>
        <w:trPr>
          <w:trHeight w:val="180"/>
        </w:trPr>
        <w:tc>
          <w:tcPr>
            <w:tcW w:w="7280" w:type="dxa"/>
            <w:vAlign w:val="bottom"/>
            <w:vMerge w:val="restart"/>
          </w:tcPr>
          <w:p>
            <w:pPr>
              <w:spacing w:after="0"/>
              <w:rPr>
                <w:sz w:val="20"/>
                <w:szCs w:val="20"/>
                <w:color w:val="auto"/>
              </w:rPr>
            </w:pPr>
            <w:r>
              <w:rPr>
                <w:rFonts w:ascii="Verdana" w:cs="Verdana" w:eastAsia="Verdana" w:hAnsi="Verdana"/>
                <w:sz w:val="27"/>
                <w:szCs w:val="27"/>
                <w:b w:val="1"/>
                <w:bCs w:val="1"/>
                <w:color w:val="BB0826"/>
              </w:rPr>
              <w:t>JPMorgan Chase Financial Company LLC</w:t>
            </w:r>
          </w:p>
        </w:tc>
        <w:tc>
          <w:tcPr>
            <w:tcW w:w="3860" w:type="dxa"/>
            <w:vAlign w:val="bottom"/>
          </w:tcPr>
          <w:p>
            <w:pPr>
              <w:jc w:val="right"/>
              <w:spacing w:after="0"/>
              <w:rPr>
                <w:sz w:val="20"/>
                <w:szCs w:val="20"/>
                <w:color w:val="auto"/>
              </w:rPr>
            </w:pPr>
            <w:r>
              <w:rPr>
                <w:rFonts w:ascii="Verdana" w:cs="Verdana" w:eastAsia="Verdana" w:hAnsi="Verdana"/>
                <w:sz w:val="13"/>
                <w:szCs w:val="13"/>
                <w:color w:val="auto"/>
              </w:rPr>
              <w:t>Filed Pursuant to Rule 433</w:t>
            </w:r>
          </w:p>
        </w:tc>
        <w:tc>
          <w:tcPr>
            <w:tcW w:w="0" w:type="dxa"/>
            <w:vAlign w:val="bottom"/>
          </w:tcPr>
          <w:p>
            <w:pPr>
              <w:spacing w:after="0"/>
              <w:rPr>
                <w:sz w:val="1"/>
                <w:szCs w:val="1"/>
                <w:color w:val="auto"/>
              </w:rPr>
            </w:pPr>
          </w:p>
        </w:tc>
      </w:tr>
      <w:tr>
        <w:trPr>
          <w:trHeight w:val="149"/>
        </w:trPr>
        <w:tc>
          <w:tcPr>
            <w:tcW w:w="7280" w:type="dxa"/>
            <w:vAlign w:val="bottom"/>
            <w:vMerge w:val="continue"/>
          </w:tcPr>
          <w:p>
            <w:pPr>
              <w:spacing w:after="0"/>
              <w:rPr>
                <w:sz w:val="12"/>
                <w:szCs w:val="12"/>
                <w:color w:val="auto"/>
              </w:rPr>
            </w:pPr>
          </w:p>
        </w:tc>
        <w:tc>
          <w:tcPr>
            <w:tcW w:w="3860" w:type="dxa"/>
            <w:vAlign w:val="bottom"/>
          </w:tcPr>
          <w:p>
            <w:pPr>
              <w:jc w:val="right"/>
              <w:spacing w:after="0" w:line="149" w:lineRule="exact"/>
              <w:rPr>
                <w:sz w:val="20"/>
                <w:szCs w:val="20"/>
                <w:color w:val="auto"/>
              </w:rPr>
            </w:pPr>
            <w:r>
              <w:rPr>
                <w:rFonts w:ascii="Verdana" w:cs="Verdana" w:eastAsia="Verdana" w:hAnsi="Verdana"/>
                <w:sz w:val="13"/>
                <w:szCs w:val="13"/>
                <w:color w:val="auto"/>
              </w:rPr>
              <w:t>Registration Statement Nos. 333-293684</w:t>
            </w:r>
          </w:p>
        </w:tc>
        <w:tc>
          <w:tcPr>
            <w:tcW w:w="0" w:type="dxa"/>
            <w:vAlign w:val="bottom"/>
          </w:tcPr>
          <w:p>
            <w:pPr>
              <w:spacing w:after="0"/>
              <w:rPr>
                <w:sz w:val="1"/>
                <w:szCs w:val="1"/>
                <w:color w:val="auto"/>
              </w:rPr>
            </w:pPr>
          </w:p>
        </w:tc>
      </w:tr>
      <w:tr>
        <w:trPr>
          <w:trHeight w:val="165"/>
        </w:trPr>
        <w:tc>
          <w:tcPr>
            <w:tcW w:w="7280" w:type="dxa"/>
            <w:vAlign w:val="bottom"/>
            <w:vMerge w:val="restart"/>
          </w:tcPr>
          <w:p>
            <w:pPr>
              <w:spacing w:after="0"/>
              <w:rPr>
                <w:sz w:val="20"/>
                <w:szCs w:val="20"/>
                <w:color w:val="auto"/>
              </w:rPr>
            </w:pPr>
            <w:r>
              <w:rPr>
                <w:rFonts w:ascii="Verdana" w:cs="Verdana" w:eastAsia="Verdana" w:hAnsi="Verdana"/>
                <w:sz w:val="16"/>
                <w:szCs w:val="16"/>
                <w:b w:val="1"/>
                <w:bCs w:val="1"/>
                <w:i w:val="1"/>
                <w:iCs w:val="1"/>
                <w:color w:val="BB0826"/>
              </w:rPr>
              <w:t>Fully and Unconditionally Guaranteed by JPMorgan Chase &amp; Co.</w:t>
            </w:r>
          </w:p>
        </w:tc>
        <w:tc>
          <w:tcPr>
            <w:tcW w:w="3860" w:type="dxa"/>
            <w:vAlign w:val="bottom"/>
          </w:tcPr>
          <w:p>
            <w:pPr>
              <w:jc w:val="right"/>
              <w:spacing w:after="0"/>
              <w:rPr>
                <w:sz w:val="20"/>
                <w:szCs w:val="20"/>
                <w:color w:val="auto"/>
              </w:rPr>
            </w:pPr>
            <w:r>
              <w:rPr>
                <w:rFonts w:ascii="Verdana" w:cs="Verdana" w:eastAsia="Verdana" w:hAnsi="Verdana"/>
                <w:sz w:val="13"/>
                <w:szCs w:val="13"/>
                <w:color w:val="auto"/>
              </w:rPr>
              <w:t>and 333-293684-01</w:t>
            </w:r>
          </w:p>
        </w:tc>
        <w:tc>
          <w:tcPr>
            <w:tcW w:w="0" w:type="dxa"/>
            <w:vAlign w:val="bottom"/>
          </w:tcPr>
          <w:p>
            <w:pPr>
              <w:spacing w:after="0"/>
              <w:rPr>
                <w:sz w:val="1"/>
                <w:szCs w:val="1"/>
                <w:color w:val="auto"/>
              </w:rPr>
            </w:pPr>
          </w:p>
        </w:tc>
      </w:tr>
      <w:tr>
        <w:trPr>
          <w:trHeight w:val="132"/>
        </w:trPr>
        <w:tc>
          <w:tcPr>
            <w:tcW w:w="7280" w:type="dxa"/>
            <w:vAlign w:val="bottom"/>
            <w:vMerge w:val="continue"/>
          </w:tcPr>
          <w:p>
            <w:pPr>
              <w:spacing w:after="0"/>
              <w:rPr>
                <w:sz w:val="11"/>
                <w:szCs w:val="11"/>
                <w:color w:val="auto"/>
              </w:rPr>
            </w:pPr>
          </w:p>
        </w:tc>
        <w:tc>
          <w:tcPr>
            <w:tcW w:w="38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5431155</wp:posOffset>
            </wp:positionH>
            <wp:positionV relativeFrom="paragraph">
              <wp:posOffset>-90170</wp:posOffset>
            </wp:positionV>
            <wp:extent cx="1568450"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8450" cy="411480"/>
                    </a:xfrm>
                    <a:prstGeom prst="rect">
                      <a:avLst/>
                    </a:prstGeom>
                    <a:noFill/>
                  </pic:spPr>
                </pic:pic>
              </a:graphicData>
            </a:graphic>
          </wp:anchor>
        </w:drawing>
      </w:r>
    </w:p>
    <w:p>
      <w:pPr>
        <w:spacing w:after="0" w:line="30" w:lineRule="exact"/>
        <w:rPr>
          <w:sz w:val="24"/>
          <w:szCs w:val="24"/>
          <w:color w:val="auto"/>
        </w:rPr>
      </w:pPr>
    </w:p>
    <w:p>
      <w:pPr>
        <w:ind w:left="100"/>
        <w:spacing w:after="0"/>
        <w:rPr>
          <w:sz w:val="20"/>
          <w:szCs w:val="20"/>
          <w:color w:val="auto"/>
        </w:rPr>
      </w:pPr>
      <w:r>
        <w:rPr>
          <w:rFonts w:ascii="Verdana" w:cs="Verdana" w:eastAsia="Verdana" w:hAnsi="Verdana"/>
          <w:sz w:val="20"/>
          <w:szCs w:val="20"/>
          <w:b w:val="1"/>
          <w:bCs w:val="1"/>
          <w:color w:val="BB0826"/>
        </w:rPr>
        <w:t>Market Linked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6172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617220"/>
                    </a:xfrm>
                    <a:prstGeom prst="rect">
                      <a:avLst/>
                    </a:prstGeom>
                    <a:noFill/>
                  </pic:spPr>
                </pic:pic>
              </a:graphicData>
            </a:graphic>
          </wp:anchor>
        </w:drawing>
      </w:r>
    </w:p>
    <w:p>
      <w:pPr>
        <w:spacing w:after="0" w:line="300" w:lineRule="exact"/>
        <w:rPr>
          <w:sz w:val="24"/>
          <w:szCs w:val="24"/>
          <w:color w:val="auto"/>
        </w:rPr>
      </w:pPr>
    </w:p>
    <w:p>
      <w:pPr>
        <w:ind w:left="100" w:right="2660"/>
        <w:spacing w:after="0" w:line="260" w:lineRule="auto"/>
        <w:rPr>
          <w:sz w:val="20"/>
          <w:szCs w:val="20"/>
          <w:color w:val="auto"/>
        </w:rPr>
      </w:pPr>
      <w:r>
        <w:rPr>
          <w:rFonts w:ascii="Verdana" w:cs="Verdana" w:eastAsia="Verdana" w:hAnsi="Verdana"/>
          <w:sz w:val="16"/>
          <w:szCs w:val="16"/>
          <w:color w:val="FFFFFF"/>
        </w:rPr>
        <w:t>Market Linked Securities — Auto-Callable with Leveraged Upside Participation and Contingent Downside Principal at Risk Securities Linked to the S&amp;P 500</w:t>
      </w:r>
      <w:r>
        <w:rPr>
          <w:rFonts w:ascii="Verdana" w:cs="Verdana" w:eastAsia="Verdana" w:hAnsi="Verdana"/>
          <w:sz w:val="26"/>
          <w:szCs w:val="26"/>
          <w:color w:val="FFFFFF"/>
          <w:vertAlign w:val="superscript"/>
        </w:rPr>
        <w:t>®</w:t>
      </w:r>
      <w:r>
        <w:rPr>
          <w:rFonts w:ascii="Verdana" w:cs="Verdana" w:eastAsia="Verdana" w:hAnsi="Verdana"/>
          <w:sz w:val="16"/>
          <w:szCs w:val="16"/>
          <w:color w:val="FFFFFF"/>
        </w:rPr>
        <w:t xml:space="preserve"> Index due June 27, 2029</w:t>
      </w:r>
    </w:p>
    <w:p>
      <w:pPr>
        <w:spacing w:after="0" w:line="1" w:lineRule="exact"/>
        <w:rPr>
          <w:sz w:val="24"/>
          <w:szCs w:val="24"/>
          <w:color w:val="auto"/>
        </w:rPr>
      </w:pPr>
    </w:p>
    <w:p>
      <w:pPr>
        <w:ind w:left="100"/>
        <w:spacing w:after="0"/>
        <w:rPr>
          <w:sz w:val="20"/>
          <w:szCs w:val="20"/>
          <w:color w:val="auto"/>
        </w:rPr>
      </w:pPr>
      <w:r>
        <w:rPr>
          <w:rFonts w:ascii="Verdana" w:cs="Verdana" w:eastAsia="Verdana" w:hAnsi="Verdana"/>
          <w:sz w:val="16"/>
          <w:szCs w:val="16"/>
          <w:color w:val="FFFFFF"/>
        </w:rPr>
        <w:t>Fact Sheet dated June 15, 2026 to Preliminary Pricing Supplement dated June 15, 2026</w:t>
      </w:r>
    </w:p>
    <w:p>
      <w:pPr>
        <w:sectPr>
          <w:pgSz w:w="11900" w:h="16838" w:orient="portrait"/>
          <w:cols w:equalWidth="0" w:num="1">
            <w:col w:w="11240"/>
          </w:cols>
          <w:pgMar w:left="320" w:top="211" w:right="339" w:bottom="1440" w:gutter="0" w:footer="0" w:header="0"/>
        </w:sectPr>
      </w:pPr>
    </w:p>
    <w:p>
      <w:pPr>
        <w:spacing w:after="0" w:line="117" w:lineRule="exact"/>
        <w:rPr>
          <w:sz w:val="24"/>
          <w:szCs w:val="24"/>
          <w:color w:val="auto"/>
        </w:rPr>
      </w:pPr>
    </w:p>
    <w:p>
      <w:pPr>
        <w:ind w:left="100"/>
        <w:spacing w:after="0"/>
        <w:rPr>
          <w:sz w:val="20"/>
          <w:szCs w:val="20"/>
          <w:color w:val="auto"/>
        </w:rPr>
      </w:pPr>
      <w:r>
        <w:rPr>
          <w:rFonts w:ascii="Verdana" w:cs="Verdana" w:eastAsia="Verdana" w:hAnsi="Verdana"/>
          <w:sz w:val="20"/>
          <w:szCs w:val="20"/>
          <w:color w:val="8F8F8F"/>
        </w:rPr>
        <w:t>Summary of Terms</w:t>
      </w:r>
    </w:p>
    <w:tbl>
      <w:tblPr>
        <w:tblLayout w:type="fixed"/>
        <w:tblInd w:w="10" w:type="dxa"/>
        <w:tblCellMar>
          <w:top w:w="0" w:type="dxa"/>
          <w:left w:w="0" w:type="dxa"/>
          <w:bottom w:w="0" w:type="dxa"/>
          <w:right w:w="0" w:type="dxa"/>
        </w:tblCellMar>
      </w:tblPr>
      <w:tr>
        <w:trPr>
          <w:trHeight w:val="155"/>
        </w:trPr>
        <w:tc>
          <w:tcPr>
            <w:tcW w:w="1900" w:type="dxa"/>
            <w:vAlign w:val="bottom"/>
            <w:tcBorders>
              <w:top w:val="single" w:sz="8" w:color="auto"/>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Issuer:</w:t>
            </w:r>
          </w:p>
        </w:tc>
        <w:tc>
          <w:tcPr>
            <w:tcW w:w="3600" w:type="dxa"/>
            <w:vAlign w:val="bottom"/>
            <w:tcBorders>
              <w:top w:val="single" w:sz="8" w:color="auto"/>
              <w:bottom w:val="single" w:sz="8" w:color="auto"/>
              <w:right w:val="single" w:sz="8" w:color="auto"/>
            </w:tcBorders>
            <w:gridSpan w:val="8"/>
          </w:tcPr>
          <w:p>
            <w:pPr>
              <w:ind w:left="100"/>
              <w:spacing w:after="0" w:line="156" w:lineRule="exact"/>
              <w:rPr>
                <w:sz w:val="20"/>
                <w:szCs w:val="20"/>
                <w:color w:val="auto"/>
              </w:rPr>
            </w:pPr>
            <w:r>
              <w:rPr>
                <w:rFonts w:ascii="Georgia" w:cs="Georgia" w:eastAsia="Georgia" w:hAnsi="Georgia"/>
                <w:sz w:val="14"/>
                <w:szCs w:val="14"/>
                <w:color w:val="auto"/>
              </w:rPr>
              <w:t>JPMorgan Chase Financial Company LLC</w:t>
            </w:r>
          </w:p>
        </w:tc>
      </w:tr>
      <w:tr>
        <w:trPr>
          <w:trHeight w:val="156"/>
        </w:trPr>
        <w:tc>
          <w:tcPr>
            <w:tcW w:w="190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Guarantor:</w:t>
            </w:r>
          </w:p>
        </w:tc>
        <w:tc>
          <w:tcPr>
            <w:tcW w:w="3600" w:type="dxa"/>
            <w:vAlign w:val="bottom"/>
            <w:tcBorders>
              <w:bottom w:val="single" w:sz="8" w:color="auto"/>
              <w:right w:val="single" w:sz="8" w:color="auto"/>
            </w:tcBorders>
            <w:gridSpan w:val="8"/>
          </w:tcPr>
          <w:p>
            <w:pPr>
              <w:ind w:left="100"/>
              <w:spacing w:after="0" w:line="156" w:lineRule="exact"/>
              <w:rPr>
                <w:sz w:val="20"/>
                <w:szCs w:val="20"/>
                <w:color w:val="auto"/>
              </w:rPr>
            </w:pPr>
            <w:r>
              <w:rPr>
                <w:rFonts w:ascii="Georgia" w:cs="Georgia" w:eastAsia="Georgia" w:hAnsi="Georgia"/>
                <w:sz w:val="14"/>
                <w:szCs w:val="14"/>
                <w:color w:val="auto"/>
              </w:rPr>
              <w:t>JPMorgan Chase &amp; C0.</w:t>
            </w:r>
          </w:p>
        </w:tc>
      </w:tr>
      <w:tr>
        <w:trPr>
          <w:trHeight w:val="183"/>
        </w:trPr>
        <w:tc>
          <w:tcPr>
            <w:tcW w:w="1900" w:type="dxa"/>
            <w:vAlign w:val="bottom"/>
            <w:tcBorders>
              <w:left w:val="single" w:sz="8" w:color="auto"/>
              <w:bottom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Index:</w:t>
            </w:r>
          </w:p>
        </w:tc>
        <w:tc>
          <w:tcPr>
            <w:tcW w:w="3600" w:type="dxa"/>
            <w:vAlign w:val="bottom"/>
            <w:tcBorders>
              <w:bottom w:val="single" w:sz="8" w:color="auto"/>
              <w:right w:val="single" w:sz="8" w:color="auto"/>
            </w:tcBorders>
            <w:gridSpan w:val="8"/>
          </w:tcPr>
          <w:p>
            <w:pPr>
              <w:ind w:left="100"/>
              <w:spacing w:after="0" w:line="182" w:lineRule="exact"/>
              <w:rPr>
                <w:sz w:val="20"/>
                <w:szCs w:val="20"/>
                <w:color w:val="auto"/>
              </w:rPr>
            </w:pPr>
            <w:r>
              <w:rPr>
                <w:rFonts w:ascii="Georgia" w:cs="Georgia" w:eastAsia="Georgia" w:hAnsi="Georgia"/>
                <w:sz w:val="13"/>
                <w:szCs w:val="13"/>
                <w:color w:val="auto"/>
              </w:rPr>
              <w:t>The S&amp;P 500</w:t>
            </w:r>
            <w:r>
              <w:rPr>
                <w:rFonts w:ascii="Georgia" w:cs="Georgia" w:eastAsia="Georgia" w:hAnsi="Georgia"/>
                <w:sz w:val="21"/>
                <w:szCs w:val="21"/>
                <w:color w:val="auto"/>
                <w:vertAlign w:val="superscript"/>
              </w:rPr>
              <w:t>®</w:t>
            </w:r>
            <w:r>
              <w:rPr>
                <w:rFonts w:ascii="Georgia" w:cs="Georgia" w:eastAsia="Georgia" w:hAnsi="Georgia"/>
                <w:sz w:val="13"/>
                <w:szCs w:val="13"/>
                <w:color w:val="auto"/>
              </w:rPr>
              <w:t xml:space="preserve"> Index (Bloomberg ticker: SPX)</w:t>
            </w:r>
          </w:p>
        </w:tc>
      </w:tr>
      <w:tr>
        <w:trPr>
          <w:trHeight w:val="183"/>
        </w:trPr>
        <w:tc>
          <w:tcPr>
            <w:tcW w:w="190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Pricing Date</w:t>
            </w:r>
            <w:r>
              <w:rPr>
                <w:rFonts w:ascii="Georgia" w:cs="Georgia" w:eastAsia="Georgia" w:hAnsi="Georgia"/>
                <w:sz w:val="21"/>
                <w:szCs w:val="21"/>
                <w:color w:val="auto"/>
                <w:vertAlign w:val="superscript"/>
              </w:rPr>
              <w:t>1</w:t>
            </w:r>
            <w:r>
              <w:rPr>
                <w:rFonts w:ascii="Georgia" w:cs="Georgia" w:eastAsia="Georgia" w:hAnsi="Georgia"/>
                <w:sz w:val="13"/>
                <w:szCs w:val="13"/>
                <w:color w:val="auto"/>
              </w:rPr>
              <w:t>:</w:t>
            </w:r>
          </w:p>
        </w:tc>
        <w:tc>
          <w:tcPr>
            <w:tcW w:w="3600" w:type="dxa"/>
            <w:vAlign w:val="bottom"/>
            <w:tcBorders>
              <w:bottom w:val="single" w:sz="8" w:color="auto"/>
              <w:right w:val="single" w:sz="8" w:color="auto"/>
            </w:tcBorders>
            <w:gridSpan w:val="8"/>
          </w:tcPr>
          <w:p>
            <w:pPr>
              <w:ind w:left="100"/>
              <w:spacing w:after="0"/>
              <w:rPr>
                <w:sz w:val="20"/>
                <w:szCs w:val="20"/>
                <w:color w:val="auto"/>
              </w:rPr>
            </w:pPr>
            <w:r>
              <w:rPr>
                <w:rFonts w:ascii="Georgia" w:cs="Georgia" w:eastAsia="Georgia" w:hAnsi="Georgia"/>
                <w:sz w:val="14"/>
                <w:szCs w:val="14"/>
                <w:color w:val="auto"/>
              </w:rPr>
              <w:t>June 22, 2026</w:t>
            </w:r>
          </w:p>
        </w:tc>
      </w:tr>
      <w:tr>
        <w:trPr>
          <w:trHeight w:val="183"/>
        </w:trPr>
        <w:tc>
          <w:tcPr>
            <w:tcW w:w="190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Issue Date</w:t>
            </w:r>
            <w:r>
              <w:rPr>
                <w:rFonts w:ascii="Georgia" w:cs="Georgia" w:eastAsia="Georgia" w:hAnsi="Georgia"/>
                <w:sz w:val="21"/>
                <w:szCs w:val="21"/>
                <w:color w:val="auto"/>
                <w:vertAlign w:val="superscript"/>
              </w:rPr>
              <w:t>1</w:t>
            </w:r>
            <w:r>
              <w:rPr>
                <w:rFonts w:ascii="Georgia" w:cs="Georgia" w:eastAsia="Georgia" w:hAnsi="Georgia"/>
                <w:sz w:val="13"/>
                <w:szCs w:val="13"/>
                <w:color w:val="auto"/>
              </w:rPr>
              <w:t>:</w:t>
            </w:r>
          </w:p>
        </w:tc>
        <w:tc>
          <w:tcPr>
            <w:tcW w:w="3600" w:type="dxa"/>
            <w:vAlign w:val="bottom"/>
            <w:tcBorders>
              <w:bottom w:val="single" w:sz="8" w:color="auto"/>
              <w:right w:val="single" w:sz="8" w:color="auto"/>
            </w:tcBorders>
            <w:gridSpan w:val="8"/>
          </w:tcPr>
          <w:p>
            <w:pPr>
              <w:ind w:left="100"/>
              <w:spacing w:after="0"/>
              <w:rPr>
                <w:sz w:val="20"/>
                <w:szCs w:val="20"/>
                <w:color w:val="auto"/>
              </w:rPr>
            </w:pPr>
            <w:r>
              <w:rPr>
                <w:rFonts w:ascii="Georgia" w:cs="Georgia" w:eastAsia="Georgia" w:hAnsi="Georgia"/>
                <w:sz w:val="14"/>
                <w:szCs w:val="14"/>
                <w:color w:val="auto"/>
              </w:rPr>
              <w:t>June 25, 2026</w:t>
            </w:r>
          </w:p>
        </w:tc>
      </w:tr>
      <w:tr>
        <w:trPr>
          <w:trHeight w:val="183"/>
        </w:trPr>
        <w:tc>
          <w:tcPr>
            <w:tcW w:w="190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Final Calculation Day</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3600" w:type="dxa"/>
            <w:vAlign w:val="bottom"/>
            <w:tcBorders>
              <w:bottom w:val="single" w:sz="8" w:color="auto"/>
              <w:right w:val="single" w:sz="8" w:color="auto"/>
            </w:tcBorders>
            <w:gridSpan w:val="8"/>
          </w:tcPr>
          <w:p>
            <w:pPr>
              <w:ind w:left="100"/>
              <w:spacing w:after="0"/>
              <w:rPr>
                <w:sz w:val="20"/>
                <w:szCs w:val="20"/>
                <w:color w:val="auto"/>
              </w:rPr>
            </w:pPr>
            <w:r>
              <w:rPr>
                <w:rFonts w:ascii="Georgia" w:cs="Georgia" w:eastAsia="Georgia" w:hAnsi="Georgia"/>
                <w:sz w:val="14"/>
                <w:szCs w:val="14"/>
                <w:color w:val="auto"/>
              </w:rPr>
              <w:t>June 22, 2029</w:t>
            </w:r>
          </w:p>
        </w:tc>
      </w:tr>
      <w:tr>
        <w:trPr>
          <w:trHeight w:val="183"/>
        </w:trPr>
        <w:tc>
          <w:tcPr>
            <w:tcW w:w="190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Stated Maturity Date</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3600" w:type="dxa"/>
            <w:vAlign w:val="bottom"/>
            <w:tcBorders>
              <w:bottom w:val="single" w:sz="8" w:color="auto"/>
              <w:right w:val="single" w:sz="8" w:color="auto"/>
            </w:tcBorders>
            <w:gridSpan w:val="8"/>
          </w:tcPr>
          <w:p>
            <w:pPr>
              <w:ind w:left="100"/>
              <w:spacing w:after="0"/>
              <w:rPr>
                <w:sz w:val="20"/>
                <w:szCs w:val="20"/>
                <w:color w:val="auto"/>
              </w:rPr>
            </w:pPr>
            <w:r>
              <w:rPr>
                <w:rFonts w:ascii="Georgia" w:cs="Georgia" w:eastAsia="Georgia" w:hAnsi="Georgia"/>
                <w:sz w:val="14"/>
                <w:szCs w:val="14"/>
                <w:color w:val="auto"/>
              </w:rPr>
              <w:t>June 27, 2029</w:t>
            </w:r>
          </w:p>
        </w:tc>
      </w:tr>
      <w:tr>
        <w:trPr>
          <w:trHeight w:val="155"/>
        </w:trPr>
        <w:tc>
          <w:tcPr>
            <w:tcW w:w="190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Principal Amount:</w:t>
            </w:r>
          </w:p>
        </w:tc>
        <w:tc>
          <w:tcPr>
            <w:tcW w:w="3600" w:type="dxa"/>
            <w:vAlign w:val="bottom"/>
            <w:tcBorders>
              <w:bottom w:val="single" w:sz="8" w:color="auto"/>
              <w:right w:val="single" w:sz="8" w:color="auto"/>
            </w:tcBorders>
            <w:gridSpan w:val="8"/>
          </w:tcPr>
          <w:p>
            <w:pPr>
              <w:ind w:left="100"/>
              <w:spacing w:after="0" w:line="156" w:lineRule="exact"/>
              <w:rPr>
                <w:sz w:val="20"/>
                <w:szCs w:val="20"/>
                <w:color w:val="auto"/>
              </w:rPr>
            </w:pPr>
            <w:r>
              <w:rPr>
                <w:rFonts w:ascii="Georgia" w:cs="Georgia" w:eastAsia="Georgia" w:hAnsi="Georgia"/>
                <w:sz w:val="14"/>
                <w:szCs w:val="14"/>
                <w:color w:val="auto"/>
              </w:rPr>
              <w:t>$1,000 per security (100% of par)</w:t>
            </w:r>
          </w:p>
        </w:tc>
      </w:tr>
      <w:tr>
        <w:trPr>
          <w:trHeight w:val="158"/>
        </w:trPr>
        <w:tc>
          <w:tcPr>
            <w:tcW w:w="190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Automatic Call:</w:t>
            </w:r>
          </w:p>
        </w:tc>
        <w:tc>
          <w:tcPr>
            <w:tcW w:w="3600" w:type="dxa"/>
            <w:vAlign w:val="bottom"/>
            <w:tcBorders>
              <w:right w:val="single" w:sz="8" w:color="auto"/>
            </w:tcBorders>
            <w:gridSpan w:val="8"/>
          </w:tcPr>
          <w:p>
            <w:pPr>
              <w:ind w:left="100"/>
              <w:spacing w:after="0"/>
              <w:rPr>
                <w:sz w:val="20"/>
                <w:szCs w:val="20"/>
                <w:color w:val="auto"/>
              </w:rPr>
            </w:pPr>
            <w:r>
              <w:rPr>
                <w:rFonts w:ascii="Georgia" w:cs="Georgia" w:eastAsia="Georgia" w:hAnsi="Georgia"/>
                <w:sz w:val="14"/>
                <w:szCs w:val="14"/>
                <w:color w:val="auto"/>
              </w:rPr>
              <w:t>If the closing level of the Index on the call date is</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600" w:type="dxa"/>
            <w:vAlign w:val="bottom"/>
            <w:tcBorders>
              <w:right w:val="single" w:sz="8" w:color="auto"/>
            </w:tcBorders>
            <w:gridSpan w:val="8"/>
          </w:tcPr>
          <w:p>
            <w:pPr>
              <w:ind w:left="100"/>
              <w:spacing w:after="0"/>
              <w:rPr>
                <w:sz w:val="20"/>
                <w:szCs w:val="20"/>
                <w:color w:val="auto"/>
              </w:rPr>
            </w:pPr>
            <w:r>
              <w:rPr>
                <w:rFonts w:ascii="Georgia" w:cs="Georgia" w:eastAsia="Georgia" w:hAnsi="Georgia"/>
                <w:sz w:val="14"/>
                <w:szCs w:val="14"/>
                <w:color w:val="auto"/>
              </w:rPr>
              <w:t>greater than or equal to the starting level, the</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600" w:type="dxa"/>
            <w:vAlign w:val="bottom"/>
            <w:tcBorders>
              <w:right w:val="single" w:sz="8" w:color="auto"/>
            </w:tcBorders>
            <w:gridSpan w:val="8"/>
          </w:tcPr>
          <w:p>
            <w:pPr>
              <w:ind w:left="100"/>
              <w:spacing w:after="0"/>
              <w:rPr>
                <w:sz w:val="20"/>
                <w:szCs w:val="20"/>
                <w:color w:val="auto"/>
              </w:rPr>
            </w:pPr>
            <w:r>
              <w:rPr>
                <w:rFonts w:ascii="Georgia" w:cs="Georgia" w:eastAsia="Georgia" w:hAnsi="Georgia"/>
                <w:sz w:val="14"/>
                <w:szCs w:val="14"/>
                <w:color w:val="auto"/>
              </w:rPr>
              <w:t>securities will be automatically called, and on the call</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600" w:type="dxa"/>
            <w:vAlign w:val="bottom"/>
            <w:tcBorders>
              <w:right w:val="single" w:sz="8" w:color="auto"/>
            </w:tcBorders>
            <w:gridSpan w:val="8"/>
          </w:tcPr>
          <w:p>
            <w:pPr>
              <w:ind w:left="100"/>
              <w:spacing w:after="0"/>
              <w:rPr>
                <w:sz w:val="20"/>
                <w:szCs w:val="20"/>
                <w:color w:val="auto"/>
              </w:rPr>
            </w:pPr>
            <w:r>
              <w:rPr>
                <w:rFonts w:ascii="Georgia" w:cs="Georgia" w:eastAsia="Georgia" w:hAnsi="Georgia"/>
                <w:sz w:val="14"/>
                <w:szCs w:val="14"/>
                <w:color w:val="auto"/>
              </w:rPr>
              <w:t>settlement date, investors will receive the principal</w:t>
            </w:r>
          </w:p>
        </w:tc>
      </w:tr>
      <w:tr>
        <w:trPr>
          <w:trHeight w:val="159"/>
        </w:trPr>
        <w:tc>
          <w:tcPr>
            <w:tcW w:w="1900" w:type="dxa"/>
            <w:vAlign w:val="bottom"/>
            <w:tcBorders>
              <w:left w:val="single" w:sz="8" w:color="auto"/>
              <w:bottom w:val="single" w:sz="8" w:color="auto"/>
              <w:right w:val="single" w:sz="8" w:color="auto"/>
            </w:tcBorders>
          </w:tcPr>
          <w:p>
            <w:pPr>
              <w:spacing w:after="0"/>
              <w:rPr>
                <w:sz w:val="13"/>
                <w:szCs w:val="13"/>
                <w:color w:val="auto"/>
              </w:rPr>
            </w:pPr>
          </w:p>
        </w:tc>
        <w:tc>
          <w:tcPr>
            <w:tcW w:w="3600" w:type="dxa"/>
            <w:vAlign w:val="bottom"/>
            <w:tcBorders>
              <w:bottom w:val="single" w:sz="8" w:color="auto"/>
              <w:right w:val="single" w:sz="8" w:color="auto"/>
            </w:tcBorders>
            <w:gridSpan w:val="8"/>
          </w:tcPr>
          <w:p>
            <w:pPr>
              <w:ind w:left="100"/>
              <w:spacing w:after="0"/>
              <w:rPr>
                <w:sz w:val="20"/>
                <w:szCs w:val="20"/>
                <w:color w:val="auto"/>
              </w:rPr>
            </w:pPr>
            <w:r>
              <w:rPr>
                <w:rFonts w:ascii="Georgia" w:cs="Georgia" w:eastAsia="Georgia" w:hAnsi="Georgia"/>
                <w:sz w:val="14"/>
                <w:szCs w:val="14"/>
                <w:color w:val="auto"/>
              </w:rPr>
              <w:t xml:space="preserve">amount </w:t>
            </w:r>
            <w:r>
              <w:rPr>
                <w:rFonts w:ascii="Georgia" w:cs="Georgia" w:eastAsia="Georgia" w:hAnsi="Georgia"/>
                <w:sz w:val="14"/>
                <w:szCs w:val="14"/>
                <w:i w:val="1"/>
                <w:iCs w:val="1"/>
                <w:color w:val="auto"/>
              </w:rPr>
              <w:t>plus</w:t>
            </w:r>
            <w:r>
              <w:rPr>
                <w:rFonts w:ascii="Georgia" w:cs="Georgia" w:eastAsia="Georgia" w:hAnsi="Georgia"/>
                <w:sz w:val="14"/>
                <w:szCs w:val="14"/>
                <w:color w:val="auto"/>
              </w:rPr>
              <w:t xml:space="preserve"> the call premium.</w:t>
            </w:r>
          </w:p>
        </w:tc>
      </w:tr>
      <w:tr>
        <w:trPr>
          <w:trHeight w:val="159"/>
        </w:trPr>
        <w:tc>
          <w:tcPr>
            <w:tcW w:w="190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Call Premium:</w:t>
            </w:r>
          </w:p>
        </w:tc>
        <w:tc>
          <w:tcPr>
            <w:tcW w:w="3600" w:type="dxa"/>
            <w:vAlign w:val="bottom"/>
            <w:tcBorders>
              <w:right w:val="single" w:sz="8" w:color="auto"/>
            </w:tcBorders>
            <w:gridSpan w:val="8"/>
          </w:tcPr>
          <w:p>
            <w:pPr>
              <w:ind w:left="100"/>
              <w:spacing w:after="0"/>
              <w:rPr>
                <w:sz w:val="20"/>
                <w:szCs w:val="20"/>
                <w:color w:val="auto"/>
              </w:rPr>
            </w:pPr>
            <w:r>
              <w:rPr>
                <w:rFonts w:ascii="Georgia" w:cs="Georgia" w:eastAsia="Georgia" w:hAnsi="Georgia"/>
                <w:sz w:val="14"/>
                <w:szCs w:val="14"/>
                <w:color w:val="auto"/>
              </w:rPr>
              <w:t>At least 7.55% of the principal amount (the actual call</w:t>
            </w:r>
          </w:p>
        </w:tc>
      </w:tr>
      <w:tr>
        <w:trPr>
          <w:trHeight w:val="159"/>
        </w:trPr>
        <w:tc>
          <w:tcPr>
            <w:tcW w:w="1900" w:type="dxa"/>
            <w:vAlign w:val="bottom"/>
            <w:tcBorders>
              <w:left w:val="single" w:sz="8" w:color="auto"/>
              <w:bottom w:val="single" w:sz="8" w:color="auto"/>
              <w:right w:val="single" w:sz="8" w:color="auto"/>
            </w:tcBorders>
          </w:tcPr>
          <w:p>
            <w:pPr>
              <w:spacing w:after="0"/>
              <w:rPr>
                <w:sz w:val="13"/>
                <w:szCs w:val="13"/>
                <w:color w:val="auto"/>
              </w:rPr>
            </w:pPr>
          </w:p>
        </w:tc>
        <w:tc>
          <w:tcPr>
            <w:tcW w:w="3600" w:type="dxa"/>
            <w:vAlign w:val="bottom"/>
            <w:tcBorders>
              <w:bottom w:val="single" w:sz="8" w:color="auto"/>
              <w:right w:val="single" w:sz="8" w:color="auto"/>
            </w:tcBorders>
            <w:gridSpan w:val="8"/>
          </w:tcPr>
          <w:p>
            <w:pPr>
              <w:ind w:left="100"/>
              <w:spacing w:after="0"/>
              <w:rPr>
                <w:sz w:val="20"/>
                <w:szCs w:val="20"/>
                <w:color w:val="auto"/>
              </w:rPr>
            </w:pPr>
            <w:r>
              <w:rPr>
                <w:rFonts w:ascii="Georgia" w:cs="Georgia" w:eastAsia="Georgia" w:hAnsi="Georgia"/>
                <w:sz w:val="14"/>
                <w:szCs w:val="14"/>
                <w:color w:val="auto"/>
              </w:rPr>
              <w:t>premium will be provided in the pricing supplement)</w:t>
            </w:r>
          </w:p>
        </w:tc>
      </w:tr>
      <w:tr>
        <w:trPr>
          <w:trHeight w:val="183"/>
        </w:trPr>
        <w:tc>
          <w:tcPr>
            <w:tcW w:w="190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Call Date</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3600" w:type="dxa"/>
            <w:vAlign w:val="bottom"/>
            <w:tcBorders>
              <w:bottom w:val="single" w:sz="8" w:color="auto"/>
              <w:right w:val="single" w:sz="8" w:color="auto"/>
            </w:tcBorders>
            <w:gridSpan w:val="8"/>
          </w:tcPr>
          <w:p>
            <w:pPr>
              <w:ind w:left="100"/>
              <w:spacing w:after="0"/>
              <w:rPr>
                <w:sz w:val="20"/>
                <w:szCs w:val="20"/>
                <w:color w:val="auto"/>
              </w:rPr>
            </w:pPr>
            <w:r>
              <w:rPr>
                <w:rFonts w:ascii="Georgia" w:cs="Georgia" w:eastAsia="Georgia" w:hAnsi="Georgia"/>
                <w:sz w:val="14"/>
                <w:szCs w:val="14"/>
                <w:color w:val="auto"/>
              </w:rPr>
              <w:t>June 25, 2027</w:t>
            </w:r>
          </w:p>
        </w:tc>
      </w:tr>
      <w:tr>
        <w:trPr>
          <w:trHeight w:val="183"/>
        </w:trPr>
        <w:tc>
          <w:tcPr>
            <w:tcW w:w="190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Call Settlement Date</w:t>
            </w:r>
            <w:r>
              <w:rPr>
                <w:rFonts w:ascii="Georgia" w:cs="Georgia" w:eastAsia="Georgia" w:hAnsi="Georgia"/>
                <w:sz w:val="21"/>
                <w:szCs w:val="21"/>
                <w:color w:val="auto"/>
                <w:vertAlign w:val="superscript"/>
              </w:rPr>
              <w:t>1,2</w:t>
            </w:r>
            <w:r>
              <w:rPr>
                <w:rFonts w:ascii="Georgia" w:cs="Georgia" w:eastAsia="Georgia" w:hAnsi="Georgia"/>
                <w:sz w:val="13"/>
                <w:szCs w:val="13"/>
                <w:color w:val="auto"/>
              </w:rPr>
              <w:t>:</w:t>
            </w:r>
          </w:p>
        </w:tc>
        <w:tc>
          <w:tcPr>
            <w:tcW w:w="3600" w:type="dxa"/>
            <w:vAlign w:val="bottom"/>
            <w:tcBorders>
              <w:bottom w:val="single" w:sz="8" w:color="auto"/>
              <w:right w:val="single" w:sz="8" w:color="auto"/>
            </w:tcBorders>
            <w:gridSpan w:val="8"/>
          </w:tcPr>
          <w:p>
            <w:pPr>
              <w:ind w:left="100"/>
              <w:spacing w:after="0"/>
              <w:rPr>
                <w:sz w:val="20"/>
                <w:szCs w:val="20"/>
                <w:color w:val="auto"/>
              </w:rPr>
            </w:pPr>
            <w:r>
              <w:rPr>
                <w:rFonts w:ascii="Georgia" w:cs="Georgia" w:eastAsia="Georgia" w:hAnsi="Georgia"/>
                <w:sz w:val="14"/>
                <w:szCs w:val="14"/>
                <w:color w:val="auto"/>
              </w:rPr>
              <w:t>Three business days after the call date</w:t>
            </w:r>
          </w:p>
        </w:tc>
      </w:tr>
      <w:tr>
        <w:trPr>
          <w:trHeight w:val="159"/>
        </w:trPr>
        <w:tc>
          <w:tcPr>
            <w:tcW w:w="190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Maturity Payment</w:t>
            </w:r>
          </w:p>
        </w:tc>
        <w:tc>
          <w:tcPr>
            <w:tcW w:w="3600" w:type="dxa"/>
            <w:vAlign w:val="bottom"/>
            <w:tcBorders>
              <w:right w:val="single" w:sz="8" w:color="auto"/>
            </w:tcBorders>
            <w:gridSpan w:val="8"/>
          </w:tcPr>
          <w:p>
            <w:pPr>
              <w:ind w:left="100"/>
              <w:spacing w:after="0"/>
              <w:rPr>
                <w:sz w:val="20"/>
                <w:szCs w:val="20"/>
                <w:color w:val="auto"/>
              </w:rPr>
            </w:pPr>
            <w:r>
              <w:rPr>
                <w:rFonts w:ascii="Georgia" w:cs="Georgia" w:eastAsia="Georgia" w:hAnsi="Georgia"/>
                <w:sz w:val="14"/>
                <w:szCs w:val="14"/>
                <w:color w:val="auto"/>
              </w:rPr>
              <w:t>If the securities are not automatically called on the</w:t>
            </w:r>
          </w:p>
        </w:tc>
      </w:tr>
      <w:tr>
        <w:trPr>
          <w:trHeight w:val="145"/>
        </w:trPr>
        <w:tc>
          <w:tcPr>
            <w:tcW w:w="1900" w:type="dxa"/>
            <w:vAlign w:val="bottom"/>
            <w:tcBorders>
              <w:left w:val="single" w:sz="8" w:color="auto"/>
              <w:right w:val="single" w:sz="8" w:color="auto"/>
            </w:tcBorders>
          </w:tcPr>
          <w:p>
            <w:pPr>
              <w:ind w:left="120"/>
              <w:spacing w:after="0" w:line="146" w:lineRule="exact"/>
              <w:rPr>
                <w:sz w:val="20"/>
                <w:szCs w:val="20"/>
                <w:color w:val="auto"/>
              </w:rPr>
            </w:pPr>
            <w:r>
              <w:rPr>
                <w:rFonts w:ascii="Georgia" w:cs="Georgia" w:eastAsia="Georgia" w:hAnsi="Georgia"/>
                <w:sz w:val="14"/>
                <w:szCs w:val="14"/>
                <w:color w:val="auto"/>
              </w:rPr>
              <w:t>Amount:</w:t>
            </w:r>
          </w:p>
        </w:tc>
        <w:tc>
          <w:tcPr>
            <w:tcW w:w="3600" w:type="dxa"/>
            <w:vAlign w:val="bottom"/>
            <w:tcBorders>
              <w:right w:val="single" w:sz="8" w:color="auto"/>
            </w:tcBorders>
            <w:gridSpan w:val="8"/>
          </w:tcPr>
          <w:p>
            <w:pPr>
              <w:ind w:left="100"/>
              <w:spacing w:after="0" w:line="146" w:lineRule="exact"/>
              <w:rPr>
                <w:sz w:val="20"/>
                <w:szCs w:val="20"/>
                <w:color w:val="auto"/>
              </w:rPr>
            </w:pPr>
            <w:r>
              <w:rPr>
                <w:rFonts w:ascii="Georgia" w:cs="Georgia" w:eastAsia="Georgia" w:hAnsi="Georgia"/>
                <w:sz w:val="14"/>
                <w:szCs w:val="14"/>
                <w:color w:val="auto"/>
              </w:rPr>
              <w:t>call date, the “maturity payment amount” per</w:t>
            </w:r>
          </w:p>
        </w:tc>
      </w:tr>
      <w:tr>
        <w:trPr>
          <w:trHeight w:val="20"/>
        </w:trPr>
        <w:tc>
          <w:tcPr>
            <w:tcW w:w="1900" w:type="dxa"/>
            <w:vAlign w:val="bottom"/>
            <w:tcBorders>
              <w:left w:val="single" w:sz="8" w:color="auto"/>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r>
      <w:tr>
        <w:trPr>
          <w:trHeight w:val="158"/>
        </w:trPr>
        <w:tc>
          <w:tcPr>
            <w:tcW w:w="1900" w:type="dxa"/>
            <w:vAlign w:val="bottom"/>
            <w:tcBorders>
              <w:left w:val="single" w:sz="8" w:color="auto"/>
              <w:right w:val="single" w:sz="8" w:color="auto"/>
            </w:tcBorders>
          </w:tcPr>
          <w:p>
            <w:pPr>
              <w:spacing w:after="0"/>
              <w:rPr>
                <w:sz w:val="13"/>
                <w:szCs w:val="13"/>
                <w:color w:val="auto"/>
              </w:rPr>
            </w:pPr>
          </w:p>
        </w:tc>
        <w:tc>
          <w:tcPr>
            <w:tcW w:w="3600" w:type="dxa"/>
            <w:vAlign w:val="bottom"/>
            <w:tcBorders>
              <w:right w:val="single" w:sz="8" w:color="auto"/>
            </w:tcBorders>
            <w:gridSpan w:val="8"/>
          </w:tcPr>
          <w:p>
            <w:pPr>
              <w:ind w:left="100"/>
              <w:spacing w:after="0"/>
              <w:rPr>
                <w:sz w:val="20"/>
                <w:szCs w:val="20"/>
                <w:color w:val="auto"/>
              </w:rPr>
            </w:pPr>
            <w:r>
              <w:rPr>
                <w:rFonts w:ascii="Georgia" w:cs="Georgia" w:eastAsia="Georgia" w:hAnsi="Georgia"/>
                <w:sz w:val="14"/>
                <w:szCs w:val="14"/>
                <w:color w:val="auto"/>
              </w:rPr>
              <w:t>security will equal:</w:t>
            </w:r>
          </w:p>
        </w:tc>
      </w:tr>
      <w:tr>
        <w:trPr>
          <w:trHeight w:val="176"/>
        </w:trPr>
        <w:tc>
          <w:tcPr>
            <w:tcW w:w="1900" w:type="dxa"/>
            <w:vAlign w:val="bottom"/>
            <w:tcBorders>
              <w:left w:val="single" w:sz="8" w:color="auto"/>
              <w:right w:val="single" w:sz="8" w:color="auto"/>
            </w:tcBorders>
          </w:tcPr>
          <w:p>
            <w:pPr>
              <w:spacing w:after="0"/>
              <w:rPr>
                <w:sz w:val="15"/>
                <w:szCs w:val="15"/>
                <w:color w:val="auto"/>
              </w:rPr>
            </w:pPr>
          </w:p>
        </w:tc>
        <w:tc>
          <w:tcPr>
            <w:tcW w:w="480" w:type="dxa"/>
            <w:vAlign w:val="bottom"/>
            <w:gridSpan w:val="2"/>
          </w:tcPr>
          <w:p>
            <w:pPr>
              <w:ind w:left="200"/>
              <w:spacing w:after="0"/>
              <w:rPr>
                <w:sz w:val="20"/>
                <w:szCs w:val="20"/>
                <w:color w:val="auto"/>
              </w:rPr>
            </w:pPr>
            <w:r>
              <w:rPr>
                <w:rFonts w:ascii="Arial" w:cs="Arial" w:eastAsia="Arial" w:hAnsi="Arial"/>
                <w:sz w:val="14"/>
                <w:szCs w:val="14"/>
                <w:b w:val="1"/>
                <w:bCs w:val="1"/>
                <w:color w:val="auto"/>
              </w:rPr>
              <w:t>·</w:t>
            </w:r>
          </w:p>
        </w:tc>
        <w:tc>
          <w:tcPr>
            <w:tcW w:w="3120" w:type="dxa"/>
            <w:vAlign w:val="bottom"/>
            <w:tcBorders>
              <w:right w:val="single" w:sz="8" w:color="auto"/>
            </w:tcBorders>
            <w:gridSpan w:val="6"/>
          </w:tcPr>
          <w:p>
            <w:pPr>
              <w:ind w:left="40"/>
              <w:spacing w:after="0"/>
              <w:rPr>
                <w:sz w:val="20"/>
                <w:szCs w:val="20"/>
                <w:color w:val="auto"/>
              </w:rPr>
            </w:pPr>
            <w:r>
              <w:rPr>
                <w:rFonts w:ascii="Georgia" w:cs="Georgia" w:eastAsia="Georgia" w:hAnsi="Georgia"/>
                <w:sz w:val="14"/>
                <w:szCs w:val="14"/>
                <w:color w:val="auto"/>
              </w:rPr>
              <w:t>if the ending level is greater than the starting</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8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level:</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600" w:type="dxa"/>
            <w:vAlign w:val="bottom"/>
            <w:tcBorders>
              <w:right w:val="single" w:sz="8" w:color="auto"/>
            </w:tcBorders>
            <w:gridSpan w:val="8"/>
          </w:tcPr>
          <w:p>
            <w:pPr>
              <w:ind w:left="100"/>
              <w:spacing w:after="0"/>
              <w:rPr>
                <w:sz w:val="20"/>
                <w:szCs w:val="20"/>
                <w:color w:val="auto"/>
              </w:rPr>
            </w:pPr>
            <w:r>
              <w:rPr>
                <w:rFonts w:ascii="Georgia" w:cs="Georgia" w:eastAsia="Georgia" w:hAnsi="Georgia"/>
                <w:sz w:val="14"/>
                <w:szCs w:val="14"/>
                <w:color w:val="auto"/>
              </w:rPr>
              <w:t>$1,000 + ($1,000 × index return × upside</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600" w:type="dxa"/>
            <w:vAlign w:val="bottom"/>
            <w:tcBorders>
              <w:right w:val="single" w:sz="8" w:color="auto"/>
            </w:tcBorders>
            <w:gridSpan w:val="8"/>
          </w:tcPr>
          <w:p>
            <w:pPr>
              <w:ind w:left="100"/>
              <w:spacing w:after="0"/>
              <w:rPr>
                <w:sz w:val="20"/>
                <w:szCs w:val="20"/>
                <w:color w:val="auto"/>
              </w:rPr>
            </w:pPr>
            <w:r>
              <w:rPr>
                <w:rFonts w:ascii="Georgia" w:cs="Georgia" w:eastAsia="Georgia" w:hAnsi="Georgia"/>
                <w:sz w:val="14"/>
                <w:szCs w:val="14"/>
                <w:color w:val="auto"/>
              </w:rPr>
              <w:t>participation rate);</w:t>
            </w:r>
          </w:p>
        </w:tc>
      </w:tr>
      <w:tr>
        <w:trPr>
          <w:trHeight w:val="175"/>
        </w:trPr>
        <w:tc>
          <w:tcPr>
            <w:tcW w:w="1900" w:type="dxa"/>
            <w:vAlign w:val="bottom"/>
            <w:tcBorders>
              <w:left w:val="single" w:sz="8" w:color="auto"/>
              <w:right w:val="single" w:sz="8" w:color="auto"/>
            </w:tcBorders>
          </w:tcPr>
          <w:p>
            <w:pPr>
              <w:spacing w:after="0"/>
              <w:rPr>
                <w:sz w:val="15"/>
                <w:szCs w:val="15"/>
                <w:color w:val="auto"/>
              </w:rPr>
            </w:pPr>
          </w:p>
        </w:tc>
        <w:tc>
          <w:tcPr>
            <w:tcW w:w="480" w:type="dxa"/>
            <w:vAlign w:val="bottom"/>
            <w:gridSpan w:val="2"/>
          </w:tcPr>
          <w:p>
            <w:pPr>
              <w:ind w:left="200"/>
              <w:spacing w:after="0"/>
              <w:rPr>
                <w:sz w:val="20"/>
                <w:szCs w:val="20"/>
                <w:color w:val="auto"/>
              </w:rPr>
            </w:pPr>
            <w:r>
              <w:rPr>
                <w:rFonts w:ascii="Arial" w:cs="Arial" w:eastAsia="Arial" w:hAnsi="Arial"/>
                <w:sz w:val="14"/>
                <w:szCs w:val="14"/>
                <w:b w:val="1"/>
                <w:bCs w:val="1"/>
                <w:color w:val="auto"/>
              </w:rPr>
              <w:t>·</w:t>
            </w:r>
          </w:p>
        </w:tc>
        <w:tc>
          <w:tcPr>
            <w:tcW w:w="3120" w:type="dxa"/>
            <w:vAlign w:val="bottom"/>
            <w:tcBorders>
              <w:right w:val="single" w:sz="8" w:color="auto"/>
            </w:tcBorders>
            <w:gridSpan w:val="6"/>
          </w:tcPr>
          <w:p>
            <w:pPr>
              <w:ind w:left="40"/>
              <w:spacing w:after="0"/>
              <w:rPr>
                <w:sz w:val="20"/>
                <w:szCs w:val="20"/>
                <w:color w:val="auto"/>
              </w:rPr>
            </w:pPr>
            <w:r>
              <w:rPr>
                <w:rFonts w:ascii="Georgia" w:cs="Georgia" w:eastAsia="Georgia" w:hAnsi="Georgia"/>
                <w:sz w:val="14"/>
                <w:szCs w:val="14"/>
                <w:color w:val="auto"/>
              </w:rPr>
              <w:t>if the ending level is less than or equal to the</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8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starting level, but greater than or equal to the</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8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threshold level: $1,000; or</w:t>
            </w:r>
          </w:p>
        </w:tc>
      </w:tr>
      <w:tr>
        <w:trPr>
          <w:trHeight w:val="175"/>
        </w:trPr>
        <w:tc>
          <w:tcPr>
            <w:tcW w:w="1900" w:type="dxa"/>
            <w:vAlign w:val="bottom"/>
            <w:tcBorders>
              <w:left w:val="single" w:sz="8" w:color="auto"/>
              <w:right w:val="single" w:sz="8" w:color="auto"/>
            </w:tcBorders>
          </w:tcPr>
          <w:p>
            <w:pPr>
              <w:spacing w:after="0"/>
              <w:rPr>
                <w:sz w:val="15"/>
                <w:szCs w:val="15"/>
                <w:color w:val="auto"/>
              </w:rPr>
            </w:pPr>
          </w:p>
        </w:tc>
        <w:tc>
          <w:tcPr>
            <w:tcW w:w="480" w:type="dxa"/>
            <w:vAlign w:val="bottom"/>
            <w:gridSpan w:val="2"/>
          </w:tcPr>
          <w:p>
            <w:pPr>
              <w:ind w:left="200"/>
              <w:spacing w:after="0"/>
              <w:rPr>
                <w:sz w:val="20"/>
                <w:szCs w:val="20"/>
                <w:color w:val="auto"/>
              </w:rPr>
            </w:pPr>
            <w:r>
              <w:rPr>
                <w:rFonts w:ascii="Arial" w:cs="Arial" w:eastAsia="Arial" w:hAnsi="Arial"/>
                <w:sz w:val="14"/>
                <w:szCs w:val="14"/>
                <w:b w:val="1"/>
                <w:bCs w:val="1"/>
                <w:color w:val="auto"/>
              </w:rPr>
              <w:t>·</w:t>
            </w:r>
          </w:p>
        </w:tc>
        <w:tc>
          <w:tcPr>
            <w:tcW w:w="3120" w:type="dxa"/>
            <w:vAlign w:val="bottom"/>
            <w:tcBorders>
              <w:right w:val="single" w:sz="8" w:color="auto"/>
            </w:tcBorders>
            <w:gridSpan w:val="6"/>
          </w:tcPr>
          <w:p>
            <w:pPr>
              <w:ind w:left="40"/>
              <w:spacing w:after="0"/>
              <w:rPr>
                <w:sz w:val="20"/>
                <w:szCs w:val="20"/>
                <w:color w:val="auto"/>
              </w:rPr>
            </w:pPr>
            <w:r>
              <w:rPr>
                <w:rFonts w:ascii="Georgia" w:cs="Georgia" w:eastAsia="Georgia" w:hAnsi="Georgia"/>
                <w:sz w:val="14"/>
                <w:szCs w:val="14"/>
                <w:color w:val="auto"/>
              </w:rPr>
              <w:t>if the ending level is less than the threshold</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80" w:type="dxa"/>
            <w:vAlign w:val="bottom"/>
            <w:tcBorders>
              <w:right w:val="single" w:sz="8" w:color="auto"/>
            </w:tcBorders>
            <w:gridSpan w:val="5"/>
          </w:tcPr>
          <w:p>
            <w:pPr>
              <w:spacing w:after="0"/>
              <w:rPr>
                <w:sz w:val="20"/>
                <w:szCs w:val="20"/>
                <w:color w:val="auto"/>
              </w:rPr>
            </w:pPr>
            <w:r>
              <w:rPr>
                <w:rFonts w:ascii="Georgia" w:cs="Georgia" w:eastAsia="Georgia" w:hAnsi="Georgia"/>
                <w:sz w:val="14"/>
                <w:szCs w:val="14"/>
                <w:color w:val="auto"/>
              </w:rPr>
              <w:t>level:</w:t>
            </w:r>
          </w:p>
        </w:tc>
      </w:tr>
      <w:tr>
        <w:trPr>
          <w:trHeight w:val="159"/>
        </w:trPr>
        <w:tc>
          <w:tcPr>
            <w:tcW w:w="1900" w:type="dxa"/>
            <w:vAlign w:val="bottom"/>
            <w:tcBorders>
              <w:left w:val="single" w:sz="8" w:color="auto"/>
              <w:bottom w:val="single" w:sz="8" w:color="auto"/>
              <w:right w:val="single" w:sz="8" w:color="auto"/>
            </w:tcBorders>
          </w:tcPr>
          <w:p>
            <w:pPr>
              <w:spacing w:after="0"/>
              <w:rPr>
                <w:sz w:val="13"/>
                <w:szCs w:val="13"/>
                <w:color w:val="auto"/>
              </w:rPr>
            </w:pPr>
          </w:p>
        </w:tc>
        <w:tc>
          <w:tcPr>
            <w:tcW w:w="3600" w:type="dxa"/>
            <w:vAlign w:val="bottom"/>
            <w:tcBorders>
              <w:bottom w:val="single" w:sz="8" w:color="auto"/>
              <w:right w:val="single" w:sz="8" w:color="auto"/>
            </w:tcBorders>
            <w:gridSpan w:val="8"/>
          </w:tcPr>
          <w:p>
            <w:pPr>
              <w:ind w:left="100"/>
              <w:spacing w:after="0"/>
              <w:rPr>
                <w:sz w:val="20"/>
                <w:szCs w:val="20"/>
                <w:color w:val="auto"/>
              </w:rPr>
            </w:pPr>
            <w:r>
              <w:rPr>
                <w:rFonts w:ascii="Georgia" w:cs="Georgia" w:eastAsia="Georgia" w:hAnsi="Georgia"/>
                <w:sz w:val="14"/>
                <w:szCs w:val="14"/>
                <w:color w:val="auto"/>
              </w:rPr>
              <w:t>$1,000 + ($1,000 × index return)</w:t>
            </w:r>
          </w:p>
        </w:tc>
      </w:tr>
      <w:tr>
        <w:trPr>
          <w:trHeight w:val="155"/>
        </w:trPr>
        <w:tc>
          <w:tcPr>
            <w:tcW w:w="190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808080"/>
              </w:rPr>
              <w:t>Starting Level:</w:t>
            </w:r>
          </w:p>
        </w:tc>
        <w:tc>
          <w:tcPr>
            <w:tcW w:w="3600" w:type="dxa"/>
            <w:vAlign w:val="bottom"/>
            <w:tcBorders>
              <w:bottom w:val="single" w:sz="8" w:color="auto"/>
              <w:right w:val="single" w:sz="8" w:color="auto"/>
            </w:tcBorders>
            <w:gridSpan w:val="8"/>
          </w:tcPr>
          <w:p>
            <w:pPr>
              <w:ind w:left="100"/>
              <w:spacing w:after="0" w:line="156" w:lineRule="exact"/>
              <w:rPr>
                <w:sz w:val="20"/>
                <w:szCs w:val="20"/>
                <w:color w:val="auto"/>
              </w:rPr>
            </w:pPr>
            <w:r>
              <w:rPr>
                <w:rFonts w:ascii="Georgia" w:cs="Georgia" w:eastAsia="Georgia" w:hAnsi="Georgia"/>
                <w:sz w:val="14"/>
                <w:szCs w:val="14"/>
                <w:color w:val="auto"/>
              </w:rPr>
              <w:t>The closing level of the Index on the pricing date</w:t>
            </w:r>
          </w:p>
        </w:tc>
      </w:tr>
      <w:tr>
        <w:trPr>
          <w:trHeight w:val="159"/>
        </w:trPr>
        <w:tc>
          <w:tcPr>
            <w:tcW w:w="190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808080"/>
              </w:rPr>
              <w:t>Ending Level:</w:t>
            </w:r>
          </w:p>
        </w:tc>
        <w:tc>
          <w:tcPr>
            <w:tcW w:w="3600" w:type="dxa"/>
            <w:vAlign w:val="bottom"/>
            <w:tcBorders>
              <w:right w:val="single" w:sz="8" w:color="auto"/>
            </w:tcBorders>
            <w:gridSpan w:val="8"/>
          </w:tcPr>
          <w:p>
            <w:pPr>
              <w:ind w:left="100"/>
              <w:spacing w:after="0"/>
              <w:rPr>
                <w:sz w:val="20"/>
                <w:szCs w:val="20"/>
                <w:color w:val="auto"/>
              </w:rPr>
            </w:pPr>
            <w:r>
              <w:rPr>
                <w:rFonts w:ascii="Georgia" w:cs="Georgia" w:eastAsia="Georgia" w:hAnsi="Georgia"/>
                <w:sz w:val="14"/>
                <w:szCs w:val="14"/>
                <w:color w:val="auto"/>
              </w:rPr>
              <w:t>The closing level of the Index on the final calculation</w:t>
            </w:r>
          </w:p>
        </w:tc>
      </w:tr>
      <w:tr>
        <w:trPr>
          <w:trHeight w:val="159"/>
        </w:trPr>
        <w:tc>
          <w:tcPr>
            <w:tcW w:w="1900" w:type="dxa"/>
            <w:vAlign w:val="bottom"/>
            <w:tcBorders>
              <w:left w:val="single" w:sz="8" w:color="auto"/>
              <w:bottom w:val="single" w:sz="8" w:color="auto"/>
              <w:right w:val="single" w:sz="8" w:color="auto"/>
            </w:tcBorders>
          </w:tcPr>
          <w:p>
            <w:pPr>
              <w:spacing w:after="0"/>
              <w:rPr>
                <w:sz w:val="13"/>
                <w:szCs w:val="13"/>
                <w:color w:val="auto"/>
              </w:rPr>
            </w:pPr>
          </w:p>
        </w:tc>
        <w:tc>
          <w:tcPr>
            <w:tcW w:w="480" w:type="dxa"/>
            <w:vAlign w:val="bottom"/>
            <w:tcBorders>
              <w:bottom w:val="single" w:sz="8" w:color="auto"/>
            </w:tcBorders>
            <w:gridSpan w:val="2"/>
          </w:tcPr>
          <w:p>
            <w:pPr>
              <w:ind w:left="100"/>
              <w:spacing w:after="0"/>
              <w:rPr>
                <w:sz w:val="20"/>
                <w:szCs w:val="20"/>
                <w:color w:val="auto"/>
              </w:rPr>
            </w:pPr>
            <w:r>
              <w:rPr>
                <w:rFonts w:ascii="Georgia" w:cs="Georgia" w:eastAsia="Georgia" w:hAnsi="Georgia"/>
                <w:sz w:val="14"/>
                <w:szCs w:val="14"/>
                <w:color w:val="auto"/>
              </w:rPr>
              <w:t>day</w:t>
            </w:r>
          </w:p>
        </w:tc>
        <w:tc>
          <w:tcPr>
            <w:tcW w:w="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r>
      <w:tr>
        <w:trPr>
          <w:trHeight w:val="159"/>
        </w:trPr>
        <w:tc>
          <w:tcPr>
            <w:tcW w:w="190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Upside Participation</w:t>
            </w:r>
          </w:p>
        </w:tc>
        <w:tc>
          <w:tcPr>
            <w:tcW w:w="480" w:type="dxa"/>
            <w:vAlign w:val="bottom"/>
            <w:gridSpan w:val="2"/>
          </w:tcPr>
          <w:p>
            <w:pPr>
              <w:ind w:left="100"/>
              <w:spacing w:after="0"/>
              <w:rPr>
                <w:sz w:val="20"/>
                <w:szCs w:val="20"/>
                <w:color w:val="auto"/>
              </w:rPr>
            </w:pPr>
            <w:r>
              <w:rPr>
                <w:rFonts w:ascii="Georgia" w:cs="Georgia" w:eastAsia="Georgia" w:hAnsi="Georgia"/>
                <w:sz w:val="14"/>
                <w:szCs w:val="14"/>
                <w:color w:val="auto"/>
              </w:rPr>
              <w:t>150%</w:t>
            </w: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59"/>
        </w:trPr>
        <w:tc>
          <w:tcPr>
            <w:tcW w:w="1900" w:type="dxa"/>
            <w:vAlign w:val="bottom"/>
            <w:tcBorders>
              <w:left w:val="single" w:sz="8" w:color="auto"/>
              <w:bottom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Rate:</w:t>
            </w:r>
          </w:p>
        </w:tc>
        <w:tc>
          <w:tcPr>
            <w:tcW w:w="2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r>
      <w:tr>
        <w:trPr>
          <w:trHeight w:val="155"/>
        </w:trPr>
        <w:tc>
          <w:tcPr>
            <w:tcW w:w="190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808080"/>
              </w:rPr>
              <w:t>Threshold Level:</w:t>
            </w:r>
          </w:p>
        </w:tc>
        <w:tc>
          <w:tcPr>
            <w:tcW w:w="3600" w:type="dxa"/>
            <w:vAlign w:val="bottom"/>
            <w:tcBorders>
              <w:bottom w:val="single" w:sz="8" w:color="auto"/>
              <w:right w:val="single" w:sz="8" w:color="auto"/>
            </w:tcBorders>
            <w:gridSpan w:val="8"/>
          </w:tcPr>
          <w:p>
            <w:pPr>
              <w:ind w:left="100"/>
              <w:spacing w:after="0" w:line="156" w:lineRule="exact"/>
              <w:rPr>
                <w:sz w:val="20"/>
                <w:szCs w:val="20"/>
                <w:color w:val="auto"/>
              </w:rPr>
            </w:pPr>
            <w:r>
              <w:rPr>
                <w:rFonts w:ascii="Georgia" w:cs="Georgia" w:eastAsia="Georgia" w:hAnsi="Georgia"/>
                <w:sz w:val="14"/>
                <w:szCs w:val="14"/>
                <w:color w:val="auto"/>
              </w:rPr>
              <w:t>70% of the starting level</w:t>
            </w:r>
          </w:p>
        </w:tc>
      </w:tr>
      <w:tr>
        <w:trPr>
          <w:trHeight w:val="156"/>
        </w:trPr>
        <w:tc>
          <w:tcPr>
            <w:tcW w:w="190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808080"/>
              </w:rPr>
              <w:t>Index Return:</w:t>
            </w:r>
          </w:p>
        </w:tc>
        <w:tc>
          <w:tcPr>
            <w:tcW w:w="3600" w:type="dxa"/>
            <w:vAlign w:val="bottom"/>
            <w:tcBorders>
              <w:bottom w:val="single" w:sz="8" w:color="auto"/>
              <w:right w:val="single" w:sz="8" w:color="auto"/>
            </w:tcBorders>
            <w:gridSpan w:val="8"/>
          </w:tcPr>
          <w:p>
            <w:pPr>
              <w:ind w:left="100"/>
              <w:spacing w:after="0" w:line="156" w:lineRule="exact"/>
              <w:rPr>
                <w:sz w:val="20"/>
                <w:szCs w:val="20"/>
                <w:color w:val="auto"/>
              </w:rPr>
            </w:pPr>
            <w:r>
              <w:rPr>
                <w:rFonts w:ascii="Georgia" w:cs="Georgia" w:eastAsia="Georgia" w:hAnsi="Georgia"/>
                <w:sz w:val="14"/>
                <w:szCs w:val="14"/>
                <w:color w:val="auto"/>
              </w:rPr>
              <w:t>(ending level – starting level) / starting level</w:t>
            </w:r>
          </w:p>
        </w:tc>
      </w:tr>
      <w:tr>
        <w:trPr>
          <w:trHeight w:val="149"/>
        </w:trPr>
        <w:tc>
          <w:tcPr>
            <w:tcW w:w="190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4"/>
                <w:szCs w:val="14"/>
                <w:color w:val="808080"/>
              </w:rPr>
              <w:t>Calculation Agent:</w:t>
            </w:r>
          </w:p>
        </w:tc>
        <w:tc>
          <w:tcPr>
            <w:tcW w:w="3600" w:type="dxa"/>
            <w:vAlign w:val="bottom"/>
            <w:tcBorders>
              <w:bottom w:val="single" w:sz="8" w:color="auto"/>
              <w:right w:val="single" w:sz="8" w:color="auto"/>
            </w:tcBorders>
            <w:gridSpan w:val="8"/>
          </w:tcPr>
          <w:p>
            <w:pPr>
              <w:ind w:left="100"/>
              <w:spacing w:after="0" w:line="142" w:lineRule="exact"/>
              <w:rPr>
                <w:sz w:val="20"/>
                <w:szCs w:val="20"/>
                <w:color w:val="auto"/>
              </w:rPr>
            </w:pPr>
            <w:r>
              <w:rPr>
                <w:rFonts w:ascii="Georgia" w:cs="Georgia" w:eastAsia="Georgia" w:hAnsi="Georgia"/>
                <w:sz w:val="14"/>
                <w:szCs w:val="14"/>
                <w:color w:val="auto"/>
              </w:rPr>
              <w:t>J.P. Morgan Securities LLC (“JPMS”)</w:t>
            </w:r>
          </w:p>
        </w:tc>
      </w:tr>
      <w:tr>
        <w:trPr>
          <w:trHeight w:val="162"/>
        </w:trPr>
        <w:tc>
          <w:tcPr>
            <w:tcW w:w="1900" w:type="dxa"/>
            <w:vAlign w:val="bottom"/>
            <w:tcBorders>
              <w:left w:val="single" w:sz="8" w:color="auto"/>
              <w:bottom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808080"/>
              </w:rPr>
              <w:t>Denominations:</w:t>
            </w:r>
          </w:p>
        </w:tc>
        <w:tc>
          <w:tcPr>
            <w:tcW w:w="3600" w:type="dxa"/>
            <w:vAlign w:val="bottom"/>
            <w:tcBorders>
              <w:bottom w:val="single" w:sz="8" w:color="auto"/>
              <w:right w:val="single" w:sz="8" w:color="auto"/>
            </w:tcBorders>
            <w:gridSpan w:val="8"/>
          </w:tcPr>
          <w:p>
            <w:pPr>
              <w:ind w:left="100"/>
              <w:spacing w:after="0"/>
              <w:rPr>
                <w:sz w:val="20"/>
                <w:szCs w:val="20"/>
                <w:color w:val="auto"/>
              </w:rPr>
            </w:pPr>
            <w:r>
              <w:rPr>
                <w:rFonts w:ascii="Georgia" w:cs="Georgia" w:eastAsia="Georgia" w:hAnsi="Georgia"/>
                <w:sz w:val="14"/>
                <w:szCs w:val="14"/>
                <w:color w:val="auto"/>
              </w:rPr>
              <w:t>$1,000 and any integral multiple of $1,000</w:t>
            </w:r>
          </w:p>
        </w:tc>
      </w:tr>
      <w:tr>
        <w:trPr>
          <w:trHeight w:val="155"/>
        </w:trPr>
        <w:tc>
          <w:tcPr>
            <w:tcW w:w="190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808080"/>
              </w:rPr>
              <w:t>CUSIP:</w:t>
            </w:r>
          </w:p>
        </w:tc>
        <w:tc>
          <w:tcPr>
            <w:tcW w:w="3600" w:type="dxa"/>
            <w:vAlign w:val="bottom"/>
            <w:tcBorders>
              <w:bottom w:val="single" w:sz="8" w:color="auto"/>
              <w:right w:val="single" w:sz="8" w:color="auto"/>
            </w:tcBorders>
            <w:gridSpan w:val="8"/>
          </w:tcPr>
          <w:p>
            <w:pPr>
              <w:ind w:left="100"/>
              <w:spacing w:after="0" w:line="156" w:lineRule="exact"/>
              <w:rPr>
                <w:sz w:val="20"/>
                <w:szCs w:val="20"/>
                <w:color w:val="auto"/>
              </w:rPr>
            </w:pPr>
            <w:r>
              <w:rPr>
                <w:rFonts w:ascii="Georgia" w:cs="Georgia" w:eastAsia="Georgia" w:hAnsi="Georgia"/>
                <w:sz w:val="14"/>
                <w:szCs w:val="14"/>
                <w:color w:val="auto"/>
              </w:rPr>
              <w:t>46661CW85</w:t>
            </w:r>
          </w:p>
        </w:tc>
      </w:tr>
      <w:tr>
        <w:trPr>
          <w:trHeight w:val="159"/>
        </w:trPr>
        <w:tc>
          <w:tcPr>
            <w:tcW w:w="190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808080"/>
              </w:rPr>
              <w:t>Fees and Commissions:</w:t>
            </w:r>
          </w:p>
        </w:tc>
        <w:tc>
          <w:tcPr>
            <w:tcW w:w="3600" w:type="dxa"/>
            <w:vAlign w:val="bottom"/>
            <w:tcBorders>
              <w:right w:val="single" w:sz="8" w:color="auto"/>
            </w:tcBorders>
            <w:gridSpan w:val="8"/>
          </w:tcPr>
          <w:p>
            <w:pPr>
              <w:ind w:left="100"/>
              <w:spacing w:after="0"/>
              <w:rPr>
                <w:sz w:val="20"/>
                <w:szCs w:val="20"/>
                <w:color w:val="auto"/>
              </w:rPr>
            </w:pPr>
            <w:r>
              <w:rPr>
                <w:rFonts w:ascii="Georgia" w:cs="Georgia" w:eastAsia="Georgia" w:hAnsi="Georgia"/>
                <w:sz w:val="14"/>
                <w:szCs w:val="14"/>
                <w:color w:val="auto"/>
              </w:rPr>
              <w:t>Up to 2.575% for Wells Fargo Securities, LLC</w:t>
            </w:r>
          </w:p>
        </w:tc>
      </w:tr>
      <w:tr>
        <w:trPr>
          <w:trHeight w:val="145"/>
        </w:trPr>
        <w:tc>
          <w:tcPr>
            <w:tcW w:w="1900" w:type="dxa"/>
            <w:vAlign w:val="bottom"/>
            <w:tcBorders>
              <w:left w:val="single" w:sz="8" w:color="auto"/>
              <w:right w:val="single" w:sz="8" w:color="auto"/>
            </w:tcBorders>
          </w:tcPr>
          <w:p>
            <w:pPr>
              <w:spacing w:after="0"/>
              <w:rPr>
                <w:sz w:val="12"/>
                <w:szCs w:val="12"/>
                <w:color w:val="auto"/>
              </w:rPr>
            </w:pPr>
          </w:p>
        </w:tc>
        <w:tc>
          <w:tcPr>
            <w:tcW w:w="3600" w:type="dxa"/>
            <w:vAlign w:val="bottom"/>
            <w:tcBorders>
              <w:right w:val="single" w:sz="8" w:color="auto"/>
            </w:tcBorders>
            <w:gridSpan w:val="8"/>
          </w:tcPr>
          <w:p>
            <w:pPr>
              <w:ind w:left="100"/>
              <w:spacing w:after="0" w:line="146" w:lineRule="exact"/>
              <w:rPr>
                <w:sz w:val="20"/>
                <w:szCs w:val="20"/>
                <w:color w:val="auto"/>
              </w:rPr>
            </w:pPr>
            <w:r>
              <w:rPr>
                <w:rFonts w:ascii="Georgia" w:cs="Georgia" w:eastAsia="Georgia" w:hAnsi="Georgia"/>
                <w:sz w:val="14"/>
                <w:szCs w:val="14"/>
                <w:color w:val="auto"/>
              </w:rPr>
              <w:t>(“WFS”); WFS has advised us that dealers, including</w:t>
            </w:r>
          </w:p>
        </w:tc>
      </w:tr>
      <w:tr>
        <w:trPr>
          <w:trHeight w:val="20"/>
        </w:trPr>
        <w:tc>
          <w:tcPr>
            <w:tcW w:w="1900" w:type="dxa"/>
            <w:vAlign w:val="bottom"/>
            <w:tcBorders>
              <w:left w:val="single" w:sz="8" w:color="auto"/>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right w:val="single" w:sz="8" w:color="auto"/>
            </w:tcBorders>
            <w:gridSpan w:val="2"/>
          </w:tcPr>
          <w:p>
            <w:pPr>
              <w:spacing w:after="0" w:line="20" w:lineRule="exact"/>
              <w:rPr>
                <w:sz w:val="1"/>
                <w:szCs w:val="1"/>
                <w:color w:val="auto"/>
              </w:rPr>
            </w:pPr>
          </w:p>
        </w:tc>
      </w:tr>
      <w:tr>
        <w:trPr>
          <w:trHeight w:val="142"/>
        </w:trPr>
        <w:tc>
          <w:tcPr>
            <w:tcW w:w="1900" w:type="dxa"/>
            <w:vAlign w:val="bottom"/>
            <w:tcBorders>
              <w:left w:val="single" w:sz="8" w:color="auto"/>
              <w:right w:val="single" w:sz="8" w:color="auto"/>
            </w:tcBorders>
          </w:tcPr>
          <w:p>
            <w:pPr>
              <w:spacing w:after="0"/>
              <w:rPr>
                <w:sz w:val="12"/>
                <w:szCs w:val="12"/>
                <w:color w:val="auto"/>
              </w:rPr>
            </w:pPr>
          </w:p>
        </w:tc>
        <w:tc>
          <w:tcPr>
            <w:tcW w:w="3600" w:type="dxa"/>
            <w:vAlign w:val="bottom"/>
            <w:tcBorders>
              <w:right w:val="single" w:sz="8" w:color="auto"/>
            </w:tcBorders>
            <w:gridSpan w:val="8"/>
          </w:tcPr>
          <w:p>
            <w:pPr>
              <w:ind w:left="100"/>
              <w:spacing w:after="0" w:line="142" w:lineRule="exact"/>
              <w:rPr>
                <w:sz w:val="20"/>
                <w:szCs w:val="20"/>
                <w:color w:val="auto"/>
              </w:rPr>
            </w:pPr>
            <w:r>
              <w:rPr>
                <w:rFonts w:ascii="Georgia" w:cs="Georgia" w:eastAsia="Georgia" w:hAnsi="Georgia"/>
                <w:sz w:val="14"/>
                <w:szCs w:val="14"/>
                <w:color w:val="auto"/>
              </w:rPr>
              <w:t>Wells Fargo Advisors (“WFA”), may receive 2.00% of</w:t>
            </w:r>
          </w:p>
        </w:tc>
      </w:tr>
      <w:tr>
        <w:trPr>
          <w:trHeight w:val="20"/>
        </w:trPr>
        <w:tc>
          <w:tcPr>
            <w:tcW w:w="1900" w:type="dxa"/>
            <w:vAlign w:val="bottom"/>
            <w:tcBorders>
              <w:left w:val="single" w:sz="8" w:color="auto"/>
              <w:right w:val="single" w:sz="8" w:color="auto"/>
            </w:tcBorders>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80" w:type="dxa"/>
            <w:vAlign w:val="bottom"/>
            <w:tcBorders>
              <w:right w:val="single" w:sz="8" w:color="auto"/>
            </w:tcBorders>
            <w:gridSpan w:val="2"/>
          </w:tcPr>
          <w:p>
            <w:pPr>
              <w:spacing w:after="0" w:line="20" w:lineRule="exact"/>
              <w:rPr>
                <w:sz w:val="1"/>
                <w:szCs w:val="1"/>
                <w:color w:val="auto"/>
              </w:rPr>
            </w:pPr>
          </w:p>
        </w:tc>
      </w:tr>
      <w:tr>
        <w:trPr>
          <w:trHeight w:val="159"/>
        </w:trPr>
        <w:tc>
          <w:tcPr>
            <w:tcW w:w="1900" w:type="dxa"/>
            <w:vAlign w:val="bottom"/>
            <w:tcBorders>
              <w:left w:val="single" w:sz="8" w:color="auto"/>
              <w:right w:val="single" w:sz="8" w:color="auto"/>
            </w:tcBorders>
          </w:tcPr>
          <w:p>
            <w:pPr>
              <w:spacing w:after="0"/>
              <w:rPr>
                <w:sz w:val="13"/>
                <w:szCs w:val="13"/>
                <w:color w:val="auto"/>
              </w:rPr>
            </w:pPr>
          </w:p>
        </w:tc>
        <w:tc>
          <w:tcPr>
            <w:tcW w:w="3600" w:type="dxa"/>
            <w:vAlign w:val="bottom"/>
            <w:tcBorders>
              <w:right w:val="single" w:sz="8" w:color="auto"/>
            </w:tcBorders>
            <w:gridSpan w:val="8"/>
          </w:tcPr>
          <w:p>
            <w:pPr>
              <w:ind w:left="100"/>
              <w:spacing w:after="0"/>
              <w:rPr>
                <w:sz w:val="20"/>
                <w:szCs w:val="20"/>
                <w:color w:val="auto"/>
              </w:rPr>
            </w:pPr>
            <w:r>
              <w:rPr>
                <w:rFonts w:ascii="Georgia" w:cs="Georgia" w:eastAsia="Georgia" w:hAnsi="Georgia"/>
                <w:sz w:val="14"/>
                <w:szCs w:val="14"/>
                <w:color w:val="auto"/>
              </w:rPr>
              <w:t>WFS’s fee, and WFA may also receive a distribution</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600" w:type="dxa"/>
            <w:vAlign w:val="bottom"/>
            <w:tcBorders>
              <w:right w:val="single" w:sz="8" w:color="auto"/>
            </w:tcBorders>
            <w:gridSpan w:val="8"/>
          </w:tcPr>
          <w:p>
            <w:pPr>
              <w:ind w:left="100"/>
              <w:spacing w:after="0"/>
              <w:rPr>
                <w:sz w:val="20"/>
                <w:szCs w:val="20"/>
                <w:color w:val="auto"/>
              </w:rPr>
            </w:pPr>
            <w:r>
              <w:rPr>
                <w:rFonts w:ascii="Georgia" w:cs="Georgia" w:eastAsia="Georgia" w:hAnsi="Georgia"/>
                <w:sz w:val="14"/>
                <w:szCs w:val="14"/>
                <w:color w:val="auto"/>
              </w:rPr>
              <w:t>expense fee of 0.075%. In addition, in respect of</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600" w:type="dxa"/>
            <w:vAlign w:val="bottom"/>
            <w:tcBorders>
              <w:right w:val="single" w:sz="8" w:color="auto"/>
            </w:tcBorders>
            <w:gridSpan w:val="8"/>
          </w:tcPr>
          <w:p>
            <w:pPr>
              <w:ind w:left="100"/>
              <w:spacing w:after="0"/>
              <w:rPr>
                <w:sz w:val="20"/>
                <w:szCs w:val="20"/>
                <w:color w:val="auto"/>
              </w:rPr>
            </w:pPr>
            <w:r>
              <w:rPr>
                <w:rFonts w:ascii="Georgia" w:cs="Georgia" w:eastAsia="Georgia" w:hAnsi="Georgia"/>
                <w:sz w:val="14"/>
                <w:szCs w:val="14"/>
                <w:color w:val="auto"/>
              </w:rPr>
              <w:t>certain securities sold in this offering, JPMS may pay</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600" w:type="dxa"/>
            <w:vAlign w:val="bottom"/>
            <w:tcBorders>
              <w:right w:val="single" w:sz="8" w:color="auto"/>
            </w:tcBorders>
            <w:gridSpan w:val="8"/>
          </w:tcPr>
          <w:p>
            <w:pPr>
              <w:ind w:left="100"/>
              <w:spacing w:after="0"/>
              <w:rPr>
                <w:sz w:val="20"/>
                <w:szCs w:val="20"/>
                <w:color w:val="auto"/>
              </w:rPr>
            </w:pPr>
            <w:r>
              <w:rPr>
                <w:rFonts w:ascii="Georgia" w:cs="Georgia" w:eastAsia="Georgia" w:hAnsi="Georgia"/>
                <w:sz w:val="14"/>
                <w:szCs w:val="14"/>
                <w:color w:val="auto"/>
              </w:rPr>
              <w:t>a fee of up to 0.30% to selected dealers in</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600" w:type="dxa"/>
            <w:vAlign w:val="bottom"/>
            <w:tcBorders>
              <w:right w:val="single" w:sz="8" w:color="auto"/>
            </w:tcBorders>
            <w:gridSpan w:val="8"/>
          </w:tcPr>
          <w:p>
            <w:pPr>
              <w:ind w:left="100"/>
              <w:spacing w:after="0"/>
              <w:rPr>
                <w:sz w:val="20"/>
                <w:szCs w:val="20"/>
                <w:color w:val="auto"/>
              </w:rPr>
            </w:pPr>
            <w:r>
              <w:rPr>
                <w:rFonts w:ascii="Georgia" w:cs="Georgia" w:eastAsia="Georgia" w:hAnsi="Georgia"/>
                <w:sz w:val="14"/>
                <w:szCs w:val="14"/>
                <w:color w:val="auto"/>
              </w:rPr>
              <w:t>consideration for marketing and other services in</w:t>
            </w: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600" w:type="dxa"/>
            <w:vAlign w:val="bottom"/>
            <w:tcBorders>
              <w:right w:val="single" w:sz="8" w:color="auto"/>
            </w:tcBorders>
            <w:gridSpan w:val="8"/>
          </w:tcPr>
          <w:p>
            <w:pPr>
              <w:ind w:left="100"/>
              <w:spacing w:after="0"/>
              <w:rPr>
                <w:sz w:val="20"/>
                <w:szCs w:val="20"/>
                <w:color w:val="auto"/>
              </w:rPr>
            </w:pPr>
            <w:r>
              <w:rPr>
                <w:rFonts w:ascii="Georgia" w:cs="Georgia" w:eastAsia="Georgia" w:hAnsi="Georgia"/>
                <w:sz w:val="14"/>
                <w:szCs w:val="14"/>
                <w:color w:val="auto"/>
              </w:rPr>
              <w:t>connection with the distribution of the securities to</w:t>
            </w:r>
          </w:p>
        </w:tc>
      </w:tr>
      <w:tr>
        <w:trPr>
          <w:trHeight w:val="159"/>
        </w:trPr>
        <w:tc>
          <w:tcPr>
            <w:tcW w:w="1900" w:type="dxa"/>
            <w:vAlign w:val="bottom"/>
            <w:tcBorders>
              <w:left w:val="single" w:sz="8" w:color="auto"/>
              <w:bottom w:val="single" w:sz="8" w:color="auto"/>
              <w:right w:val="single" w:sz="8" w:color="auto"/>
            </w:tcBorders>
          </w:tcPr>
          <w:p>
            <w:pPr>
              <w:spacing w:after="0"/>
              <w:rPr>
                <w:sz w:val="13"/>
                <w:szCs w:val="13"/>
                <w:color w:val="auto"/>
              </w:rPr>
            </w:pPr>
          </w:p>
        </w:tc>
        <w:tc>
          <w:tcPr>
            <w:tcW w:w="3600" w:type="dxa"/>
            <w:vAlign w:val="bottom"/>
            <w:tcBorders>
              <w:bottom w:val="single" w:sz="8" w:color="auto"/>
              <w:right w:val="single" w:sz="8" w:color="auto"/>
            </w:tcBorders>
            <w:gridSpan w:val="8"/>
          </w:tcPr>
          <w:p>
            <w:pPr>
              <w:ind w:left="100"/>
              <w:spacing w:after="0"/>
              <w:rPr>
                <w:sz w:val="20"/>
                <w:szCs w:val="20"/>
                <w:color w:val="auto"/>
              </w:rPr>
            </w:pPr>
            <w:r>
              <w:rPr>
                <w:rFonts w:ascii="Georgia" w:cs="Georgia" w:eastAsia="Georgia" w:hAnsi="Georgia"/>
                <w:sz w:val="14"/>
                <w:szCs w:val="14"/>
                <w:color w:val="auto"/>
              </w:rPr>
              <w:t>other dealers.</w:t>
            </w:r>
          </w:p>
        </w:tc>
      </w:tr>
      <w:tr>
        <w:trPr>
          <w:trHeight w:val="155"/>
        </w:trPr>
        <w:tc>
          <w:tcPr>
            <w:tcW w:w="190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808080"/>
              </w:rPr>
              <w:t>Tax Considerations:</w:t>
            </w:r>
          </w:p>
        </w:tc>
        <w:tc>
          <w:tcPr>
            <w:tcW w:w="3600" w:type="dxa"/>
            <w:vAlign w:val="bottom"/>
            <w:tcBorders>
              <w:bottom w:val="single" w:sz="8" w:color="auto"/>
              <w:right w:val="single" w:sz="8" w:color="auto"/>
            </w:tcBorders>
            <w:gridSpan w:val="8"/>
          </w:tcPr>
          <w:p>
            <w:pPr>
              <w:ind w:left="100"/>
              <w:spacing w:after="0" w:line="156" w:lineRule="exact"/>
              <w:rPr>
                <w:sz w:val="20"/>
                <w:szCs w:val="20"/>
                <w:color w:val="auto"/>
              </w:rPr>
            </w:pPr>
            <w:r>
              <w:rPr>
                <w:rFonts w:ascii="Georgia" w:cs="Georgia" w:eastAsia="Georgia" w:hAnsi="Georgia"/>
                <w:sz w:val="14"/>
                <w:szCs w:val="14"/>
                <w:color w:val="auto"/>
              </w:rPr>
              <w:t>See the preliminary pricing supplement.</w:t>
            </w:r>
          </w:p>
        </w:tc>
      </w:tr>
      <w:tr>
        <w:trPr>
          <w:trHeight w:val="201"/>
        </w:trPr>
        <w:tc>
          <w:tcPr>
            <w:tcW w:w="1900" w:type="dxa"/>
            <w:vAlign w:val="bottom"/>
            <w:tcBorders>
              <w:left w:val="single" w:sz="8" w:color="auto"/>
            </w:tcBorders>
          </w:tcPr>
          <w:p>
            <w:pPr>
              <w:ind w:left="120"/>
              <w:spacing w:after="0" w:line="200" w:lineRule="exact"/>
              <w:rPr>
                <w:sz w:val="20"/>
                <w:szCs w:val="20"/>
                <w:color w:val="auto"/>
              </w:rPr>
            </w:pPr>
            <w:r>
              <w:rPr>
                <w:rFonts w:ascii="Georgia" w:cs="Georgia" w:eastAsia="Georgia" w:hAnsi="Georgia"/>
                <w:sz w:val="22"/>
                <w:szCs w:val="22"/>
                <w:color w:val="auto"/>
                <w:vertAlign w:val="superscript"/>
              </w:rPr>
              <w:t>1</w:t>
            </w:r>
            <w:r>
              <w:rPr>
                <w:rFonts w:ascii="Georgia" w:cs="Georgia" w:eastAsia="Georgia" w:hAnsi="Georgia"/>
                <w:sz w:val="13"/>
                <w:szCs w:val="13"/>
                <w:color w:val="auto"/>
              </w:rPr>
              <w:t xml:space="preserve"> Subject to change</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r>
      <w:tr>
        <w:trPr>
          <w:trHeight w:val="184"/>
        </w:trPr>
        <w:tc>
          <w:tcPr>
            <w:tcW w:w="1900" w:type="dxa"/>
            <w:vAlign w:val="bottom"/>
            <w:tcBorders>
              <w:left w:val="single" w:sz="8" w:color="auto"/>
              <w:bottom w:val="single" w:sz="8" w:color="auto"/>
            </w:tcBorders>
          </w:tcPr>
          <w:p>
            <w:pPr>
              <w:ind w:left="120"/>
              <w:spacing w:after="0" w:line="184" w:lineRule="exact"/>
              <w:rPr>
                <w:sz w:val="20"/>
                <w:szCs w:val="20"/>
                <w:color w:val="auto"/>
              </w:rPr>
            </w:pPr>
            <w:r>
              <w:rPr>
                <w:rFonts w:ascii="Georgia" w:cs="Georgia" w:eastAsia="Georgia" w:hAnsi="Georgia"/>
                <w:sz w:val="21"/>
                <w:szCs w:val="21"/>
                <w:color w:val="auto"/>
                <w:vertAlign w:val="superscript"/>
              </w:rPr>
              <w:t>2</w:t>
            </w:r>
            <w:r>
              <w:rPr>
                <w:rFonts w:ascii="Georgia" w:cs="Georgia" w:eastAsia="Georgia" w:hAnsi="Georgia"/>
                <w:sz w:val="13"/>
                <w:szCs w:val="13"/>
                <w:color w:val="auto"/>
              </w:rPr>
              <w:t xml:space="preserve"> Subject to postponement</w:t>
            </w: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r>
    </w:tbl>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ind w:left="80"/>
        <w:spacing w:after="0"/>
        <w:rPr>
          <w:sz w:val="20"/>
          <w:szCs w:val="20"/>
          <w:color w:val="auto"/>
        </w:rPr>
      </w:pPr>
      <w:r>
        <w:rPr>
          <w:rFonts w:ascii="Verdana" w:cs="Verdana" w:eastAsia="Verdana" w:hAnsi="Verdana"/>
          <w:sz w:val="20"/>
          <w:szCs w:val="20"/>
          <w:color w:val="8F8F8F"/>
        </w:rPr>
        <w:t>Hypothetical Payout Profile*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46355</wp:posOffset>
            </wp:positionH>
            <wp:positionV relativeFrom="paragraph">
              <wp:posOffset>-1905</wp:posOffset>
            </wp:positionV>
            <wp:extent cx="3162935" cy="2074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62935" cy="2074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ind w:right="460"/>
        <w:spacing w:after="0" w:line="248" w:lineRule="auto"/>
        <w:rPr>
          <w:sz w:val="20"/>
          <w:szCs w:val="20"/>
          <w:color w:val="auto"/>
        </w:rPr>
      </w:pPr>
      <w:r>
        <w:rPr>
          <w:rFonts w:ascii="Georgia" w:cs="Georgia" w:eastAsia="Georgia" w:hAnsi="Georgia"/>
          <w:sz w:val="14"/>
          <w:szCs w:val="14"/>
          <w:color w:val="auto"/>
        </w:rPr>
        <w:t>*Assumes a call premium equal to the lowest possible call premium that may be determined on the pricing date</w:t>
      </w:r>
    </w:p>
    <w:p>
      <w:pPr>
        <w:spacing w:after="0" w:line="49" w:lineRule="exact"/>
        <w:rPr>
          <w:sz w:val="24"/>
          <w:szCs w:val="24"/>
          <w:color w:val="auto"/>
        </w:rPr>
      </w:pPr>
    </w:p>
    <w:p>
      <w:pPr>
        <w:ind w:right="240"/>
        <w:spacing w:after="0" w:line="245" w:lineRule="auto"/>
        <w:rPr>
          <w:sz w:val="20"/>
          <w:szCs w:val="20"/>
          <w:color w:val="auto"/>
        </w:rPr>
      </w:pPr>
      <w:r>
        <w:rPr>
          <w:rFonts w:ascii="Georgia" w:cs="Georgia" w:eastAsia="Georgia" w:hAnsi="Georgia"/>
          <w:sz w:val="14"/>
          <w:szCs w:val="14"/>
          <w:b w:val="1"/>
          <w:bCs w:val="1"/>
          <w:color w:val="auto"/>
        </w:rPr>
        <w:t>If the securities are automatically called, the positive return on the securities will be limited to the call premium, even if the closing level of the Index on the call date significantly exceeds the starting level. If the securities are automatically called, you will not have the opportunity to participate in any appreciation of the Index at the upside participation rate.</w:t>
      </w:r>
    </w:p>
    <w:p>
      <w:pPr>
        <w:spacing w:after="0" w:line="52" w:lineRule="exact"/>
        <w:rPr>
          <w:sz w:val="24"/>
          <w:szCs w:val="24"/>
          <w:color w:val="auto"/>
        </w:rPr>
      </w:pPr>
    </w:p>
    <w:p>
      <w:pPr>
        <w:ind w:right="20"/>
        <w:spacing w:after="0" w:line="245" w:lineRule="auto"/>
        <w:rPr>
          <w:sz w:val="20"/>
          <w:szCs w:val="20"/>
          <w:color w:val="auto"/>
        </w:rPr>
      </w:pPr>
      <w:r>
        <w:rPr>
          <w:rFonts w:ascii="Georgia" w:cs="Georgia" w:eastAsia="Georgia" w:hAnsi="Georgia"/>
          <w:sz w:val="14"/>
          <w:szCs w:val="14"/>
          <w:b w:val="1"/>
          <w:bCs w:val="1"/>
          <w:color w:val="auto"/>
        </w:rPr>
        <w:t>If the securities are not automatically called and the ending level is less than the threshold level, you will have full downside exposure to the decrease in the level of the Index from the starting level and will lose more than 30%, and possibly all, of the principal amount of your securities at maturity.</w:t>
      </w:r>
    </w:p>
    <w:p>
      <w:pPr>
        <w:spacing w:after="0" w:line="214" w:lineRule="exact"/>
        <w:rPr>
          <w:sz w:val="24"/>
          <w:szCs w:val="24"/>
          <w:color w:val="auto"/>
        </w:rPr>
      </w:pPr>
    </w:p>
    <w:p>
      <w:pPr>
        <w:ind w:right="240"/>
        <w:spacing w:after="0" w:line="245" w:lineRule="auto"/>
        <w:rPr>
          <w:sz w:val="20"/>
          <w:szCs w:val="20"/>
          <w:color w:val="auto"/>
        </w:rPr>
      </w:pPr>
      <w:r>
        <w:rPr>
          <w:rFonts w:ascii="Georgia" w:cs="Georgia" w:eastAsia="Georgia" w:hAnsi="Georgia"/>
          <w:sz w:val="14"/>
          <w:szCs w:val="14"/>
          <w:color w:val="auto"/>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 w:cs="Georgia" w:eastAsia="Georgia" w:hAnsi="Georgia"/>
          <w:sz w:val="14"/>
          <w:szCs w:val="14"/>
          <w:b w:val="1"/>
          <w:bCs w:val="1"/>
          <w:color w:val="auto"/>
        </w:rPr>
        <w:t>Any</w:t>
      </w:r>
      <w:r>
        <w:rPr>
          <w:rFonts w:ascii="Georgia" w:cs="Georgia" w:eastAsia="Georgia" w:hAnsi="Georgia"/>
          <w:sz w:val="14"/>
          <w:szCs w:val="14"/>
          <w:color w:val="auto"/>
        </w:rPr>
        <w:t xml:space="preserve"> </w:t>
      </w:r>
      <w:r>
        <w:rPr>
          <w:rFonts w:ascii="Georgia" w:cs="Georgia" w:eastAsia="Georgia" w:hAnsi="Georgia"/>
          <w:sz w:val="14"/>
          <w:szCs w:val="14"/>
          <w:b w:val="1"/>
          <w:bCs w:val="1"/>
          <w:color w:val="auto"/>
        </w:rPr>
        <w:t>payment on the securities is subject to the credit risk of JPMorgan Financial, as issuer of the securities, and the credit risk of JPMorgan Chase &amp; Co., as guarantor of the securities.</w:t>
      </w:r>
    </w:p>
    <w:p>
      <w:pPr>
        <w:spacing w:after="0" w:line="268" w:lineRule="exact"/>
        <w:rPr>
          <w:sz w:val="24"/>
          <w:szCs w:val="24"/>
          <w:color w:val="auto"/>
        </w:rPr>
      </w:pPr>
    </w:p>
    <w:p>
      <w:pPr>
        <w:ind w:right="20"/>
        <w:spacing w:after="0" w:line="245" w:lineRule="auto"/>
        <w:rPr>
          <w:sz w:val="20"/>
          <w:szCs w:val="20"/>
          <w:color w:val="auto"/>
        </w:rPr>
      </w:pPr>
      <w:r>
        <w:rPr>
          <w:rFonts w:ascii="Georgia" w:cs="Georgia" w:eastAsia="Georgia" w:hAnsi="Georgia"/>
          <w:sz w:val="14"/>
          <w:szCs w:val="14"/>
          <w:color w:val="auto"/>
        </w:rPr>
        <w:t>If the securities priced on the date of the accompanying preliminary pricing supplement, the estimated value of the securities would be approximately $963.30 per security. The estimated value of the securities, when the terms of the securities are set, will be provided in the pricing supplement and will not be less than $930.00 per security. See “The Estimated Value of the Securities” in the preliminary pricing supplement for additional information.</w:t>
      </w:r>
    </w:p>
    <w:p>
      <w:pPr>
        <w:spacing w:after="0" w:line="268" w:lineRule="exact"/>
        <w:rPr>
          <w:sz w:val="24"/>
          <w:szCs w:val="24"/>
          <w:color w:val="auto"/>
        </w:rPr>
      </w:pPr>
    </w:p>
    <w:p>
      <w:pPr>
        <w:spacing w:after="0"/>
        <w:rPr>
          <w:sz w:val="20"/>
          <w:szCs w:val="20"/>
          <w:color w:val="auto"/>
        </w:rPr>
      </w:pPr>
      <w:r>
        <w:rPr>
          <w:rFonts w:ascii="Georgia" w:cs="Georgia" w:eastAsia="Georgia" w:hAnsi="Georgia"/>
          <w:sz w:val="14"/>
          <w:szCs w:val="14"/>
          <w:color w:val="auto"/>
        </w:rPr>
        <w:t>Preliminary Pricing Supplement:</w:t>
      </w:r>
    </w:p>
    <w:p>
      <w:pPr>
        <w:spacing w:after="0" w:line="3" w:lineRule="exact"/>
        <w:rPr>
          <w:sz w:val="24"/>
          <w:szCs w:val="24"/>
          <w:color w:val="auto"/>
        </w:rPr>
      </w:pPr>
    </w:p>
    <w:p>
      <w:pPr>
        <w:spacing w:after="0"/>
        <w:rPr>
          <w:rFonts w:ascii="Georgia" w:cs="Georgia" w:eastAsia="Georgia" w:hAnsi="Georgia"/>
          <w:sz w:val="14"/>
          <w:szCs w:val="14"/>
          <w:u w:val="single" w:color="auto"/>
          <w:color w:val="0000EE"/>
        </w:rPr>
      </w:pPr>
      <w:hyperlink r:id="rId11">
        <w:r>
          <w:rPr>
            <w:rFonts w:ascii="Georgia" w:cs="Georgia" w:eastAsia="Georgia" w:hAnsi="Georgia"/>
            <w:sz w:val="14"/>
            <w:szCs w:val="14"/>
            <w:u w:val="single" w:color="auto"/>
            <w:color w:val="0000EE"/>
          </w:rPr>
          <w:t>http://www.sec.gov/Archives/edgar/data/19617/000121390026068849/ea0294862-</w:t>
        </w:r>
      </w:hyperlink>
    </w:p>
    <w:p>
      <w:pPr>
        <w:spacing w:after="0" w:line="3" w:lineRule="exact"/>
        <w:rPr>
          <w:sz w:val="24"/>
          <w:szCs w:val="24"/>
          <w:color w:val="auto"/>
        </w:rPr>
      </w:pPr>
    </w:p>
    <w:p>
      <w:pPr>
        <w:spacing w:after="0"/>
        <w:rPr>
          <w:rFonts w:ascii="Georgia" w:cs="Georgia" w:eastAsia="Georgia" w:hAnsi="Georgia"/>
          <w:sz w:val="14"/>
          <w:szCs w:val="14"/>
          <w:u w:val="single" w:color="auto"/>
          <w:color w:val="0000EE"/>
        </w:rPr>
      </w:pPr>
      <w:hyperlink r:id="rId11">
        <w:r>
          <w:rPr>
            <w:rFonts w:ascii="Georgia" w:cs="Georgia" w:eastAsia="Georgia" w:hAnsi="Georgia"/>
            <w:sz w:val="14"/>
            <w:szCs w:val="14"/>
            <w:u w:val="single" w:color="auto"/>
            <w:color w:val="0000EE"/>
          </w:rPr>
          <w:t>01_424b2.htm</w:t>
        </w:r>
      </w:hyperlink>
    </w:p>
    <w:p>
      <w:pPr>
        <w:spacing w:after="0" w:line="699" w:lineRule="exact"/>
        <w:rPr>
          <w:sz w:val="24"/>
          <w:szCs w:val="24"/>
          <w:color w:val="auto"/>
        </w:rPr>
      </w:pPr>
    </w:p>
    <w:p>
      <w:pPr>
        <w:sectPr>
          <w:pgSz w:w="11900" w:h="16838" w:orient="portrait"/>
          <w:cols w:equalWidth="0" w:num="2">
            <w:col w:w="5500" w:space="240"/>
            <w:col w:w="5500"/>
          </w:cols>
          <w:pgMar w:left="320" w:top="211" w:right="339" w:bottom="1440" w:gutter="0" w:footer="0" w:header="0"/>
          <w:type w:val="continuous"/>
        </w:sectPr>
      </w:pPr>
    </w:p>
    <w:p>
      <w:pPr>
        <w:spacing w:after="0" w:line="200" w:lineRule="exact"/>
        <w:rPr>
          <w:sz w:val="24"/>
          <w:szCs w:val="24"/>
          <w:color w:val="auto"/>
        </w:rPr>
      </w:pPr>
    </w:p>
    <w:p>
      <w:pPr>
        <w:spacing w:after="0" w:line="251" w:lineRule="exact"/>
        <w:rPr>
          <w:sz w:val="24"/>
          <w:szCs w:val="24"/>
          <w:color w:val="auto"/>
        </w:rPr>
      </w:pPr>
    </w:p>
    <w:p>
      <w:pPr>
        <w:ind w:right="20"/>
        <w:spacing w:after="0" w:line="246" w:lineRule="auto"/>
        <w:rPr>
          <w:sz w:val="20"/>
          <w:szCs w:val="20"/>
          <w:color w:val="auto"/>
        </w:rPr>
      </w:pPr>
      <w:r>
        <w:rPr>
          <w:rFonts w:ascii="Georgia" w:cs="Georgia" w:eastAsia="Georgia" w:hAnsi="Georgia"/>
          <w:sz w:val="14"/>
          <w:szCs w:val="14"/>
          <w:b w:val="1"/>
          <w:bCs w:val="1"/>
          <w:color w:val="auto"/>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p>
    <w:p>
      <w:pPr>
        <w:spacing w:after="0" w:line="51" w:lineRule="exact"/>
        <w:rPr>
          <w:sz w:val="24"/>
          <w:szCs w:val="24"/>
          <w:color w:val="auto"/>
        </w:rPr>
      </w:pPr>
    </w:p>
    <w:p>
      <w:pPr>
        <w:ind w:right="680"/>
        <w:spacing w:after="0" w:line="248" w:lineRule="auto"/>
        <w:rPr>
          <w:sz w:val="20"/>
          <w:szCs w:val="20"/>
          <w:color w:val="auto"/>
        </w:rPr>
      </w:pPr>
      <w:r>
        <w:rPr>
          <w:rFonts w:ascii="Georgia" w:cs="Georgia" w:eastAsia="Georgia" w:hAnsi="Georgia"/>
          <w:sz w:val="14"/>
          <w:szCs w:val="14"/>
          <w:i w:val="1"/>
          <w:iCs w:val="1"/>
          <w:color w:val="auto"/>
        </w:rPr>
        <w:t>The securities are not bank deposits, are not insured by the Federal Deposit Insurance Corporation or any other governmental agency and are not obligations of, or guaranteed by, a bank.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6" w:lineRule="exact"/>
        <w:rPr>
          <w:sz w:val="24"/>
          <w:szCs w:val="24"/>
          <w:color w:val="auto"/>
        </w:rPr>
      </w:pPr>
    </w:p>
    <w:p>
      <w:pPr>
        <w:spacing w:after="0" w:line="246" w:lineRule="auto"/>
        <w:rPr>
          <w:sz w:val="20"/>
          <w:szCs w:val="20"/>
          <w:color w:val="auto"/>
        </w:rPr>
      </w:pPr>
      <w:r>
        <w:rPr>
          <w:rFonts w:ascii="Georgia" w:cs="Georgia" w:eastAsia="Georgia" w:hAnsi="Georgia"/>
          <w:sz w:val="14"/>
          <w:szCs w:val="14"/>
          <w:b w:val="1"/>
          <w:bCs w:val="1"/>
          <w:color w:val="C00000"/>
        </w:rPr>
        <w:t xml:space="preserve">THIS FACT SHEET DOES NOT PROVIDE ALL OF THE INFORMATION THAT AN INVESTOR SHOULD CONSIDER PRIOR TO MAKING AN INVESTMENT DECISION. </w:t>
      </w:r>
      <w:r>
        <w:rPr>
          <w:rFonts w:ascii="Georgia" w:cs="Georgia" w:eastAsia="Georgia" w:hAnsi="Georgia"/>
          <w:sz w:val="14"/>
          <w:szCs w:val="14"/>
          <w:b w:val="1"/>
          <w:bCs w:val="1"/>
          <w:color w:val="000000"/>
        </w:rPr>
        <w:t>This fact sheet should be read in conjunction with the accompanying preliminary pricing supplement, prospectus, prospectus</w:t>
      </w:r>
      <w:r>
        <w:rPr>
          <w:rFonts w:ascii="Georgia" w:cs="Georgia" w:eastAsia="Georgia" w:hAnsi="Georgia"/>
          <w:sz w:val="14"/>
          <w:szCs w:val="14"/>
          <w:b w:val="1"/>
          <w:bCs w:val="1"/>
          <w:color w:val="C00000"/>
        </w:rPr>
        <w:t xml:space="preserve"> </w:t>
      </w:r>
      <w:r>
        <w:rPr>
          <w:rFonts w:ascii="Georgia" w:cs="Georgia" w:eastAsia="Georgia" w:hAnsi="Georgia"/>
          <w:sz w:val="14"/>
          <w:szCs w:val="14"/>
          <w:b w:val="1"/>
          <w:bCs w:val="1"/>
          <w:color w:val="000000"/>
        </w:rPr>
        <w:t>supplement, product supplement and underlying supplement.</w:t>
      </w:r>
    </w:p>
    <w:p>
      <w:pPr>
        <w:sectPr>
          <w:pgSz w:w="11900" w:h="16838" w:orient="portrait"/>
          <w:cols w:equalWidth="0" w:num="1">
            <w:col w:w="11240"/>
          </w:cols>
          <w:pgMar w:left="320" w:top="211" w:right="339" w:bottom="1440" w:gutter="0" w:footer="0" w:header="0"/>
          <w:type w:val="continuous"/>
        </w:sectPr>
      </w:pPr>
    </w:p>
    <w:bookmarkStart w:id="1" w:name="page2"/>
    <w:bookmarkEnd w:id="1"/>
    <w:p>
      <w:pPr>
        <w:spacing w:after="0"/>
        <w:rPr>
          <w:sz w:val="20"/>
          <w:szCs w:val="20"/>
          <w:color w:val="auto"/>
        </w:rPr>
      </w:pPr>
      <w:r>
        <w:rPr>
          <w:rFonts w:ascii="Georgia" w:cs="Georgia" w:eastAsia="Georgia" w:hAnsi="Georgia"/>
          <w:sz w:val="25"/>
          <w:szCs w:val="25"/>
          <w:color w:val="8F8F8F"/>
        </w:rPr>
        <w:t>Selected Risk Considerations</w:t>
      </w:r>
    </w:p>
    <w:p>
      <w:pPr>
        <w:spacing w:after="0" w:line="136" w:lineRule="exact"/>
        <w:rPr>
          <w:sz w:val="20"/>
          <w:szCs w:val="20"/>
          <w:color w:val="auto"/>
        </w:rPr>
      </w:pPr>
    </w:p>
    <w:p>
      <w:pPr>
        <w:ind w:right="200"/>
        <w:spacing w:after="0" w:line="250" w:lineRule="auto"/>
        <w:rPr>
          <w:sz w:val="20"/>
          <w:szCs w:val="20"/>
          <w:color w:val="auto"/>
        </w:rPr>
      </w:pPr>
      <w:r>
        <w:rPr>
          <w:rFonts w:ascii="Georgia" w:cs="Georgia" w:eastAsia="Georgia" w:hAnsi="Georgia"/>
          <w:sz w:val="16"/>
          <w:szCs w:val="16"/>
          <w:color w:val="auto"/>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p>
      <w:pPr>
        <w:sectPr>
          <w:pgSz w:w="11900" w:h="16838" w:orient="portrait"/>
          <w:cols w:equalWidth="0" w:num="1">
            <w:col w:w="11220"/>
          </w:cols>
          <w:pgMar w:left="320" w:top="543" w:right="359" w:bottom="1440" w:gutter="0" w:footer="0" w:header="0"/>
        </w:sectPr>
      </w:pPr>
    </w:p>
    <w:p>
      <w:pPr>
        <w:spacing w:after="0" w:line="121" w:lineRule="exact"/>
        <w:rPr>
          <w:sz w:val="20"/>
          <w:szCs w:val="20"/>
          <w:color w:val="auto"/>
        </w:rPr>
      </w:pPr>
    </w:p>
    <w:p>
      <w:pPr>
        <w:ind w:left="240" w:right="300" w:hanging="232"/>
        <w:spacing w:after="0" w:line="248" w:lineRule="auto"/>
        <w:tabs>
          <w:tab w:leader="none" w:pos="216"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If the Securities Are Not Automatically Called and the Ending Level Is Less Than the Threshold Level, You Will Lose More Than 30%, and Possibly All, of the Principal Amount of Your Securities at Maturity.</w:t>
      </w:r>
    </w:p>
    <w:p>
      <w:pPr>
        <w:spacing w:after="0" w:line="41" w:lineRule="exact"/>
        <w:rPr>
          <w:rFonts w:ascii="Arial" w:cs="Arial" w:eastAsia="Arial" w:hAnsi="Arial"/>
          <w:sz w:val="16"/>
          <w:szCs w:val="16"/>
          <w:b w:val="1"/>
          <w:bCs w:val="1"/>
          <w:color w:val="auto"/>
        </w:rPr>
      </w:pPr>
    </w:p>
    <w:p>
      <w:pPr>
        <w:ind w:left="240" w:right="400" w:hanging="232"/>
        <w:spacing w:after="0" w:line="246" w:lineRule="auto"/>
        <w:tabs>
          <w:tab w:leader="none" w:pos="216"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If the Securities Are Automatically Called, the Return on the Securities Will Be Limited to the Call Premium.</w:t>
      </w:r>
    </w:p>
    <w:p>
      <w:pPr>
        <w:spacing w:after="0" w:line="53" w:lineRule="exact"/>
        <w:rPr>
          <w:rFonts w:ascii="Arial" w:cs="Arial" w:eastAsia="Arial" w:hAnsi="Arial"/>
          <w:sz w:val="16"/>
          <w:szCs w:val="16"/>
          <w:b w:val="1"/>
          <w:bCs w:val="1"/>
          <w:color w:val="auto"/>
        </w:rPr>
      </w:pPr>
    </w:p>
    <w:p>
      <w:pPr>
        <w:ind w:left="220" w:hanging="212"/>
        <w:spacing w:after="0"/>
        <w:tabs>
          <w:tab w:leader="none" w:pos="220"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You Will Be Subject to Reinvestment Risk.</w:t>
      </w:r>
    </w:p>
    <w:p>
      <w:pPr>
        <w:spacing w:after="0" w:line="60" w:lineRule="exact"/>
        <w:rPr>
          <w:rFonts w:ascii="Arial" w:cs="Arial" w:eastAsia="Arial" w:hAnsi="Arial"/>
          <w:sz w:val="16"/>
          <w:szCs w:val="16"/>
          <w:b w:val="1"/>
          <w:bCs w:val="1"/>
          <w:color w:val="auto"/>
        </w:rPr>
      </w:pPr>
    </w:p>
    <w:p>
      <w:pPr>
        <w:ind w:left="240" w:right="500" w:hanging="232"/>
        <w:spacing w:after="0" w:line="246" w:lineRule="auto"/>
        <w:tabs>
          <w:tab w:leader="none" w:pos="216"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Securities Are Subject to the Credit Risks of JPMorgan Financial and JPMorgan Chase &amp; Co.</w:t>
      </w:r>
    </w:p>
    <w:p>
      <w:pPr>
        <w:spacing w:after="0" w:line="42" w:lineRule="exact"/>
        <w:rPr>
          <w:rFonts w:ascii="Arial" w:cs="Arial" w:eastAsia="Arial" w:hAnsi="Arial"/>
          <w:sz w:val="16"/>
          <w:szCs w:val="16"/>
          <w:b w:val="1"/>
          <w:bCs w:val="1"/>
          <w:color w:val="auto"/>
        </w:rPr>
      </w:pPr>
    </w:p>
    <w:p>
      <w:pPr>
        <w:ind w:left="240" w:right="960" w:hanging="232"/>
        <w:spacing w:after="0" w:line="246" w:lineRule="auto"/>
        <w:tabs>
          <w:tab w:leader="none" w:pos="216"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As a Finance Subsidiary, JPMorgan Financial Has No Independent Activities and Has Limited Assets.</w:t>
      </w:r>
    </w:p>
    <w:p>
      <w:pPr>
        <w:spacing w:after="0" w:line="55" w:lineRule="exact"/>
        <w:rPr>
          <w:rFonts w:ascii="Arial" w:cs="Arial" w:eastAsia="Arial" w:hAnsi="Arial"/>
          <w:sz w:val="16"/>
          <w:szCs w:val="16"/>
          <w:b w:val="1"/>
          <w:bCs w:val="1"/>
          <w:color w:val="auto"/>
        </w:rPr>
      </w:pPr>
    </w:p>
    <w:p>
      <w:pPr>
        <w:ind w:left="240" w:right="120" w:hanging="232"/>
        <w:spacing w:after="0" w:line="246" w:lineRule="auto"/>
        <w:tabs>
          <w:tab w:leader="none" w:pos="216"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Benefit Provided by the Threshold Level May Terminate on the Final Calculation Day.</w:t>
      </w:r>
    </w:p>
    <w:p>
      <w:pPr>
        <w:spacing w:after="0" w:line="53" w:lineRule="exact"/>
        <w:rPr>
          <w:rFonts w:ascii="Arial" w:cs="Arial" w:eastAsia="Arial" w:hAnsi="Arial"/>
          <w:sz w:val="16"/>
          <w:szCs w:val="16"/>
          <w:b w:val="1"/>
          <w:bCs w:val="1"/>
          <w:color w:val="auto"/>
        </w:rPr>
      </w:pPr>
    </w:p>
    <w:p>
      <w:pPr>
        <w:ind w:left="220" w:hanging="212"/>
        <w:spacing w:after="0"/>
        <w:tabs>
          <w:tab w:leader="none" w:pos="220"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No Interest or Dividend Payments or Voting Rights</w:t>
      </w:r>
    </w:p>
    <w:p>
      <w:pPr>
        <w:spacing w:after="0" w:line="44" w:lineRule="exact"/>
        <w:rPr>
          <w:rFonts w:ascii="Arial" w:cs="Arial" w:eastAsia="Arial" w:hAnsi="Arial"/>
          <w:sz w:val="16"/>
          <w:szCs w:val="16"/>
          <w:b w:val="1"/>
          <w:bCs w:val="1"/>
          <w:color w:val="auto"/>
        </w:rPr>
      </w:pPr>
    </w:p>
    <w:p>
      <w:pPr>
        <w:ind w:left="220" w:hanging="212"/>
        <w:spacing w:after="0"/>
        <w:tabs>
          <w:tab w:leader="none" w:pos="220"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Lack of Liquidity</w:t>
      </w:r>
    </w:p>
    <w:p>
      <w:pPr>
        <w:spacing w:after="0" w:line="60" w:lineRule="exact"/>
        <w:rPr>
          <w:rFonts w:ascii="Arial" w:cs="Arial" w:eastAsia="Arial" w:hAnsi="Arial"/>
          <w:sz w:val="16"/>
          <w:szCs w:val="16"/>
          <w:b w:val="1"/>
          <w:bCs w:val="1"/>
          <w:color w:val="auto"/>
        </w:rPr>
      </w:pPr>
    </w:p>
    <w:p>
      <w:pPr>
        <w:ind w:left="240" w:right="140" w:hanging="232"/>
        <w:spacing w:after="0" w:line="246" w:lineRule="auto"/>
        <w:tabs>
          <w:tab w:leader="none" w:pos="216"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Final Terms and Estimated Valuation of the Securities Will Be Provided in the Pricing Supplement.</w:t>
      </w:r>
    </w:p>
    <w:p>
      <w:pPr>
        <w:spacing w:after="0" w:line="55" w:lineRule="exact"/>
        <w:rPr>
          <w:rFonts w:ascii="Arial" w:cs="Arial" w:eastAsia="Arial" w:hAnsi="Arial"/>
          <w:sz w:val="16"/>
          <w:szCs w:val="16"/>
          <w:b w:val="1"/>
          <w:bCs w:val="1"/>
          <w:color w:val="auto"/>
        </w:rPr>
      </w:pPr>
    </w:p>
    <w:p>
      <w:pPr>
        <w:ind w:left="240" w:right="320" w:hanging="232"/>
        <w:spacing w:after="0" w:line="246" w:lineRule="auto"/>
        <w:tabs>
          <w:tab w:leader="none" w:pos="216"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U.S. Federal Tax Consequences of the Securities Are Uncertain, and May Be Adverse to a Holder of the Securities.</w:t>
      </w:r>
    </w:p>
    <w:p>
      <w:pPr>
        <w:spacing w:after="0" w:line="39" w:lineRule="exact"/>
        <w:rPr>
          <w:rFonts w:ascii="Arial" w:cs="Arial" w:eastAsia="Arial" w:hAnsi="Arial"/>
          <w:sz w:val="16"/>
          <w:szCs w:val="16"/>
          <w:b w:val="1"/>
          <w:bCs w:val="1"/>
          <w:color w:val="auto"/>
        </w:rPr>
      </w:pPr>
    </w:p>
    <w:p>
      <w:pPr>
        <w:ind w:left="220" w:hanging="212"/>
        <w:spacing w:after="0"/>
        <w:tabs>
          <w:tab w:leader="none" w:pos="220"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Potential Conflicts</w:t>
      </w:r>
    </w:p>
    <w:p>
      <w:pPr>
        <w:spacing w:after="0" w:line="60" w:lineRule="exact"/>
        <w:rPr>
          <w:rFonts w:ascii="Arial" w:cs="Arial" w:eastAsia="Arial" w:hAnsi="Arial"/>
          <w:sz w:val="16"/>
          <w:szCs w:val="16"/>
          <w:b w:val="1"/>
          <w:bCs w:val="1"/>
          <w:color w:val="auto"/>
        </w:rPr>
      </w:pPr>
    </w:p>
    <w:p>
      <w:pPr>
        <w:ind w:left="240" w:right="280" w:hanging="232"/>
        <w:spacing w:after="0" w:line="246" w:lineRule="auto"/>
        <w:tabs>
          <w:tab w:leader="none" w:pos="216"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Estimated Value of the Securities Will Be Lower Than the Original Issue Price (Price to Public) of the Securities.</w:t>
      </w:r>
    </w:p>
    <w:p>
      <w:pPr>
        <w:spacing w:after="0" w:line="42" w:lineRule="exact"/>
        <w:rPr>
          <w:rFonts w:ascii="Arial" w:cs="Arial" w:eastAsia="Arial" w:hAnsi="Arial"/>
          <w:sz w:val="16"/>
          <w:szCs w:val="16"/>
          <w:b w:val="1"/>
          <w:bCs w:val="1"/>
          <w:color w:val="auto"/>
        </w:rPr>
      </w:pPr>
    </w:p>
    <w:p>
      <w:pPr>
        <w:ind w:left="240" w:right="400" w:hanging="232"/>
        <w:spacing w:after="0" w:line="247" w:lineRule="auto"/>
        <w:tabs>
          <w:tab w:leader="none" w:pos="216"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Estimated Value of the Securities Does Not Represent Future Values of the Securities and May Differ from Others’ Estimates.</w:t>
      </w:r>
    </w:p>
    <w:p>
      <w:pPr>
        <w:spacing w:after="0" w:line="56" w:lineRule="exact"/>
        <w:rPr>
          <w:rFonts w:ascii="Arial" w:cs="Arial" w:eastAsia="Arial" w:hAnsi="Arial"/>
          <w:sz w:val="16"/>
          <w:szCs w:val="16"/>
          <w:b w:val="1"/>
          <w:bCs w:val="1"/>
          <w:color w:val="auto"/>
        </w:rPr>
      </w:pPr>
    </w:p>
    <w:p>
      <w:pPr>
        <w:ind w:left="240" w:right="40" w:hanging="232"/>
        <w:spacing w:after="0" w:line="246" w:lineRule="auto"/>
        <w:tabs>
          <w:tab w:leader="none" w:pos="216"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Estimated Value of the Securities Is Derived by Reference to an Internal Funding Rate.</w:t>
      </w:r>
    </w:p>
    <w:p>
      <w:pPr>
        <w:spacing w:after="0" w:line="55" w:lineRule="exact"/>
        <w:rPr>
          <w:rFonts w:ascii="Arial" w:cs="Arial" w:eastAsia="Arial" w:hAnsi="Arial"/>
          <w:sz w:val="16"/>
          <w:szCs w:val="16"/>
          <w:b w:val="1"/>
          <w:bCs w:val="1"/>
          <w:color w:val="auto"/>
        </w:rPr>
      </w:pPr>
    </w:p>
    <w:p>
      <w:pPr>
        <w:ind w:left="240" w:hanging="232"/>
        <w:spacing w:after="0" w:line="248" w:lineRule="auto"/>
        <w:tabs>
          <w:tab w:leader="none" w:pos="216"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Value of the Securities as Published by JPMS (and Which May Be Reflected on Customer Account Statements) May Be Higher Than the Then-Current Estimated Value of the Securities for a Limited Time Period.</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239" w:right="620" w:hanging="239"/>
        <w:spacing w:after="0" w:line="246" w:lineRule="auto"/>
        <w:tabs>
          <w:tab w:leader="none" w:pos="215" w:val="left"/>
        </w:tabs>
        <w:numPr>
          <w:ilvl w:val="0"/>
          <w:numId w:val="2"/>
        </w:numPr>
        <w:rPr>
          <w:rFonts w:ascii="Arial" w:cs="Arial" w:eastAsia="Arial" w:hAnsi="Arial"/>
          <w:sz w:val="16"/>
          <w:szCs w:val="16"/>
          <w:b w:val="1"/>
          <w:bCs w:val="1"/>
          <w:color w:val="auto"/>
        </w:rPr>
      </w:pPr>
      <w:r>
        <w:rPr>
          <w:rFonts w:ascii="Georgia" w:cs="Georgia" w:eastAsia="Georgia" w:hAnsi="Georgia"/>
          <w:sz w:val="16"/>
          <w:szCs w:val="16"/>
          <w:b w:val="1"/>
          <w:bCs w:val="1"/>
          <w:color w:val="auto"/>
        </w:rPr>
        <w:t>Secondary Market Prices of the Securities Will Likely Be Lower Than the Original Issue Price of the Securities.</w:t>
      </w:r>
    </w:p>
    <w:p>
      <w:pPr>
        <w:spacing w:after="0" w:line="42" w:lineRule="exact"/>
        <w:rPr>
          <w:rFonts w:ascii="Arial" w:cs="Arial" w:eastAsia="Arial" w:hAnsi="Arial"/>
          <w:sz w:val="16"/>
          <w:szCs w:val="16"/>
          <w:b w:val="1"/>
          <w:bCs w:val="1"/>
          <w:color w:val="auto"/>
        </w:rPr>
      </w:pPr>
    </w:p>
    <w:p>
      <w:pPr>
        <w:ind w:left="239" w:right="220" w:hanging="239"/>
        <w:spacing w:after="0" w:line="246" w:lineRule="auto"/>
        <w:tabs>
          <w:tab w:leader="none" w:pos="215" w:val="left"/>
        </w:tabs>
        <w:numPr>
          <w:ilvl w:val="0"/>
          <w:numId w:val="2"/>
        </w:numPr>
        <w:rPr>
          <w:rFonts w:ascii="Arial" w:cs="Arial" w:eastAsia="Arial" w:hAnsi="Arial"/>
          <w:sz w:val="16"/>
          <w:szCs w:val="16"/>
          <w:b w:val="1"/>
          <w:bCs w:val="1"/>
          <w:color w:val="auto"/>
        </w:rPr>
      </w:pPr>
      <w:r>
        <w:rPr>
          <w:rFonts w:ascii="Georgia" w:cs="Georgia" w:eastAsia="Georgia" w:hAnsi="Georgia"/>
          <w:sz w:val="16"/>
          <w:szCs w:val="16"/>
          <w:b w:val="1"/>
          <w:bCs w:val="1"/>
          <w:color w:val="auto"/>
        </w:rPr>
        <w:t>Many Economic and Market Factors Will Impact the Value of the Securities.</w:t>
      </w:r>
    </w:p>
    <w:p>
      <w:pPr>
        <w:spacing w:after="0" w:line="55" w:lineRule="exact"/>
        <w:rPr>
          <w:rFonts w:ascii="Arial" w:cs="Arial" w:eastAsia="Arial" w:hAnsi="Arial"/>
          <w:sz w:val="16"/>
          <w:szCs w:val="16"/>
          <w:b w:val="1"/>
          <w:bCs w:val="1"/>
          <w:color w:val="auto"/>
        </w:rPr>
      </w:pPr>
    </w:p>
    <w:p>
      <w:pPr>
        <w:ind w:left="239" w:right="340" w:hanging="239"/>
        <w:spacing w:after="0" w:line="247" w:lineRule="auto"/>
        <w:tabs>
          <w:tab w:leader="none" w:pos="215" w:val="left"/>
        </w:tabs>
        <w:numPr>
          <w:ilvl w:val="0"/>
          <w:numId w:val="2"/>
        </w:numPr>
        <w:rPr>
          <w:rFonts w:ascii="Arial" w:cs="Arial" w:eastAsia="Arial" w:hAnsi="Arial"/>
          <w:sz w:val="16"/>
          <w:szCs w:val="16"/>
          <w:b w:val="1"/>
          <w:bCs w:val="1"/>
          <w:color w:val="auto"/>
        </w:rPr>
      </w:pPr>
      <w:r>
        <w:rPr>
          <w:rFonts w:ascii="Georgia" w:cs="Georgia" w:eastAsia="Georgia" w:hAnsi="Georgia"/>
          <w:sz w:val="16"/>
          <w:szCs w:val="16"/>
          <w:b w:val="1"/>
          <w:bCs w:val="1"/>
          <w:color w:val="auto"/>
        </w:rPr>
        <w:t>Each of JPMorgan Chase &amp; Co. and Wells Fargo &amp; Company (the Parent Company of WFS) Is Currently One of the Companies that Make Up the Index.</w:t>
      </w:r>
    </w:p>
    <w:p>
      <w:pPr>
        <w:spacing w:after="0" w:line="15" w:lineRule="exact"/>
        <w:rPr>
          <w:rFonts w:ascii="Arial" w:cs="Arial" w:eastAsia="Arial" w:hAnsi="Arial"/>
          <w:sz w:val="16"/>
          <w:szCs w:val="16"/>
          <w:b w:val="1"/>
          <w:bCs w:val="1"/>
          <w:color w:val="auto"/>
        </w:rPr>
      </w:pPr>
    </w:p>
    <w:p>
      <w:pPr>
        <w:ind w:left="239" w:right="380" w:hanging="239"/>
        <w:spacing w:after="0" w:line="248" w:lineRule="auto"/>
        <w:tabs>
          <w:tab w:leader="none" w:pos="215" w:val="left"/>
        </w:tabs>
        <w:numPr>
          <w:ilvl w:val="0"/>
          <w:numId w:val="2"/>
        </w:numPr>
        <w:rPr>
          <w:rFonts w:ascii="Arial" w:cs="Arial" w:eastAsia="Arial" w:hAnsi="Arial"/>
          <w:sz w:val="16"/>
          <w:szCs w:val="16"/>
          <w:b w:val="1"/>
          <w:bCs w:val="1"/>
          <w:color w:val="auto"/>
        </w:rPr>
      </w:pPr>
      <w:r>
        <w:rPr>
          <w:rFonts w:ascii="Georgia" w:cs="Georgia" w:eastAsia="Georgia" w:hAnsi="Georgia"/>
          <w:sz w:val="16"/>
          <w:szCs w:val="16"/>
          <w:b w:val="1"/>
          <w:bCs w:val="1"/>
          <w:color w:val="auto"/>
        </w:rPr>
        <w:t>Any Payment on the Securities Will Depend upon the Performance of the Index and Therefore the Securities Are Subject to the Risks Associated with the Index, Each as Discussed in the Accompanying Preliminary Pricing Supplement and Product Supplement.</w:t>
      </w:r>
    </w:p>
    <w:p>
      <w:pPr>
        <w:spacing w:after="0" w:line="4372" w:lineRule="exact"/>
        <w:rPr>
          <w:sz w:val="20"/>
          <w:szCs w:val="20"/>
          <w:color w:val="auto"/>
        </w:rPr>
      </w:pPr>
    </w:p>
    <w:p>
      <w:pPr>
        <w:sectPr>
          <w:pgSz w:w="11900" w:h="16838" w:orient="portrait"/>
          <w:cols w:equalWidth="0" w:num="2">
            <w:col w:w="5600" w:space="121"/>
            <w:col w:w="5499"/>
          </w:cols>
          <w:pgMar w:left="320" w:top="54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60"/>
        <w:spacing w:after="0" w:line="249" w:lineRule="auto"/>
        <w:rPr>
          <w:sz w:val="20"/>
          <w:szCs w:val="20"/>
          <w:color w:val="auto"/>
        </w:rPr>
      </w:pPr>
      <w:r>
        <w:rPr>
          <w:rFonts w:ascii="Georgia" w:cs="Georgia" w:eastAsia="Georgia" w:hAnsi="Georgia"/>
          <w:sz w:val="16"/>
          <w:szCs w:val="16"/>
          <w:color w:val="8F8F8F"/>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spacing w:after="0" w:line="111" w:lineRule="exact"/>
        <w:rPr>
          <w:sz w:val="20"/>
          <w:szCs w:val="20"/>
          <w:color w:val="auto"/>
        </w:rPr>
      </w:pPr>
    </w:p>
    <w:p>
      <w:pPr>
        <w:spacing w:after="0" w:line="249" w:lineRule="auto"/>
        <w:rPr>
          <w:sz w:val="20"/>
          <w:szCs w:val="20"/>
          <w:color w:val="auto"/>
        </w:rPr>
      </w:pPr>
      <w:r>
        <w:rPr>
          <w:rFonts w:ascii="Georgia" w:cs="Georgia" w:eastAsia="Georgia" w:hAnsi="Georgia"/>
          <w:sz w:val="16"/>
          <w:szCs w:val="16"/>
          <w:color w:val="8F8F8F"/>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sectPr>
      <w:pgSz w:w="11900" w:h="16838" w:orient="portrait"/>
      <w:cols w:equalWidth="0" w:num="1">
        <w:col w:w="11220"/>
      </w:cols>
      <w:pgMar w:left="320" w:top="54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2000019F" w:csb1="0000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2" Type="http://schemas.openxmlformats.org/officeDocument/2006/relationships/image" Target="media/image4.png"/><Relationship Id="rId11" Type="http://schemas.openxmlformats.org/officeDocument/2006/relationships/hyperlink" Target="http://www.sec.gov/Archives/edgar/data/19617/000121390026068849/ea0294862-01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2026-06-16T05:16:54Z</dcterms:created>
  <dcterms:modified xsi:type="dcterms:W3CDTF">2026-06-16T05:16:54Z</dcterms:modified>
</cp:coreProperties>
</file>