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ind w:left="100"/>
        <w:spacing w:after="0"/>
        <w:rPr>
          <w:sz w:val="20"/>
          <w:szCs w:val="20"/>
          <w:color w:val="auto"/>
        </w:rPr>
      </w:pPr>
      <w:r>
        <w:rPr>
          <w:rFonts w:ascii="Verdana" w:cs="Verdana" w:eastAsia="Verdana" w:hAnsi="Verdana"/>
          <w:sz w:val="28"/>
          <w:szCs w:val="28"/>
          <w:b w:val="1"/>
          <w:bCs w:val="1"/>
          <w:color w:val="BB0826"/>
        </w:rPr>
        <w:t>JPMorgan Chase Financial Company LLC</w:t>
      </w:r>
    </w:p>
    <w:p>
      <w:pPr>
        <w:spacing w:after="0" w:line="54" w:lineRule="exact"/>
        <w:rPr>
          <w:sz w:val="24"/>
          <w:szCs w:val="24"/>
          <w:color w:val="auto"/>
        </w:rPr>
      </w:pPr>
    </w:p>
    <w:p>
      <w:pPr>
        <w:ind w:left="100"/>
        <w:spacing w:after="0"/>
        <w:rPr>
          <w:sz w:val="20"/>
          <w:szCs w:val="20"/>
          <w:color w:val="auto"/>
        </w:rPr>
      </w:pPr>
      <w:r>
        <w:rPr>
          <w:rFonts w:ascii="Verdana" w:cs="Verdana" w:eastAsia="Verdana" w:hAnsi="Verdana"/>
          <w:sz w:val="18"/>
          <w:szCs w:val="18"/>
          <w:b w:val="1"/>
          <w:bCs w:val="1"/>
          <w:i w:val="1"/>
          <w:iCs w:val="1"/>
          <w:color w:val="BB0826"/>
        </w:rPr>
        <w:t>Fully and Unconditionally Guaranteed by JPMorgan Chase &amp; Co.</w:t>
      </w:r>
    </w:p>
    <w:p>
      <w:pPr>
        <w:spacing w:after="0" w:line="56" w:lineRule="exact"/>
        <w:rPr>
          <w:sz w:val="24"/>
          <w:szCs w:val="24"/>
          <w:color w:val="auto"/>
        </w:rPr>
      </w:pPr>
    </w:p>
    <w:p>
      <w:pPr>
        <w:ind w:left="100"/>
        <w:spacing w:after="0"/>
        <w:rPr>
          <w:sz w:val="20"/>
          <w:szCs w:val="20"/>
          <w:color w:val="auto"/>
        </w:rPr>
      </w:pPr>
      <w:r>
        <w:rPr>
          <w:rFonts w:ascii="Verdana" w:cs="Verdana" w:eastAsia="Verdana" w:hAnsi="Verdana"/>
          <w:sz w:val="22"/>
          <w:szCs w:val="22"/>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right"/>
        <w:ind w:right="100"/>
        <w:spacing w:after="0"/>
        <w:rPr>
          <w:sz w:val="20"/>
          <w:szCs w:val="20"/>
          <w:color w:val="auto"/>
        </w:rPr>
      </w:pPr>
      <w:r>
        <w:rPr>
          <w:rFonts w:ascii="Verdana" w:cs="Verdana" w:eastAsia="Verdana" w:hAnsi="Verdana"/>
          <w:sz w:val="13"/>
          <w:szCs w:val="13"/>
          <w:color w:val="auto"/>
        </w:rPr>
        <w:t>Filed Pursuant to Rule 433</w:t>
      </w:r>
    </w:p>
    <w:p>
      <w:pPr>
        <w:jc w:val="right"/>
        <w:ind w:right="100"/>
        <w:spacing w:after="0"/>
        <w:rPr>
          <w:sz w:val="20"/>
          <w:szCs w:val="20"/>
          <w:color w:val="auto"/>
        </w:rPr>
      </w:pPr>
      <w:r>
        <w:rPr>
          <w:rFonts w:ascii="Verdana" w:cs="Verdana" w:eastAsia="Verdana" w:hAnsi="Verdana"/>
          <w:sz w:val="12"/>
          <w:szCs w:val="12"/>
          <w:color w:val="auto"/>
        </w:rPr>
        <w:t>Registration Statement Nos. 333-</w:t>
      </w:r>
    </w:p>
    <w:p>
      <w:pPr>
        <w:spacing w:after="0" w:line="3" w:lineRule="exact"/>
        <w:rPr>
          <w:sz w:val="24"/>
          <w:szCs w:val="24"/>
          <w:color w:val="auto"/>
        </w:rPr>
      </w:pPr>
    </w:p>
    <w:p>
      <w:pPr>
        <w:jc w:val="right"/>
        <w:ind w:right="100"/>
        <w:spacing w:after="0"/>
        <w:rPr>
          <w:sz w:val="20"/>
          <w:szCs w:val="20"/>
          <w:color w:val="auto"/>
        </w:rPr>
      </w:pPr>
      <w:r>
        <w:rPr>
          <w:rFonts w:ascii="Verdana" w:cs="Verdana" w:eastAsia="Verdana" w:hAnsi="Verdana"/>
          <w:sz w:val="13"/>
          <w:szCs w:val="13"/>
          <w:color w:val="auto"/>
        </w:rPr>
        <w:t>270004 and 333-270004-01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-218440</wp:posOffset>
            </wp:positionH>
            <wp:positionV relativeFrom="paragraph">
              <wp:posOffset>-1905</wp:posOffset>
            </wp:positionV>
            <wp:extent cx="1568450"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8450" cy="411480"/>
                    </a:xfrm>
                    <a:prstGeom prst="rect">
                      <a:avLst/>
                    </a:prstGeom>
                    <a:noFill/>
                  </pic:spPr>
                </pic:pic>
              </a:graphicData>
            </a:graphic>
          </wp:anchor>
        </w:drawing>
      </w:r>
    </w:p>
    <w:p>
      <w:pPr>
        <w:spacing w:after="0" w:line="677" w:lineRule="exact"/>
        <w:rPr>
          <w:sz w:val="24"/>
          <w:szCs w:val="24"/>
          <w:color w:val="auto"/>
        </w:rPr>
      </w:pPr>
    </w:p>
    <w:p>
      <w:pPr>
        <w:sectPr>
          <w:pgSz w:w="11900" w:h="16838" w:orient="portrait"/>
          <w:cols w:equalWidth="0" w:num="2">
            <w:col w:w="8300" w:space="720"/>
            <w:col w:w="2220"/>
          </w:cols>
          <w:pgMar w:left="320" w:top="233" w:right="339" w:bottom="1440" w:gutter="0" w:footer="0" w:header="0"/>
        </w:sectPr>
      </w:pPr>
    </w:p>
    <w:p>
      <w:pPr>
        <w:spacing w:after="0" w:line="217" w:lineRule="exact"/>
        <w:rPr>
          <w:sz w:val="24"/>
          <w:szCs w:val="24"/>
          <w:color w:val="auto"/>
        </w:rPr>
      </w:pPr>
    </w:p>
    <w:p>
      <w:pPr>
        <w:ind w:left="100"/>
        <w:spacing w:after="0"/>
        <w:rPr>
          <w:sz w:val="20"/>
          <w:szCs w:val="20"/>
          <w:color w:val="auto"/>
        </w:rPr>
      </w:pPr>
      <w:r>
        <w:rPr>
          <w:rFonts w:ascii="Verdana" w:cs="Verdana" w:eastAsia="Verdana" w:hAnsi="Verdana"/>
          <w:sz w:val="18"/>
          <w:szCs w:val="18"/>
          <w:color w:val="FFFFFF"/>
        </w:rPr>
        <w:t>Market Linked Securities — Auto-Callable with Contingent Downside</w:t>
      </w:r>
    </w:p>
    <w:p>
      <w:pPr>
        <w:spacing w:after="0" w:line="105" w:lineRule="exact"/>
        <w:rPr>
          <w:sz w:val="24"/>
          <w:szCs w:val="24"/>
          <w:color w:val="auto"/>
        </w:rPr>
      </w:pPr>
    </w:p>
    <w:p>
      <w:pPr>
        <w:ind w:left="100" w:right="620"/>
        <w:spacing w:after="0" w:line="236" w:lineRule="auto"/>
        <w:rPr>
          <w:sz w:val="20"/>
          <w:szCs w:val="20"/>
          <w:color w:val="auto"/>
        </w:rPr>
      </w:pPr>
      <w:r>
        <w:rPr>
          <w:rFonts w:ascii="Verdana" w:cs="Verdana" w:eastAsia="Verdana" w:hAnsi="Verdana"/>
          <w:sz w:val="18"/>
          <w:szCs w:val="18"/>
          <w:color w:val="FFFFFF"/>
        </w:rPr>
        <w:t>Principal at Risk Securities Linked to the Lowest Performing of the Class A Common Stock of Snowflake Inc. and the Common Stock of Tesla, Inc. due February 12, 2027</w:t>
      </w:r>
    </w:p>
    <w:p>
      <w:pPr>
        <w:spacing w:after="0" w:line="2" w:lineRule="exact"/>
        <w:rPr>
          <w:sz w:val="24"/>
          <w:szCs w:val="24"/>
          <w:color w:val="auto"/>
        </w:rPr>
      </w:pPr>
    </w:p>
    <w:p>
      <w:pPr>
        <w:ind w:left="100"/>
        <w:spacing w:after="0"/>
        <w:rPr>
          <w:sz w:val="20"/>
          <w:szCs w:val="20"/>
          <w:color w:val="auto"/>
        </w:rPr>
      </w:pPr>
      <w:r>
        <w:rPr>
          <w:rFonts w:ascii="Verdana" w:cs="Verdana" w:eastAsia="Verdana" w:hAnsi="Verdana"/>
          <w:sz w:val="18"/>
          <w:szCs w:val="18"/>
          <w:color w:val="FFFFFF"/>
        </w:rPr>
        <w:t>Fact Sheet dated February 5, 2024 to Preliminary Pricing Supplement dated February 2, 2024</w:t>
      </w:r>
    </w:p>
    <w:p>
      <w:pPr>
        <w:sectPr>
          <w:pgSz w:w="11900" w:h="16838" w:orient="portrait"/>
          <w:cols w:equalWidth="0" w:num="1">
            <w:col w:w="11240"/>
          </w:cols>
          <w:pgMar w:left="320" w:top="233" w:right="339" w:bottom="1440" w:gutter="0" w:footer="0" w:header="0"/>
          <w:type w:val="continuous"/>
        </w:sectPr>
      </w:pPr>
    </w:p>
    <w:p>
      <w:pPr>
        <w:spacing w:after="0" w:line="105" w:lineRule="exact"/>
        <w:rPr>
          <w:sz w:val="24"/>
          <w:szCs w:val="24"/>
          <w:color w:val="auto"/>
        </w:rPr>
      </w:pPr>
    </w:p>
    <w:p>
      <w:pPr>
        <w:ind w:left="80"/>
        <w:spacing w:after="0"/>
        <w:rPr>
          <w:sz w:val="20"/>
          <w:szCs w:val="20"/>
          <w:color w:val="auto"/>
        </w:rPr>
      </w:pPr>
      <w:r>
        <w:rPr>
          <w:rFonts w:ascii="Verdana" w:cs="Verdana" w:eastAsia="Verdana" w:hAnsi="Verdana"/>
          <w:sz w:val="23"/>
          <w:szCs w:val="23"/>
          <w:color w:val="8F8F8F"/>
        </w:rPr>
        <w:t>Summary of Terms</w:t>
      </w:r>
    </w:p>
    <w:p>
      <w:pPr>
        <w:spacing w:after="0" w:line="10" w:lineRule="exact"/>
        <w:rPr>
          <w:sz w:val="24"/>
          <w:szCs w:val="24"/>
          <w:color w:val="auto"/>
        </w:rPr>
      </w:pPr>
    </w:p>
    <w:tbl>
      <w:tblPr>
        <w:tblLayout w:type="fixed"/>
        <w:tblInd w:w="10" w:type="dxa"/>
        <w:tblCellMar>
          <w:top w:w="0" w:type="dxa"/>
          <w:left w:w="0" w:type="dxa"/>
          <w:bottom w:w="0" w:type="dxa"/>
          <w:right w:w="0" w:type="dxa"/>
        </w:tblCellMar>
      </w:tblPr>
      <w:tr>
        <w:trPr>
          <w:trHeight w:val="155"/>
        </w:trPr>
        <w:tc>
          <w:tcPr>
            <w:tcW w:w="1380" w:type="dxa"/>
            <w:vAlign w:val="bottom"/>
            <w:tcBorders>
              <w:top w:val="single" w:sz="8" w:color="auto"/>
              <w:left w:val="single" w:sz="8" w:color="auto"/>
              <w:bottom w:val="single" w:sz="8" w:color="auto"/>
              <w:right w:val="single" w:sz="8" w:color="auto"/>
            </w:tcBorders>
          </w:tcPr>
          <w:p>
            <w:pPr>
              <w:ind w:left="20"/>
              <w:spacing w:after="0" w:line="156" w:lineRule="exact"/>
              <w:rPr>
                <w:sz w:val="20"/>
                <w:szCs w:val="20"/>
                <w:color w:val="auto"/>
              </w:rPr>
            </w:pPr>
            <w:r>
              <w:rPr>
                <w:rFonts w:ascii="Georgia" w:cs="Georgia" w:eastAsia="Georgia" w:hAnsi="Georgia"/>
                <w:sz w:val="14"/>
                <w:szCs w:val="14"/>
                <w:color w:val="auto"/>
              </w:rPr>
              <w:t>Issuer:</w:t>
            </w:r>
          </w:p>
        </w:tc>
        <w:tc>
          <w:tcPr>
            <w:tcW w:w="60" w:type="dxa"/>
            <w:vAlign w:val="bottom"/>
            <w:tcBorders>
              <w:top w:val="single" w:sz="8" w:color="auto"/>
              <w:bottom w:val="single" w:sz="8" w:color="auto"/>
            </w:tcBorders>
          </w:tcPr>
          <w:p>
            <w:pPr>
              <w:spacing w:after="0"/>
              <w:rPr>
                <w:sz w:val="13"/>
                <w:szCs w:val="13"/>
                <w:color w:val="auto"/>
              </w:rPr>
            </w:pPr>
          </w:p>
        </w:tc>
        <w:tc>
          <w:tcPr>
            <w:tcW w:w="3960" w:type="dxa"/>
            <w:vAlign w:val="bottom"/>
            <w:tcBorders>
              <w:top w:val="single" w:sz="8" w:color="auto"/>
              <w:bottom w:val="single" w:sz="8" w:color="auto"/>
              <w:right w:val="single" w:sz="8" w:color="auto"/>
            </w:tcBorders>
          </w:tcPr>
          <w:p>
            <w:pPr>
              <w:ind w:left="20"/>
              <w:spacing w:after="0" w:line="156" w:lineRule="exact"/>
              <w:rPr>
                <w:sz w:val="20"/>
                <w:szCs w:val="20"/>
                <w:color w:val="auto"/>
              </w:rPr>
            </w:pPr>
            <w:r>
              <w:rPr>
                <w:rFonts w:ascii="Georgia" w:cs="Georgia" w:eastAsia="Georgia" w:hAnsi="Georgia"/>
                <w:sz w:val="14"/>
                <w:szCs w:val="14"/>
                <w:color w:val="auto"/>
              </w:rPr>
              <w:t>JPMorgan Chase Financial Company LLC</w:t>
            </w:r>
          </w:p>
        </w:tc>
        <w:tc>
          <w:tcPr>
            <w:tcW w:w="0" w:type="dxa"/>
            <w:vAlign w:val="bottom"/>
          </w:tcPr>
          <w:p>
            <w:pPr>
              <w:spacing w:after="0"/>
              <w:rPr>
                <w:sz w:val="1"/>
                <w:szCs w:val="1"/>
                <w:color w:val="auto"/>
              </w:rPr>
            </w:pPr>
          </w:p>
        </w:tc>
      </w:tr>
      <w:tr>
        <w:trPr>
          <w:trHeight w:val="156"/>
        </w:trPr>
        <w:tc>
          <w:tcPr>
            <w:tcW w:w="1380" w:type="dxa"/>
            <w:vAlign w:val="bottom"/>
            <w:tcBorders>
              <w:left w:val="single" w:sz="8" w:color="auto"/>
              <w:bottom w:val="single" w:sz="8" w:color="auto"/>
              <w:right w:val="single" w:sz="8" w:color="auto"/>
            </w:tcBorders>
          </w:tcPr>
          <w:p>
            <w:pPr>
              <w:ind w:left="20"/>
              <w:spacing w:after="0" w:line="156" w:lineRule="exact"/>
              <w:rPr>
                <w:sz w:val="20"/>
                <w:szCs w:val="20"/>
                <w:color w:val="auto"/>
              </w:rPr>
            </w:pPr>
            <w:r>
              <w:rPr>
                <w:rFonts w:ascii="Georgia" w:cs="Georgia" w:eastAsia="Georgia" w:hAnsi="Georgia"/>
                <w:sz w:val="14"/>
                <w:szCs w:val="14"/>
                <w:color w:val="auto"/>
              </w:rPr>
              <w:t>Guarantor:</w:t>
            </w:r>
          </w:p>
        </w:tc>
        <w:tc>
          <w:tcPr>
            <w:tcW w:w="60" w:type="dxa"/>
            <w:vAlign w:val="bottom"/>
            <w:tcBorders>
              <w:bottom w:val="single" w:sz="8" w:color="auto"/>
            </w:tcBorders>
          </w:tcPr>
          <w:p>
            <w:pPr>
              <w:spacing w:after="0"/>
              <w:rPr>
                <w:sz w:val="13"/>
                <w:szCs w:val="13"/>
                <w:color w:val="auto"/>
              </w:rPr>
            </w:pPr>
          </w:p>
        </w:tc>
        <w:tc>
          <w:tcPr>
            <w:tcW w:w="3960" w:type="dxa"/>
            <w:vAlign w:val="bottom"/>
            <w:tcBorders>
              <w:bottom w:val="single" w:sz="8" w:color="auto"/>
              <w:right w:val="single" w:sz="8" w:color="auto"/>
            </w:tcBorders>
          </w:tcPr>
          <w:p>
            <w:pPr>
              <w:ind w:left="20"/>
              <w:spacing w:after="0" w:line="156" w:lineRule="exact"/>
              <w:rPr>
                <w:sz w:val="20"/>
                <w:szCs w:val="20"/>
                <w:color w:val="auto"/>
              </w:rPr>
            </w:pPr>
            <w:r>
              <w:rPr>
                <w:rFonts w:ascii="Georgia" w:cs="Georgia" w:eastAsia="Georgia" w:hAnsi="Georgia"/>
                <w:sz w:val="14"/>
                <w:szCs w:val="14"/>
                <w:color w:val="auto"/>
              </w:rPr>
              <w:t>JPMorgan Chase &amp; C0.</w:t>
            </w: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Underlying Stocks:</w:t>
            </w:r>
          </w:p>
        </w:tc>
        <w:tc>
          <w:tcPr>
            <w:tcW w:w="60" w:type="dxa"/>
            <w:vAlign w:val="bottom"/>
          </w:tcPr>
          <w:p>
            <w:pPr>
              <w:spacing w:after="0"/>
              <w:rPr>
                <w:sz w:val="13"/>
                <w:szCs w:val="13"/>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The Class A common stock of Snowflake Inc. (Bloomberg</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ticker: SNOW) and the common stock of Tesla, Inc.</w:t>
            </w: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960" w:type="dxa"/>
            <w:vAlign w:val="bottom"/>
            <w:tcBorders>
              <w:bottom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(Bloomberg ticker: TSLA)</w:t>
            </w:r>
          </w:p>
        </w:tc>
        <w:tc>
          <w:tcPr>
            <w:tcW w:w="0" w:type="dxa"/>
            <w:vAlign w:val="bottom"/>
          </w:tcPr>
          <w:p>
            <w:pPr>
              <w:spacing w:after="0"/>
              <w:rPr>
                <w:sz w:val="1"/>
                <w:szCs w:val="1"/>
                <w:color w:val="auto"/>
              </w:rPr>
            </w:pPr>
          </w:p>
        </w:tc>
      </w:tr>
      <w:tr>
        <w:trPr>
          <w:trHeight w:val="183"/>
        </w:trPr>
        <w:tc>
          <w:tcPr>
            <w:tcW w:w="1380" w:type="dxa"/>
            <w:vAlign w:val="bottom"/>
            <w:tcBorders>
              <w:left w:val="single" w:sz="8" w:color="auto"/>
              <w:bottom w:val="single" w:sz="8" w:color="auto"/>
              <w:right w:val="single" w:sz="8" w:color="auto"/>
            </w:tcBorders>
          </w:tcPr>
          <w:p>
            <w:pPr>
              <w:ind w:left="20"/>
              <w:spacing w:after="0" w:line="182" w:lineRule="exact"/>
              <w:rPr>
                <w:sz w:val="20"/>
                <w:szCs w:val="20"/>
                <w:color w:val="auto"/>
              </w:rPr>
            </w:pPr>
            <w:r>
              <w:rPr>
                <w:rFonts w:ascii="Georgia" w:cs="Georgia" w:eastAsia="Georgia" w:hAnsi="Georgia"/>
                <w:sz w:val="13"/>
                <w:szCs w:val="13"/>
                <w:color w:val="auto"/>
              </w:rPr>
              <w:t>Pricing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60" w:type="dxa"/>
            <w:vAlign w:val="bottom"/>
            <w:tcBorders>
              <w:bottom w:val="single" w:sz="8" w:color="auto"/>
            </w:tcBorders>
          </w:tcPr>
          <w:p>
            <w:pPr>
              <w:spacing w:after="0"/>
              <w:rPr>
                <w:sz w:val="15"/>
                <w:szCs w:val="15"/>
                <w:color w:val="auto"/>
              </w:rPr>
            </w:pPr>
          </w:p>
        </w:tc>
        <w:tc>
          <w:tcPr>
            <w:tcW w:w="3960" w:type="dxa"/>
            <w:vAlign w:val="bottom"/>
            <w:tcBorders>
              <w:bottom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February 7, 2024</w:t>
            </w:r>
          </w:p>
        </w:tc>
        <w:tc>
          <w:tcPr>
            <w:tcW w:w="0" w:type="dxa"/>
            <w:vAlign w:val="bottom"/>
          </w:tcPr>
          <w:p>
            <w:pPr>
              <w:spacing w:after="0"/>
              <w:rPr>
                <w:sz w:val="1"/>
                <w:szCs w:val="1"/>
                <w:color w:val="auto"/>
              </w:rPr>
            </w:pPr>
          </w:p>
        </w:tc>
      </w:tr>
      <w:tr>
        <w:trPr>
          <w:trHeight w:val="183"/>
        </w:trPr>
        <w:tc>
          <w:tcPr>
            <w:tcW w:w="1380" w:type="dxa"/>
            <w:vAlign w:val="bottom"/>
            <w:tcBorders>
              <w:left w:val="single" w:sz="8" w:color="auto"/>
              <w:bottom w:val="single" w:sz="8" w:color="auto"/>
              <w:right w:val="single" w:sz="8" w:color="auto"/>
            </w:tcBorders>
          </w:tcPr>
          <w:p>
            <w:pPr>
              <w:ind w:left="2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60" w:type="dxa"/>
            <w:vAlign w:val="bottom"/>
            <w:tcBorders>
              <w:bottom w:val="single" w:sz="8" w:color="auto"/>
            </w:tcBorders>
          </w:tcPr>
          <w:p>
            <w:pPr>
              <w:spacing w:after="0"/>
              <w:rPr>
                <w:sz w:val="15"/>
                <w:szCs w:val="15"/>
                <w:color w:val="auto"/>
              </w:rPr>
            </w:pPr>
          </w:p>
        </w:tc>
        <w:tc>
          <w:tcPr>
            <w:tcW w:w="3960" w:type="dxa"/>
            <w:vAlign w:val="bottom"/>
            <w:tcBorders>
              <w:bottom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February 12, 2024</w:t>
            </w:r>
          </w:p>
        </w:tc>
        <w:tc>
          <w:tcPr>
            <w:tcW w:w="0" w:type="dxa"/>
            <w:vAlign w:val="bottom"/>
          </w:tcPr>
          <w:p>
            <w:pPr>
              <w:spacing w:after="0"/>
              <w:rPr>
                <w:sz w:val="1"/>
                <w:szCs w:val="1"/>
                <w:color w:val="auto"/>
              </w:rPr>
            </w:pPr>
          </w:p>
        </w:tc>
      </w:tr>
      <w:tr>
        <w:trPr>
          <w:trHeight w:val="154"/>
        </w:trPr>
        <w:tc>
          <w:tcPr>
            <w:tcW w:w="1380" w:type="dxa"/>
            <w:vAlign w:val="bottom"/>
            <w:tcBorders>
              <w:left w:val="single" w:sz="8" w:color="auto"/>
              <w:right w:val="single" w:sz="8" w:color="auto"/>
            </w:tcBorders>
          </w:tcPr>
          <w:p>
            <w:pPr>
              <w:ind w:left="20"/>
              <w:spacing w:after="0" w:line="154" w:lineRule="exact"/>
              <w:rPr>
                <w:sz w:val="20"/>
                <w:szCs w:val="20"/>
                <w:color w:val="auto"/>
              </w:rPr>
            </w:pPr>
            <w:r>
              <w:rPr>
                <w:rFonts w:ascii="Georgia" w:cs="Georgia" w:eastAsia="Georgia" w:hAnsi="Georgia"/>
                <w:sz w:val="14"/>
                <w:szCs w:val="14"/>
                <w:color w:val="auto"/>
              </w:rPr>
              <w:t>Stated Maturity</w:t>
            </w:r>
          </w:p>
        </w:tc>
        <w:tc>
          <w:tcPr>
            <w:tcW w:w="60" w:type="dxa"/>
            <w:vAlign w:val="bottom"/>
          </w:tcPr>
          <w:p>
            <w:pPr>
              <w:spacing w:after="0"/>
              <w:rPr>
                <w:sz w:val="13"/>
                <w:szCs w:val="13"/>
                <w:color w:val="auto"/>
              </w:rPr>
            </w:pPr>
          </w:p>
        </w:tc>
        <w:tc>
          <w:tcPr>
            <w:tcW w:w="3960" w:type="dxa"/>
            <w:vAlign w:val="bottom"/>
            <w:tcBorders>
              <w:right w:val="single" w:sz="8" w:color="auto"/>
            </w:tcBorders>
          </w:tcPr>
          <w:p>
            <w:pPr>
              <w:ind w:left="20"/>
              <w:spacing w:after="0" w:line="154" w:lineRule="exact"/>
              <w:rPr>
                <w:sz w:val="20"/>
                <w:szCs w:val="20"/>
                <w:color w:val="auto"/>
              </w:rPr>
            </w:pPr>
            <w:r>
              <w:rPr>
                <w:rFonts w:ascii="Georgia" w:cs="Georgia" w:eastAsia="Georgia" w:hAnsi="Georgia"/>
                <w:sz w:val="14"/>
                <w:szCs w:val="14"/>
                <w:color w:val="auto"/>
              </w:rPr>
              <w:t>February 12, 2027</w:t>
            </w:r>
          </w:p>
        </w:tc>
        <w:tc>
          <w:tcPr>
            <w:tcW w:w="0" w:type="dxa"/>
            <w:vAlign w:val="bottom"/>
          </w:tcPr>
          <w:p>
            <w:pPr>
              <w:spacing w:after="0"/>
              <w:rPr>
                <w:sz w:val="1"/>
                <w:szCs w:val="1"/>
                <w:color w:val="auto"/>
              </w:rPr>
            </w:pPr>
          </w:p>
        </w:tc>
      </w:tr>
      <w:tr>
        <w:trPr>
          <w:trHeight w:val="191"/>
        </w:trPr>
        <w:tc>
          <w:tcPr>
            <w:tcW w:w="1380" w:type="dxa"/>
            <w:vAlign w:val="bottom"/>
            <w:tcBorders>
              <w:left w:val="single" w:sz="8" w:color="auto"/>
              <w:bottom w:val="single" w:sz="8" w:color="auto"/>
              <w:right w:val="single" w:sz="8" w:color="auto"/>
            </w:tcBorders>
          </w:tcPr>
          <w:p>
            <w:pPr>
              <w:ind w:left="20"/>
              <w:spacing w:after="0" w:line="191" w:lineRule="exact"/>
              <w:rPr>
                <w:sz w:val="20"/>
                <w:szCs w:val="20"/>
                <w:color w:val="auto"/>
              </w:rPr>
            </w:pPr>
            <w:r>
              <w:rPr>
                <w:rFonts w:ascii="Georgia" w:cs="Georgia" w:eastAsia="Georgia" w:hAnsi="Georgia"/>
                <w:sz w:val="14"/>
                <w:szCs w:val="14"/>
                <w:color w:val="auto"/>
              </w:rPr>
              <w:t>Date</w:t>
            </w:r>
            <w:r>
              <w:rPr>
                <w:rFonts w:ascii="Georgia" w:cs="Georgia" w:eastAsia="Georgia" w:hAnsi="Georgia"/>
                <w:sz w:val="22"/>
                <w:szCs w:val="22"/>
                <w:color w:val="auto"/>
                <w:vertAlign w:val="superscript"/>
              </w:rPr>
              <w:t>1, 2</w:t>
            </w:r>
            <w:r>
              <w:rPr>
                <w:rFonts w:ascii="Georgia" w:cs="Georgia" w:eastAsia="Georgia" w:hAnsi="Georgia"/>
                <w:sz w:val="14"/>
                <w:szCs w:val="14"/>
                <w:color w:val="auto"/>
              </w:rPr>
              <w:t>:</w:t>
            </w:r>
          </w:p>
        </w:tc>
        <w:tc>
          <w:tcPr>
            <w:tcW w:w="60" w:type="dxa"/>
            <w:vAlign w:val="bottom"/>
            <w:tcBorders>
              <w:bottom w:val="single" w:sz="8" w:color="auto"/>
            </w:tcBorders>
          </w:tcPr>
          <w:p>
            <w:pPr>
              <w:spacing w:after="0"/>
              <w:rPr>
                <w:sz w:val="16"/>
                <w:szCs w:val="16"/>
                <w:color w:val="auto"/>
              </w:rPr>
            </w:pPr>
          </w:p>
        </w:tc>
        <w:tc>
          <w:tcPr>
            <w:tcW w:w="3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80" w:type="dxa"/>
            <w:vAlign w:val="bottom"/>
            <w:tcBorders>
              <w:left w:val="single" w:sz="8" w:color="auto"/>
              <w:bottom w:val="single" w:sz="8" w:color="auto"/>
              <w:right w:val="single" w:sz="8" w:color="auto"/>
            </w:tcBorders>
          </w:tcPr>
          <w:p>
            <w:pPr>
              <w:ind w:left="20"/>
              <w:spacing w:after="0" w:line="156" w:lineRule="exact"/>
              <w:rPr>
                <w:sz w:val="20"/>
                <w:szCs w:val="20"/>
                <w:color w:val="auto"/>
              </w:rPr>
            </w:pPr>
            <w:r>
              <w:rPr>
                <w:rFonts w:ascii="Georgia" w:cs="Georgia" w:eastAsia="Georgia" w:hAnsi="Georgia"/>
                <w:sz w:val="14"/>
                <w:szCs w:val="14"/>
                <w:color w:val="auto"/>
              </w:rPr>
              <w:t>Principal Amount:</w:t>
            </w:r>
          </w:p>
        </w:tc>
        <w:tc>
          <w:tcPr>
            <w:tcW w:w="60" w:type="dxa"/>
            <w:vAlign w:val="bottom"/>
            <w:tcBorders>
              <w:bottom w:val="single" w:sz="8" w:color="auto"/>
            </w:tcBorders>
          </w:tcPr>
          <w:p>
            <w:pPr>
              <w:spacing w:after="0"/>
              <w:rPr>
                <w:sz w:val="13"/>
                <w:szCs w:val="13"/>
                <w:color w:val="auto"/>
              </w:rPr>
            </w:pPr>
          </w:p>
        </w:tc>
        <w:tc>
          <w:tcPr>
            <w:tcW w:w="3960" w:type="dxa"/>
            <w:vAlign w:val="bottom"/>
            <w:tcBorders>
              <w:bottom w:val="single" w:sz="8" w:color="auto"/>
              <w:right w:val="single" w:sz="8" w:color="auto"/>
            </w:tcBorders>
          </w:tcPr>
          <w:p>
            <w:pPr>
              <w:ind w:left="20"/>
              <w:spacing w:after="0" w:line="156" w:lineRule="exact"/>
              <w:rPr>
                <w:sz w:val="20"/>
                <w:szCs w:val="20"/>
                <w:color w:val="auto"/>
              </w:rPr>
            </w:pPr>
            <w:r>
              <w:rPr>
                <w:rFonts w:ascii="Georgia" w:cs="Georgia" w:eastAsia="Georgia" w:hAnsi="Georgia"/>
                <w:sz w:val="14"/>
                <w:szCs w:val="14"/>
                <w:color w:val="auto"/>
              </w:rPr>
              <w:t>$1,000 per security (100% of par)</w:t>
            </w: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Automatic Call:</w:t>
            </w:r>
          </w:p>
        </w:tc>
        <w:tc>
          <w:tcPr>
            <w:tcW w:w="60" w:type="dxa"/>
            <w:vAlign w:val="bottom"/>
          </w:tcPr>
          <w:p>
            <w:pPr>
              <w:spacing w:after="0"/>
              <w:rPr>
                <w:sz w:val="13"/>
                <w:szCs w:val="13"/>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If the stock closing price of the lowest performing</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Underlying Stock on any call date is greater than or equal to</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its applicable call value, the securities will be automatically</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 xml:space="preserve">called for the principal amount </w:t>
            </w:r>
            <w:r>
              <w:rPr>
                <w:rFonts w:ascii="Georgia" w:cs="Georgia" w:eastAsia="Georgia" w:hAnsi="Georgia"/>
                <w:sz w:val="14"/>
                <w:szCs w:val="14"/>
                <w:i w:val="1"/>
                <w:iCs w:val="1"/>
                <w:color w:val="auto"/>
              </w:rPr>
              <w:t>plus</w:t>
            </w:r>
            <w:r>
              <w:rPr>
                <w:rFonts w:ascii="Georgia" w:cs="Georgia" w:eastAsia="Georgia" w:hAnsi="Georgia"/>
                <w:sz w:val="14"/>
                <w:szCs w:val="14"/>
                <w:color w:val="auto"/>
              </w:rPr>
              <w:t xml:space="preserve"> the call premium</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applicable to that call date. See “Call Dates and Call</w:t>
            </w: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960" w:type="dxa"/>
            <w:vAlign w:val="bottom"/>
            <w:tcBorders>
              <w:bottom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Premiums” on page 2.</w:t>
            </w:r>
          </w:p>
        </w:tc>
        <w:tc>
          <w:tcPr>
            <w:tcW w:w="0" w:type="dxa"/>
            <w:vAlign w:val="bottom"/>
          </w:tcPr>
          <w:p>
            <w:pPr>
              <w:spacing w:after="0"/>
              <w:rPr>
                <w:sz w:val="1"/>
                <w:szCs w:val="1"/>
                <w:color w:val="auto"/>
              </w:rPr>
            </w:pPr>
          </w:p>
        </w:tc>
      </w:tr>
      <w:tr>
        <w:trPr>
          <w:trHeight w:val="169"/>
        </w:trPr>
        <w:tc>
          <w:tcPr>
            <w:tcW w:w="1380" w:type="dxa"/>
            <w:vAlign w:val="bottom"/>
            <w:tcBorders>
              <w:left w:val="single" w:sz="8" w:color="auto"/>
              <w:right w:val="single" w:sz="8" w:color="auto"/>
            </w:tcBorders>
          </w:tcPr>
          <w:p>
            <w:pPr>
              <w:ind w:left="20"/>
              <w:spacing w:after="0" w:line="169" w:lineRule="exact"/>
              <w:rPr>
                <w:sz w:val="20"/>
                <w:szCs w:val="20"/>
                <w:color w:val="auto"/>
              </w:rPr>
            </w:pPr>
            <w:r>
              <w:rPr>
                <w:rFonts w:ascii="Georgia" w:cs="Georgia" w:eastAsia="Georgia" w:hAnsi="Georgia"/>
                <w:sz w:val="12"/>
                <w:szCs w:val="12"/>
                <w:color w:val="auto"/>
              </w:rPr>
              <w:t>Call Dates</w:t>
            </w:r>
            <w:r>
              <w:rPr>
                <w:rFonts w:ascii="Georgia" w:cs="Georgia" w:eastAsia="Georgia" w:hAnsi="Georgia"/>
                <w:sz w:val="19"/>
                <w:szCs w:val="19"/>
                <w:color w:val="auto"/>
                <w:vertAlign w:val="superscript"/>
              </w:rPr>
              <w:t>1, 2</w:t>
            </w:r>
            <w:r>
              <w:rPr>
                <w:rFonts w:ascii="Georgia" w:cs="Georgia" w:eastAsia="Georgia" w:hAnsi="Georgia"/>
                <w:sz w:val="12"/>
                <w:szCs w:val="12"/>
                <w:color w:val="auto"/>
              </w:rPr>
              <w:t xml:space="preserve"> and</w:t>
            </w:r>
          </w:p>
        </w:tc>
        <w:tc>
          <w:tcPr>
            <w:tcW w:w="60" w:type="dxa"/>
            <w:vAlign w:val="bottom"/>
          </w:tcPr>
          <w:p>
            <w:pPr>
              <w:spacing w:after="0"/>
              <w:rPr>
                <w:sz w:val="14"/>
                <w:szCs w:val="14"/>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The call premium applicable to each call date will be a</w:t>
            </w:r>
          </w:p>
        </w:tc>
        <w:tc>
          <w:tcPr>
            <w:tcW w:w="0" w:type="dxa"/>
            <w:vAlign w:val="bottom"/>
          </w:tcPr>
          <w:p>
            <w:pPr>
              <w:spacing w:after="0"/>
              <w:rPr>
                <w:sz w:val="1"/>
                <w:szCs w:val="1"/>
                <w:color w:val="auto"/>
              </w:rPr>
            </w:pPr>
          </w:p>
        </w:tc>
      </w:tr>
      <w:tr>
        <w:trPr>
          <w:trHeight w:val="152"/>
        </w:trPr>
        <w:tc>
          <w:tcPr>
            <w:tcW w:w="1380" w:type="dxa"/>
            <w:vAlign w:val="bottom"/>
            <w:tcBorders>
              <w:left w:val="single" w:sz="8" w:color="auto"/>
              <w:right w:val="single" w:sz="8" w:color="auto"/>
            </w:tcBorders>
            <w:vMerge w:val="restart"/>
          </w:tcPr>
          <w:p>
            <w:pPr>
              <w:ind w:left="20"/>
              <w:spacing w:after="0"/>
              <w:rPr>
                <w:sz w:val="20"/>
                <w:szCs w:val="20"/>
                <w:color w:val="auto"/>
              </w:rPr>
            </w:pPr>
            <w:r>
              <w:rPr>
                <w:rFonts w:ascii="Georgia" w:cs="Georgia" w:eastAsia="Georgia" w:hAnsi="Georgia"/>
                <w:sz w:val="14"/>
                <w:szCs w:val="14"/>
                <w:color w:val="auto"/>
              </w:rPr>
              <w:t>Call Premiums:</w:t>
            </w:r>
          </w:p>
        </w:tc>
        <w:tc>
          <w:tcPr>
            <w:tcW w:w="60" w:type="dxa"/>
            <w:vAlign w:val="bottom"/>
          </w:tcPr>
          <w:p>
            <w:pPr>
              <w:spacing w:after="0"/>
              <w:rPr>
                <w:sz w:val="13"/>
                <w:szCs w:val="13"/>
                <w:color w:val="auto"/>
              </w:rPr>
            </w:pPr>
          </w:p>
        </w:tc>
        <w:tc>
          <w:tcPr>
            <w:tcW w:w="3960" w:type="dxa"/>
            <w:vAlign w:val="bottom"/>
            <w:tcBorders>
              <w:right w:val="single" w:sz="8" w:color="auto"/>
            </w:tcBorders>
          </w:tcPr>
          <w:p>
            <w:pPr>
              <w:ind w:left="20"/>
              <w:spacing w:after="0" w:line="152" w:lineRule="exact"/>
              <w:rPr>
                <w:sz w:val="20"/>
                <w:szCs w:val="20"/>
                <w:color w:val="auto"/>
              </w:rPr>
            </w:pPr>
            <w:r>
              <w:rPr>
                <w:rFonts w:ascii="Georgia" w:cs="Georgia" w:eastAsia="Georgia" w:hAnsi="Georgia"/>
                <w:sz w:val="14"/>
                <w:szCs w:val="14"/>
                <w:color w:val="auto"/>
              </w:rPr>
              <w:t>percentage of the principal amount that increases for each</w:t>
            </w:r>
          </w:p>
        </w:tc>
        <w:tc>
          <w:tcPr>
            <w:tcW w:w="0" w:type="dxa"/>
            <w:vAlign w:val="bottom"/>
          </w:tcPr>
          <w:p>
            <w:pPr>
              <w:spacing w:after="0"/>
              <w:rPr>
                <w:sz w:val="1"/>
                <w:szCs w:val="1"/>
                <w:color w:val="auto"/>
              </w:rPr>
            </w:pPr>
          </w:p>
        </w:tc>
      </w:tr>
      <w:tr>
        <w:trPr>
          <w:trHeight w:val="40"/>
        </w:trPr>
        <w:tc>
          <w:tcPr>
            <w:tcW w:w="1380" w:type="dxa"/>
            <w:vAlign w:val="bottom"/>
            <w:tcBorders>
              <w:left w:val="single" w:sz="8" w:color="auto"/>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3960" w:type="dxa"/>
            <w:vAlign w:val="bottom"/>
            <w:tcBorders>
              <w:right w:val="single" w:sz="8" w:color="auto"/>
            </w:tcBorders>
            <w:vMerge w:val="restart"/>
          </w:tcPr>
          <w:p>
            <w:pPr>
              <w:ind w:left="20"/>
              <w:spacing w:after="0"/>
              <w:rPr>
                <w:sz w:val="20"/>
                <w:szCs w:val="20"/>
                <w:color w:val="auto"/>
              </w:rPr>
            </w:pPr>
            <w:r>
              <w:rPr>
                <w:rFonts w:ascii="Georgia" w:cs="Georgia" w:eastAsia="Georgia" w:hAnsi="Georgia"/>
                <w:sz w:val="14"/>
                <w:szCs w:val="14"/>
                <w:color w:val="auto"/>
              </w:rPr>
              <w:t>call date based on a simple (non-compounding) return of</w:t>
            </w:r>
          </w:p>
        </w:tc>
        <w:tc>
          <w:tcPr>
            <w:tcW w:w="0" w:type="dxa"/>
            <w:vAlign w:val="bottom"/>
          </w:tcPr>
          <w:p>
            <w:pPr>
              <w:spacing w:after="0"/>
              <w:rPr>
                <w:sz w:val="1"/>
                <w:szCs w:val="1"/>
                <w:color w:val="auto"/>
              </w:rPr>
            </w:pPr>
          </w:p>
        </w:tc>
      </w:tr>
      <w:tr>
        <w:trPr>
          <w:trHeight w:val="121"/>
        </w:trPr>
        <w:tc>
          <w:tcPr>
            <w:tcW w:w="138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approximately at least 24.50% per annum. See “Call Dates</w:t>
            </w: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960" w:type="dxa"/>
            <w:vAlign w:val="bottom"/>
            <w:tcBorders>
              <w:bottom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and Call Premiums” on page 2.</w:t>
            </w: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Call Settlement</w:t>
            </w:r>
          </w:p>
        </w:tc>
        <w:tc>
          <w:tcPr>
            <w:tcW w:w="60" w:type="dxa"/>
            <w:vAlign w:val="bottom"/>
          </w:tcPr>
          <w:p>
            <w:pPr>
              <w:spacing w:after="0"/>
              <w:rPr>
                <w:sz w:val="13"/>
                <w:szCs w:val="13"/>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 xml:space="preserve">Three business days after the applicable call date, </w:t>
            </w:r>
            <w:r>
              <w:rPr>
                <w:rFonts w:ascii="Georgia" w:cs="Georgia" w:eastAsia="Georgia" w:hAnsi="Georgia"/>
                <w:sz w:val="14"/>
                <w:szCs w:val="14"/>
                <w:i w:val="1"/>
                <w:iCs w:val="1"/>
                <w:color w:val="auto"/>
              </w:rPr>
              <w:t>provided</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ind w:left="20"/>
              <w:spacing w:after="0" w:line="162" w:lineRule="exact"/>
              <w:rPr>
                <w:sz w:val="20"/>
                <w:szCs w:val="20"/>
                <w:color w:val="auto"/>
              </w:rPr>
            </w:pPr>
            <w:r>
              <w:rPr>
                <w:rFonts w:ascii="Georgia" w:cs="Georgia" w:eastAsia="Georgia" w:hAnsi="Georgia"/>
                <w:sz w:val="12"/>
                <w:szCs w:val="12"/>
                <w:color w:val="auto"/>
              </w:rPr>
              <w:t>Date</w:t>
            </w:r>
            <w:r>
              <w:rPr>
                <w:rFonts w:ascii="Georgia" w:cs="Georgia" w:eastAsia="Georgia" w:hAnsi="Georgia"/>
                <w:sz w:val="19"/>
                <w:szCs w:val="19"/>
                <w:color w:val="auto"/>
                <w:vertAlign w:val="superscript"/>
              </w:rPr>
              <w:t>1, 2</w:t>
            </w:r>
            <w:r>
              <w:rPr>
                <w:rFonts w:ascii="Georgia" w:cs="Georgia" w:eastAsia="Georgia" w:hAnsi="Georgia"/>
                <w:sz w:val="12"/>
                <w:szCs w:val="12"/>
                <w:color w:val="auto"/>
              </w:rPr>
              <w:t>:</w:t>
            </w:r>
          </w:p>
        </w:tc>
        <w:tc>
          <w:tcPr>
            <w:tcW w:w="60" w:type="dxa"/>
            <w:vAlign w:val="bottom"/>
          </w:tcPr>
          <w:p>
            <w:pPr>
              <w:spacing w:after="0"/>
              <w:rPr>
                <w:sz w:val="14"/>
                <w:szCs w:val="14"/>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that the call settlement date for the final call date is the</w:t>
            </w: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960" w:type="dxa"/>
            <w:vAlign w:val="bottom"/>
            <w:tcBorders>
              <w:bottom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stated maturity date</w:t>
            </w: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Maturity Payment</w:t>
            </w:r>
          </w:p>
        </w:tc>
        <w:tc>
          <w:tcPr>
            <w:tcW w:w="60" w:type="dxa"/>
            <w:vAlign w:val="bottom"/>
          </w:tcPr>
          <w:p>
            <w:pPr>
              <w:spacing w:after="0"/>
              <w:rPr>
                <w:sz w:val="13"/>
                <w:szCs w:val="13"/>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If the securities are not automatically called:</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Amount (per</w:t>
            </w:r>
          </w:p>
        </w:tc>
        <w:tc>
          <w:tcPr>
            <w:tcW w:w="60" w:type="dxa"/>
            <w:vAlign w:val="bottom"/>
          </w:tcPr>
          <w:p>
            <w:pPr>
              <w:spacing w:after="0"/>
              <w:rPr>
                <w:sz w:val="14"/>
                <w:szCs w:val="14"/>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$1,000 + ($1,000 × stock return of the lowest performing</w:t>
            </w: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bottom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security):</w:t>
            </w:r>
          </w:p>
        </w:tc>
        <w:tc>
          <w:tcPr>
            <w:tcW w:w="60" w:type="dxa"/>
            <w:vAlign w:val="bottom"/>
            <w:tcBorders>
              <w:bottom w:val="single" w:sz="8" w:color="auto"/>
            </w:tcBorders>
          </w:tcPr>
          <w:p>
            <w:pPr>
              <w:spacing w:after="0"/>
              <w:rPr>
                <w:sz w:val="13"/>
                <w:szCs w:val="13"/>
                <w:color w:val="auto"/>
              </w:rPr>
            </w:pPr>
          </w:p>
        </w:tc>
        <w:tc>
          <w:tcPr>
            <w:tcW w:w="3960" w:type="dxa"/>
            <w:vAlign w:val="bottom"/>
            <w:tcBorders>
              <w:bottom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Underlying Stock on the final calculation day)</w:t>
            </w: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Lowest Performing</w:t>
            </w:r>
          </w:p>
        </w:tc>
        <w:tc>
          <w:tcPr>
            <w:tcW w:w="60" w:type="dxa"/>
            <w:vAlign w:val="bottom"/>
          </w:tcPr>
          <w:p>
            <w:pPr>
              <w:spacing w:after="0"/>
              <w:rPr>
                <w:sz w:val="13"/>
                <w:szCs w:val="13"/>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For any call date, the “lowest performing Underlying Stock”</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Underlying Stock:</w:t>
            </w:r>
          </w:p>
        </w:tc>
        <w:tc>
          <w:tcPr>
            <w:tcW w:w="60" w:type="dxa"/>
            <w:vAlign w:val="bottom"/>
          </w:tcPr>
          <w:p>
            <w:pPr>
              <w:spacing w:after="0"/>
              <w:rPr>
                <w:sz w:val="14"/>
                <w:szCs w:val="14"/>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will be the Underlying Stock with the lowest stock return on</w:t>
            </w: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960" w:type="dxa"/>
            <w:vAlign w:val="bottom"/>
            <w:tcBorders>
              <w:bottom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that call date.</w:t>
            </w: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Starting Price:</w:t>
            </w:r>
          </w:p>
        </w:tc>
        <w:tc>
          <w:tcPr>
            <w:tcW w:w="60" w:type="dxa"/>
            <w:vAlign w:val="bottom"/>
          </w:tcPr>
          <w:p>
            <w:pPr>
              <w:spacing w:after="0"/>
              <w:rPr>
                <w:sz w:val="13"/>
                <w:szCs w:val="13"/>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For each Underlying Stock, its stock closing price on the</w:t>
            </w: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960" w:type="dxa"/>
            <w:vAlign w:val="bottom"/>
            <w:tcBorders>
              <w:bottom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pricing date</w:t>
            </w: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Ending Price:</w:t>
            </w:r>
          </w:p>
        </w:tc>
        <w:tc>
          <w:tcPr>
            <w:tcW w:w="60" w:type="dxa"/>
            <w:vAlign w:val="bottom"/>
          </w:tcPr>
          <w:p>
            <w:pPr>
              <w:spacing w:after="0"/>
              <w:rPr>
                <w:sz w:val="13"/>
                <w:szCs w:val="13"/>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For each Underlying Stock, its stock closing price on the</w:t>
            </w: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960" w:type="dxa"/>
            <w:vAlign w:val="bottom"/>
            <w:tcBorders>
              <w:bottom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final calculation day</w:t>
            </w: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Call Value:</w:t>
            </w:r>
          </w:p>
        </w:tc>
        <w:tc>
          <w:tcPr>
            <w:tcW w:w="60" w:type="dxa"/>
            <w:vAlign w:val="bottom"/>
          </w:tcPr>
          <w:p>
            <w:pPr>
              <w:spacing w:after="0"/>
              <w:rPr>
                <w:sz w:val="13"/>
                <w:szCs w:val="13"/>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For each Underlying Stock, on each call date other than the</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final call date, 100.00% of its starting price</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For each Underlying Stock, on the final call date (which is</w:t>
            </w: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960" w:type="dxa"/>
            <w:vAlign w:val="bottom"/>
            <w:tcBorders>
              <w:bottom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also the final calculation day), 60.00% of its starting price</w:t>
            </w:r>
          </w:p>
        </w:tc>
        <w:tc>
          <w:tcPr>
            <w:tcW w:w="0" w:type="dxa"/>
            <w:vAlign w:val="bottom"/>
          </w:tcPr>
          <w:p>
            <w:pPr>
              <w:spacing w:after="0"/>
              <w:rPr>
                <w:sz w:val="1"/>
                <w:szCs w:val="1"/>
                <w:color w:val="auto"/>
              </w:rPr>
            </w:pPr>
          </w:p>
        </w:tc>
      </w:tr>
      <w:tr>
        <w:trPr>
          <w:trHeight w:val="158"/>
        </w:trPr>
        <w:tc>
          <w:tcPr>
            <w:tcW w:w="1380" w:type="dxa"/>
            <w:vAlign w:val="bottom"/>
            <w:tcBorders>
              <w:left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Stock Return:</w:t>
            </w:r>
          </w:p>
        </w:tc>
        <w:tc>
          <w:tcPr>
            <w:tcW w:w="60" w:type="dxa"/>
            <w:vAlign w:val="bottom"/>
          </w:tcPr>
          <w:p>
            <w:pPr>
              <w:spacing w:after="0"/>
              <w:rPr>
                <w:sz w:val="13"/>
                <w:szCs w:val="13"/>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For each Underlying Stock on any call date, (stock closing</w:t>
            </w: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960" w:type="dxa"/>
            <w:vAlign w:val="bottom"/>
            <w:tcBorders>
              <w:bottom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price on that call date – starting price) / starting price</w:t>
            </w:r>
          </w:p>
        </w:tc>
        <w:tc>
          <w:tcPr>
            <w:tcW w:w="0" w:type="dxa"/>
            <w:vAlign w:val="bottom"/>
          </w:tcPr>
          <w:p>
            <w:pPr>
              <w:spacing w:after="0"/>
              <w:rPr>
                <w:sz w:val="1"/>
                <w:szCs w:val="1"/>
                <w:color w:val="auto"/>
              </w:rPr>
            </w:pPr>
          </w:p>
        </w:tc>
      </w:tr>
      <w:tr>
        <w:trPr>
          <w:trHeight w:val="155"/>
        </w:trPr>
        <w:tc>
          <w:tcPr>
            <w:tcW w:w="1380" w:type="dxa"/>
            <w:vAlign w:val="bottom"/>
            <w:tcBorders>
              <w:left w:val="single" w:sz="8" w:color="auto"/>
              <w:bottom w:val="single" w:sz="8" w:color="auto"/>
              <w:right w:val="single" w:sz="8" w:color="auto"/>
            </w:tcBorders>
          </w:tcPr>
          <w:p>
            <w:pPr>
              <w:ind w:left="20"/>
              <w:spacing w:after="0" w:line="156" w:lineRule="exact"/>
              <w:rPr>
                <w:sz w:val="20"/>
                <w:szCs w:val="20"/>
                <w:color w:val="auto"/>
              </w:rPr>
            </w:pPr>
            <w:r>
              <w:rPr>
                <w:rFonts w:ascii="Georgia" w:cs="Georgia" w:eastAsia="Georgia" w:hAnsi="Georgia"/>
                <w:sz w:val="14"/>
                <w:szCs w:val="14"/>
                <w:color w:val="auto"/>
              </w:rPr>
              <w:t>Calculation Agent:</w:t>
            </w:r>
          </w:p>
        </w:tc>
        <w:tc>
          <w:tcPr>
            <w:tcW w:w="60" w:type="dxa"/>
            <w:vAlign w:val="bottom"/>
            <w:tcBorders>
              <w:bottom w:val="single" w:sz="8" w:color="auto"/>
            </w:tcBorders>
          </w:tcPr>
          <w:p>
            <w:pPr>
              <w:spacing w:after="0"/>
              <w:rPr>
                <w:sz w:val="13"/>
                <w:szCs w:val="13"/>
                <w:color w:val="auto"/>
              </w:rPr>
            </w:pPr>
          </w:p>
        </w:tc>
        <w:tc>
          <w:tcPr>
            <w:tcW w:w="3960" w:type="dxa"/>
            <w:vAlign w:val="bottom"/>
            <w:tcBorders>
              <w:bottom w:val="single" w:sz="8" w:color="auto"/>
              <w:right w:val="single" w:sz="8" w:color="auto"/>
            </w:tcBorders>
          </w:tcPr>
          <w:p>
            <w:pPr>
              <w:ind w:left="20"/>
              <w:spacing w:after="0" w:line="156" w:lineRule="exact"/>
              <w:rPr>
                <w:sz w:val="20"/>
                <w:szCs w:val="20"/>
                <w:color w:val="auto"/>
              </w:rPr>
            </w:pPr>
            <w:r>
              <w:rPr>
                <w:rFonts w:ascii="Georgia" w:cs="Georgia" w:eastAsia="Georgia" w:hAnsi="Georgia"/>
                <w:sz w:val="14"/>
                <w:szCs w:val="14"/>
                <w:color w:val="auto"/>
              </w:rPr>
              <w:t>J.P. Morgan Securities LLC (“JPMS”)</w:t>
            </w:r>
          </w:p>
        </w:tc>
        <w:tc>
          <w:tcPr>
            <w:tcW w:w="0" w:type="dxa"/>
            <w:vAlign w:val="bottom"/>
          </w:tcPr>
          <w:p>
            <w:pPr>
              <w:spacing w:after="0"/>
              <w:rPr>
                <w:sz w:val="1"/>
                <w:szCs w:val="1"/>
                <w:color w:val="auto"/>
              </w:rPr>
            </w:pPr>
          </w:p>
        </w:tc>
      </w:tr>
      <w:tr>
        <w:trPr>
          <w:trHeight w:val="155"/>
        </w:trPr>
        <w:tc>
          <w:tcPr>
            <w:tcW w:w="1380" w:type="dxa"/>
            <w:vAlign w:val="bottom"/>
            <w:tcBorders>
              <w:left w:val="single" w:sz="8" w:color="auto"/>
              <w:bottom w:val="single" w:sz="8" w:color="auto"/>
              <w:right w:val="single" w:sz="8" w:color="auto"/>
            </w:tcBorders>
          </w:tcPr>
          <w:p>
            <w:pPr>
              <w:ind w:left="20"/>
              <w:spacing w:after="0" w:line="156" w:lineRule="exact"/>
              <w:rPr>
                <w:sz w:val="20"/>
                <w:szCs w:val="20"/>
                <w:color w:val="auto"/>
              </w:rPr>
            </w:pPr>
            <w:r>
              <w:rPr>
                <w:rFonts w:ascii="Georgia" w:cs="Georgia" w:eastAsia="Georgia" w:hAnsi="Georgia"/>
                <w:sz w:val="14"/>
                <w:szCs w:val="14"/>
                <w:color w:val="auto"/>
              </w:rPr>
              <w:t>Denominations:</w:t>
            </w:r>
          </w:p>
        </w:tc>
        <w:tc>
          <w:tcPr>
            <w:tcW w:w="60" w:type="dxa"/>
            <w:vAlign w:val="bottom"/>
            <w:tcBorders>
              <w:bottom w:val="single" w:sz="8" w:color="auto"/>
            </w:tcBorders>
          </w:tcPr>
          <w:p>
            <w:pPr>
              <w:spacing w:after="0"/>
              <w:rPr>
                <w:sz w:val="13"/>
                <w:szCs w:val="13"/>
                <w:color w:val="auto"/>
              </w:rPr>
            </w:pPr>
          </w:p>
        </w:tc>
        <w:tc>
          <w:tcPr>
            <w:tcW w:w="3960" w:type="dxa"/>
            <w:vAlign w:val="bottom"/>
            <w:tcBorders>
              <w:bottom w:val="single" w:sz="8" w:color="auto"/>
              <w:right w:val="single" w:sz="8" w:color="auto"/>
            </w:tcBorders>
          </w:tcPr>
          <w:p>
            <w:pPr>
              <w:ind w:left="20"/>
              <w:spacing w:after="0" w:line="156" w:lineRule="exact"/>
              <w:rPr>
                <w:sz w:val="20"/>
                <w:szCs w:val="20"/>
                <w:color w:val="auto"/>
              </w:rPr>
            </w:pPr>
            <w:r>
              <w:rPr>
                <w:rFonts w:ascii="Georgia" w:cs="Georgia" w:eastAsia="Georgia" w:hAnsi="Georgia"/>
                <w:sz w:val="14"/>
                <w:szCs w:val="14"/>
                <w:color w:val="auto"/>
              </w:rPr>
              <w:t>$1,000 and any integral multiple of $1,000</w:t>
            </w:r>
          </w:p>
        </w:tc>
        <w:tc>
          <w:tcPr>
            <w:tcW w:w="0" w:type="dxa"/>
            <w:vAlign w:val="bottom"/>
          </w:tcPr>
          <w:p>
            <w:pPr>
              <w:spacing w:after="0"/>
              <w:rPr>
                <w:sz w:val="1"/>
                <w:szCs w:val="1"/>
                <w:color w:val="auto"/>
              </w:rPr>
            </w:pPr>
          </w:p>
        </w:tc>
      </w:tr>
      <w:tr>
        <w:trPr>
          <w:trHeight w:val="155"/>
        </w:trPr>
        <w:tc>
          <w:tcPr>
            <w:tcW w:w="1380" w:type="dxa"/>
            <w:vAlign w:val="bottom"/>
            <w:tcBorders>
              <w:left w:val="single" w:sz="8" w:color="auto"/>
              <w:bottom w:val="single" w:sz="8" w:color="auto"/>
              <w:right w:val="single" w:sz="8" w:color="auto"/>
            </w:tcBorders>
          </w:tcPr>
          <w:p>
            <w:pPr>
              <w:ind w:left="20"/>
              <w:spacing w:after="0" w:line="156" w:lineRule="exact"/>
              <w:rPr>
                <w:sz w:val="20"/>
                <w:szCs w:val="20"/>
                <w:color w:val="auto"/>
              </w:rPr>
            </w:pPr>
            <w:r>
              <w:rPr>
                <w:rFonts w:ascii="Georgia" w:cs="Georgia" w:eastAsia="Georgia" w:hAnsi="Georgia"/>
                <w:sz w:val="14"/>
                <w:szCs w:val="14"/>
                <w:color w:val="auto"/>
              </w:rPr>
              <w:t>CUSIP:</w:t>
            </w:r>
          </w:p>
        </w:tc>
        <w:tc>
          <w:tcPr>
            <w:tcW w:w="60" w:type="dxa"/>
            <w:vAlign w:val="bottom"/>
            <w:tcBorders>
              <w:bottom w:val="single" w:sz="8" w:color="auto"/>
            </w:tcBorders>
          </w:tcPr>
          <w:p>
            <w:pPr>
              <w:spacing w:after="0"/>
              <w:rPr>
                <w:sz w:val="13"/>
                <w:szCs w:val="13"/>
                <w:color w:val="auto"/>
              </w:rPr>
            </w:pPr>
          </w:p>
        </w:tc>
        <w:tc>
          <w:tcPr>
            <w:tcW w:w="3960" w:type="dxa"/>
            <w:vAlign w:val="bottom"/>
            <w:tcBorders>
              <w:bottom w:val="single" w:sz="8" w:color="auto"/>
              <w:right w:val="single" w:sz="8" w:color="auto"/>
            </w:tcBorders>
          </w:tcPr>
          <w:p>
            <w:pPr>
              <w:ind w:left="20"/>
              <w:spacing w:after="0" w:line="156" w:lineRule="exact"/>
              <w:rPr>
                <w:sz w:val="20"/>
                <w:szCs w:val="20"/>
                <w:color w:val="auto"/>
              </w:rPr>
            </w:pPr>
            <w:r>
              <w:rPr>
                <w:rFonts w:ascii="Georgia" w:cs="Georgia" w:eastAsia="Georgia" w:hAnsi="Georgia"/>
                <w:sz w:val="14"/>
                <w:szCs w:val="14"/>
                <w:color w:val="auto"/>
              </w:rPr>
              <w:t>48134WBE6</w:t>
            </w: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Fees and</w:t>
            </w:r>
          </w:p>
        </w:tc>
        <w:tc>
          <w:tcPr>
            <w:tcW w:w="60" w:type="dxa"/>
            <w:vAlign w:val="bottom"/>
          </w:tcPr>
          <w:p>
            <w:pPr>
              <w:spacing w:after="0"/>
              <w:rPr>
                <w:sz w:val="13"/>
                <w:szCs w:val="13"/>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Up to 2.575% for Wells Fargo Securities, LLC (“WFS”); WFS</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Commissions:</w:t>
            </w:r>
          </w:p>
        </w:tc>
        <w:tc>
          <w:tcPr>
            <w:tcW w:w="60" w:type="dxa"/>
            <w:vAlign w:val="bottom"/>
          </w:tcPr>
          <w:p>
            <w:pPr>
              <w:spacing w:after="0"/>
              <w:rPr>
                <w:sz w:val="14"/>
                <w:szCs w:val="14"/>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has advised us that dealers, including Wells Fargo Advisors</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(“WFA”), may receive 2.00% of WFS’s fee, and WFA may</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also receive a distribution expense fee of 0.075%. In</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addition, with respect of certain securities sold in this</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offering, JPMS may pay a fee of up to 0.35% to selected</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dealers in consideration for marketing and other services in</w:t>
            </w: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connection with the distribution of the securities to other</w:t>
            </w: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960" w:type="dxa"/>
            <w:vAlign w:val="bottom"/>
            <w:tcBorders>
              <w:bottom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dealers.</w:t>
            </w: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Tax</w:t>
            </w:r>
          </w:p>
        </w:tc>
        <w:tc>
          <w:tcPr>
            <w:tcW w:w="60" w:type="dxa"/>
            <w:vAlign w:val="bottom"/>
          </w:tcPr>
          <w:p>
            <w:pPr>
              <w:spacing w:after="0"/>
              <w:rPr>
                <w:sz w:val="13"/>
                <w:szCs w:val="13"/>
                <w:color w:val="auto"/>
              </w:rPr>
            </w:pPr>
          </w:p>
        </w:tc>
        <w:tc>
          <w:tcPr>
            <w:tcW w:w="3960" w:type="dxa"/>
            <w:vAlign w:val="bottom"/>
            <w:tcBorders>
              <w:right w:val="single" w:sz="8" w:color="auto"/>
            </w:tcBorders>
          </w:tcPr>
          <w:p>
            <w:pPr>
              <w:ind w:left="20"/>
              <w:spacing w:after="0"/>
              <w:rPr>
                <w:sz w:val="20"/>
                <w:szCs w:val="20"/>
                <w:color w:val="auto"/>
              </w:rPr>
            </w:pPr>
            <w:r>
              <w:rPr>
                <w:rFonts w:ascii="Georgia" w:cs="Georgia" w:eastAsia="Georgia" w:hAnsi="Georgia"/>
                <w:sz w:val="14"/>
                <w:szCs w:val="14"/>
                <w:color w:val="auto"/>
              </w:rPr>
              <w:t>See the preliminary pricing supplement.</w:t>
            </w: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bottom w:val="single" w:sz="8" w:color="auto"/>
              <w:right w:val="single" w:sz="8" w:color="auto"/>
            </w:tcBorders>
          </w:tcPr>
          <w:p>
            <w:pPr>
              <w:ind w:left="20"/>
              <w:spacing w:after="0"/>
              <w:rPr>
                <w:sz w:val="20"/>
                <w:szCs w:val="20"/>
                <w:color w:val="auto"/>
              </w:rPr>
            </w:pPr>
            <w:r>
              <w:rPr>
                <w:rFonts w:ascii="Georgia" w:cs="Georgia" w:eastAsia="Georgia" w:hAnsi="Georgia"/>
                <w:sz w:val="14"/>
                <w:szCs w:val="14"/>
                <w:color w:val="auto"/>
              </w:rPr>
              <w:t>Considerations:</w:t>
            </w:r>
          </w:p>
        </w:tc>
        <w:tc>
          <w:tcPr>
            <w:tcW w:w="60" w:type="dxa"/>
            <w:vAlign w:val="bottom"/>
            <w:tcBorders>
              <w:bottom w:val="single" w:sz="8" w:color="auto"/>
            </w:tcBorders>
          </w:tcPr>
          <w:p>
            <w:pPr>
              <w:spacing w:after="0"/>
              <w:rPr>
                <w:sz w:val="13"/>
                <w:szCs w:val="13"/>
                <w:color w:val="auto"/>
              </w:rPr>
            </w:pPr>
          </w:p>
        </w:tc>
        <w:tc>
          <w:tcPr>
            <w:tcW w:w="39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440" w:type="dxa"/>
            <w:vAlign w:val="bottom"/>
            <w:tcBorders>
              <w:left w:val="single" w:sz="8" w:color="auto"/>
            </w:tcBorders>
            <w:gridSpan w:val="2"/>
          </w:tcPr>
          <w:p>
            <w:pPr>
              <w:ind w:left="120"/>
              <w:spacing w:after="0" w:line="180" w:lineRule="exact"/>
              <w:rPr>
                <w:sz w:val="20"/>
                <w:szCs w:val="20"/>
                <w:color w:val="auto"/>
              </w:rPr>
            </w:pPr>
            <w:r>
              <w:rPr>
                <w:rFonts w:ascii="Georgia" w:cs="Georgia" w:eastAsia="Georgia" w:hAnsi="Georgia"/>
                <w:sz w:val="21"/>
                <w:szCs w:val="21"/>
                <w:color w:val="auto"/>
                <w:vertAlign w:val="superscript"/>
              </w:rPr>
              <w:t>1</w:t>
            </w:r>
            <w:r>
              <w:rPr>
                <w:rFonts w:ascii="Georgia" w:cs="Georgia" w:eastAsia="Georgia" w:hAnsi="Georgia"/>
                <w:sz w:val="10"/>
                <w:szCs w:val="10"/>
                <w:color w:val="auto"/>
              </w:rPr>
              <w:t xml:space="preserve"> Subject to change</w:t>
            </w:r>
          </w:p>
        </w:tc>
        <w:tc>
          <w:tcPr>
            <w:tcW w:w="3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440" w:type="dxa"/>
            <w:vAlign w:val="bottom"/>
            <w:tcBorders>
              <w:left w:val="single" w:sz="8" w:color="auto"/>
              <w:bottom w:val="single" w:sz="8" w:color="auto"/>
            </w:tcBorders>
            <w:gridSpan w:val="2"/>
          </w:tcPr>
          <w:p>
            <w:pPr>
              <w:ind w:left="120"/>
              <w:spacing w:after="0" w:line="191" w:lineRule="exact"/>
              <w:rPr>
                <w:sz w:val="20"/>
                <w:szCs w:val="20"/>
                <w:color w:val="auto"/>
              </w:rPr>
            </w:pPr>
            <w:r>
              <w:rPr>
                <w:rFonts w:ascii="Georgia" w:cs="Georgia" w:eastAsia="Georgia" w:hAnsi="Georgia"/>
                <w:sz w:val="22"/>
                <w:szCs w:val="22"/>
                <w:color w:val="auto"/>
                <w:vertAlign w:val="superscript"/>
              </w:rPr>
              <w:t>2</w:t>
            </w:r>
            <w:r>
              <w:rPr>
                <w:rFonts w:ascii="Georgia" w:cs="Georgia" w:eastAsia="Georgia" w:hAnsi="Georgia"/>
                <w:sz w:val="10"/>
                <w:szCs w:val="10"/>
                <w:color w:val="auto"/>
              </w:rPr>
              <w:t xml:space="preserve"> Subject to postponement</w:t>
            </w:r>
          </w:p>
        </w:tc>
        <w:tc>
          <w:tcPr>
            <w:tcW w:w="3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ind w:left="40"/>
        <w:spacing w:after="0"/>
        <w:rPr>
          <w:sz w:val="20"/>
          <w:szCs w:val="20"/>
          <w:color w:val="auto"/>
        </w:rPr>
      </w:pPr>
      <w:r>
        <w:rPr>
          <w:rFonts w:ascii="Verdana" w:cs="Verdana" w:eastAsia="Verdana" w:hAnsi="Verdana"/>
          <w:sz w:val="23"/>
          <w:szCs w:val="23"/>
          <w:color w:val="8F8F8F"/>
        </w:rPr>
        <w:t>Hypothetical Payout Profile*</w:t>
      </w:r>
      <w:r>
        <w:rPr>
          <w:rFonts w:ascii="Verdana" w:cs="Verdana" w:eastAsia="Verdana" w:hAnsi="Verdana"/>
          <w:sz w:val="38"/>
          <w:szCs w:val="38"/>
          <w:b w:val="1"/>
          <w:bCs w:val="1"/>
          <w:color w:val="8F8F8F"/>
          <w:vertAlign w:val="superscript"/>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-82550</wp:posOffset>
            </wp:positionV>
            <wp:extent cx="3008630" cy="2065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8630" cy="2065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ind w:right="60" w:firstLine="5"/>
        <w:spacing w:after="0" w:line="248" w:lineRule="auto"/>
        <w:tabs>
          <w:tab w:leader="none" w:pos="103" w:val="left"/>
        </w:tabs>
        <w:numPr>
          <w:ilvl w:val="0"/>
          <w:numId w:val="1"/>
        </w:numPr>
        <w:rPr>
          <w:rFonts w:ascii="Georgia" w:cs="Georgia" w:eastAsia="Georgia" w:hAnsi="Georgia"/>
          <w:sz w:val="14"/>
          <w:szCs w:val="14"/>
          <w:color w:val="auto"/>
        </w:rPr>
      </w:pPr>
      <w:r>
        <w:rPr>
          <w:rFonts w:ascii="Georgia" w:cs="Georgia" w:eastAsia="Georgia" w:hAnsi="Georgia"/>
          <w:sz w:val="14"/>
          <w:szCs w:val="14"/>
          <w:color w:val="auto"/>
        </w:rPr>
        <w:t>Assumes a call premium for each call date equal to the minimum call premium for that call date</w:t>
      </w:r>
    </w:p>
    <w:p>
      <w:pPr>
        <w:spacing w:after="0" w:line="22" w:lineRule="exact"/>
        <w:rPr>
          <w:rFonts w:ascii="Georgia" w:cs="Georgia" w:eastAsia="Georgia" w:hAnsi="Georgia"/>
          <w:sz w:val="14"/>
          <w:szCs w:val="14"/>
          <w:color w:val="auto"/>
        </w:rPr>
      </w:pPr>
    </w:p>
    <w:p>
      <w:pPr>
        <w:ind w:right="80"/>
        <w:spacing w:after="0" w:line="248" w:lineRule="auto"/>
        <w:rPr>
          <w:rFonts w:ascii="Georgia" w:cs="Georgia" w:eastAsia="Georgia" w:hAnsi="Georgia"/>
          <w:sz w:val="14"/>
          <w:szCs w:val="14"/>
          <w:color w:val="auto"/>
        </w:rPr>
      </w:pPr>
      <w:r>
        <w:rPr>
          <w:rFonts w:ascii="Georgia" w:cs="Georgia" w:eastAsia="Georgia" w:hAnsi="Georgia"/>
          <w:sz w:val="14"/>
          <w:szCs w:val="14"/>
          <w:color w:val="auto"/>
        </w:rPr>
        <w:t>† Not all call dates reflected; reflects only the first, thirteenth and final call dates for illustrative purposes only</w:t>
      </w:r>
    </w:p>
    <w:p>
      <w:pPr>
        <w:spacing w:after="0" w:line="36" w:lineRule="exact"/>
        <w:rPr>
          <w:sz w:val="24"/>
          <w:szCs w:val="24"/>
          <w:color w:val="auto"/>
        </w:rPr>
      </w:pPr>
    </w:p>
    <w:p>
      <w:pPr>
        <w:ind w:left="80" w:right="80"/>
        <w:spacing w:after="0" w:line="245" w:lineRule="auto"/>
        <w:rPr>
          <w:sz w:val="20"/>
          <w:szCs w:val="20"/>
          <w:color w:val="auto"/>
        </w:rPr>
      </w:pPr>
      <w:r>
        <w:rPr>
          <w:rFonts w:ascii="Georgia" w:cs="Georgia" w:eastAsia="Georgia" w:hAnsi="Georgia"/>
          <w:sz w:val="14"/>
          <w:szCs w:val="14"/>
          <w:b w:val="1"/>
          <w:bCs w:val="1"/>
          <w:color w:val="auto"/>
        </w:rPr>
        <w:t>If the securities are not automatically called, you will have full downside exposure to the decrease in the price of the lowest performing Underlying Stock on the final calculation day from its starting price, and you will lose more than 40%, and possibly all, of the principal amount of your securities at maturity.</w:t>
      </w:r>
    </w:p>
    <w:p>
      <w:pPr>
        <w:spacing w:after="0" w:line="39" w:lineRule="exact"/>
        <w:rPr>
          <w:sz w:val="24"/>
          <w:szCs w:val="24"/>
          <w:color w:val="auto"/>
        </w:rPr>
      </w:pPr>
    </w:p>
    <w:p>
      <w:pPr>
        <w:ind w:left="80" w:right="180"/>
        <w:spacing w:after="0" w:line="245" w:lineRule="auto"/>
        <w:rPr>
          <w:sz w:val="20"/>
          <w:szCs w:val="20"/>
          <w:color w:val="auto"/>
        </w:rPr>
      </w:pPr>
      <w:r>
        <w:rPr>
          <w:rFonts w:ascii="Georgia" w:cs="Georgia" w:eastAsia="Georgia" w:hAnsi="Georgia"/>
          <w:sz w:val="14"/>
          <w:szCs w:val="14"/>
          <w:b w:val="1"/>
          <w:bCs w:val="1"/>
          <w:color w:val="auto"/>
        </w:rPr>
        <w:t>Any positive return on the securities will be limited to the applicable call premium, even if the stock closing price of the lowest performing Underlying Stock on the applicable call date significantly exceeds the starting price. You will not participate in any appreciation of either Underlying Stock beyond the applicable call premium.</w:t>
      </w:r>
    </w:p>
    <w:p>
      <w:pPr>
        <w:spacing w:after="0" w:line="25" w:lineRule="exact"/>
        <w:rPr>
          <w:sz w:val="24"/>
          <w:szCs w:val="24"/>
          <w:color w:val="auto"/>
        </w:rPr>
      </w:pPr>
    </w:p>
    <w:p>
      <w:pPr>
        <w:ind w:left="80" w:right="20"/>
        <w:spacing w:after="0" w:line="245" w:lineRule="auto"/>
        <w:rPr>
          <w:sz w:val="20"/>
          <w:szCs w:val="20"/>
          <w:color w:val="auto"/>
        </w:rPr>
      </w:pPr>
      <w:r>
        <w:rPr>
          <w:rFonts w:ascii="Georgia" w:cs="Georgia" w:eastAsia="Georgia" w:hAnsi="Georgia"/>
          <w:sz w:val="14"/>
          <w:szCs w:val="14"/>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4"/>
          <w:szCs w:val="14"/>
          <w:b w:val="1"/>
          <w:bCs w:val="1"/>
          <w:color w:val="auto"/>
        </w:rPr>
        <w:t>Any</w:t>
      </w:r>
      <w:r>
        <w:rPr>
          <w:rFonts w:ascii="Georgia" w:cs="Georgia" w:eastAsia="Georgia" w:hAnsi="Georgia"/>
          <w:sz w:val="14"/>
          <w:szCs w:val="14"/>
          <w:color w:val="auto"/>
        </w:rPr>
        <w:t xml:space="preserve"> </w:t>
      </w:r>
      <w:r>
        <w:rPr>
          <w:rFonts w:ascii="Georgia" w:cs="Georgia" w:eastAsia="Georgia" w:hAnsi="Georgia"/>
          <w:sz w:val="14"/>
          <w:szCs w:val="14"/>
          <w:b w:val="1"/>
          <w:bCs w:val="1"/>
          <w:color w:val="auto"/>
        </w:rPr>
        <w:t>payment on the securities is subject to the credit risk of JPMorgan Financial, as issuer of the securities, and the credit risk of JPMorgan Chase &amp; Co., as guarantor of the securities.</w:t>
      </w:r>
    </w:p>
    <w:p>
      <w:pPr>
        <w:spacing w:after="0" w:line="38" w:lineRule="exact"/>
        <w:rPr>
          <w:sz w:val="24"/>
          <w:szCs w:val="24"/>
          <w:color w:val="auto"/>
        </w:rPr>
      </w:pPr>
    </w:p>
    <w:p>
      <w:pPr>
        <w:ind w:left="80" w:right="60"/>
        <w:spacing w:after="0" w:line="245" w:lineRule="auto"/>
        <w:rPr>
          <w:sz w:val="20"/>
          <w:szCs w:val="20"/>
          <w:color w:val="auto"/>
        </w:rPr>
      </w:pPr>
      <w:r>
        <w:rPr>
          <w:rFonts w:ascii="Georgia" w:cs="Georgia" w:eastAsia="Georgia" w:hAnsi="Georgia"/>
          <w:sz w:val="14"/>
          <w:szCs w:val="14"/>
          <w:color w:val="auto"/>
        </w:rPr>
        <w:t>If the securities priced on the date of the accompanying preliminary pricing supplement, the estimated value of the securities would be approximately $935.40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spacing w:after="0" w:line="38" w:lineRule="exact"/>
        <w:rPr>
          <w:sz w:val="24"/>
          <w:szCs w:val="24"/>
          <w:color w:val="auto"/>
        </w:rPr>
      </w:pPr>
    </w:p>
    <w:p>
      <w:pPr>
        <w:ind w:left="80"/>
        <w:spacing w:after="0"/>
        <w:rPr>
          <w:sz w:val="20"/>
          <w:szCs w:val="20"/>
          <w:color w:val="auto"/>
        </w:rPr>
      </w:pPr>
      <w:r>
        <w:rPr>
          <w:rFonts w:ascii="Georgia" w:cs="Georgia" w:eastAsia="Georgia" w:hAnsi="Georgia"/>
          <w:sz w:val="14"/>
          <w:szCs w:val="14"/>
          <w:color w:val="auto"/>
        </w:rPr>
        <w:t>Preliminary Pricing Supplement:</w:t>
      </w:r>
    </w:p>
    <w:p>
      <w:pPr>
        <w:spacing w:after="0" w:line="3" w:lineRule="exact"/>
        <w:rPr>
          <w:sz w:val="24"/>
          <w:szCs w:val="24"/>
          <w:color w:val="auto"/>
        </w:rPr>
      </w:pPr>
    </w:p>
    <w:p>
      <w:pPr>
        <w:ind w:left="80"/>
        <w:spacing w:after="0"/>
        <w:rPr>
          <w:rFonts w:ascii="Georgia" w:cs="Georgia" w:eastAsia="Georgia" w:hAnsi="Georgia"/>
          <w:sz w:val="14"/>
          <w:szCs w:val="14"/>
          <w:u w:val="single" w:color="auto"/>
          <w:color w:val="0000EE"/>
        </w:rPr>
      </w:pPr>
      <w:hyperlink r:id="rId11">
        <w:r>
          <w:rPr>
            <w:rFonts w:ascii="Georgia" w:cs="Georgia" w:eastAsia="Georgia" w:hAnsi="Georgia"/>
            <w:sz w:val="14"/>
            <w:szCs w:val="14"/>
            <w:u w:val="single" w:color="auto"/>
            <w:color w:val="0000EE"/>
          </w:rPr>
          <w:t>http://www.sec.gov/Archives/edgar/data/1665650/0001213900240</w:t>
        </w:r>
      </w:hyperlink>
    </w:p>
    <w:p>
      <w:pPr>
        <w:spacing w:after="0" w:line="3" w:lineRule="exact"/>
        <w:rPr>
          <w:sz w:val="24"/>
          <w:szCs w:val="24"/>
          <w:color w:val="auto"/>
        </w:rPr>
      </w:pPr>
    </w:p>
    <w:p>
      <w:pPr>
        <w:ind w:left="80"/>
        <w:spacing w:after="0"/>
        <w:rPr>
          <w:rFonts w:ascii="Georgia" w:cs="Georgia" w:eastAsia="Georgia" w:hAnsi="Georgia"/>
          <w:sz w:val="14"/>
          <w:szCs w:val="14"/>
          <w:u w:val="single" w:color="auto"/>
          <w:color w:val="0000EE"/>
        </w:rPr>
      </w:pPr>
      <w:hyperlink r:id="rId11">
        <w:r>
          <w:rPr>
            <w:rFonts w:ascii="Georgia" w:cs="Georgia" w:eastAsia="Georgia" w:hAnsi="Georgia"/>
            <w:sz w:val="14"/>
            <w:szCs w:val="14"/>
            <w:u w:val="single" w:color="auto"/>
            <w:color w:val="0000EE"/>
          </w:rPr>
          <w:t>09788/ea169655_424b2.htm</w:t>
        </w:r>
      </w:hyperlink>
    </w:p>
    <w:p>
      <w:pPr>
        <w:spacing w:after="0" w:line="1455" w:lineRule="exact"/>
        <w:rPr>
          <w:sz w:val="24"/>
          <w:szCs w:val="24"/>
          <w:color w:val="auto"/>
        </w:rPr>
      </w:pPr>
    </w:p>
    <w:p>
      <w:pPr>
        <w:sectPr>
          <w:pgSz w:w="11900" w:h="16838" w:orient="portrait"/>
          <w:cols w:equalWidth="0" w:num="2">
            <w:col w:w="5400" w:space="480"/>
            <w:col w:w="5360"/>
          </w:cols>
          <w:pgMar w:left="320" w:top="233" w:right="339" w:bottom="1440" w:gutter="0" w:footer="0" w:header="0"/>
          <w:type w:val="continuous"/>
        </w:sectPr>
      </w:pPr>
    </w:p>
    <w:p>
      <w:pPr>
        <w:spacing w:after="0" w:line="46" w:lineRule="exact"/>
        <w:rPr>
          <w:sz w:val="24"/>
          <w:szCs w:val="24"/>
          <w:color w:val="auto"/>
        </w:rPr>
      </w:pPr>
    </w:p>
    <w:p>
      <w:pPr>
        <w:ind w:right="20"/>
        <w:spacing w:after="0" w:line="246"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spacing w:after="0" w:line="10" w:lineRule="exact"/>
        <w:rPr>
          <w:sz w:val="24"/>
          <w:szCs w:val="24"/>
          <w:color w:val="auto"/>
        </w:rPr>
      </w:pPr>
    </w:p>
    <w:p>
      <w:pPr>
        <w:ind w:right="680"/>
        <w:spacing w:after="0" w:line="248"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0" w:lineRule="exact"/>
        <w:rPr>
          <w:sz w:val="24"/>
          <w:szCs w:val="24"/>
          <w:color w:val="auto"/>
        </w:rPr>
      </w:pPr>
    </w:p>
    <w:p>
      <w:pPr>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supplement and product supplement</w:t>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Call Dates and Call Premiums</w:t>
      </w:r>
    </w:p>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94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Georgia" w:cs="Georgia" w:eastAsia="Georgia" w:hAnsi="Georgia"/>
                <w:sz w:val="16"/>
                <w:szCs w:val="16"/>
                <w:b w:val="1"/>
                <w:bCs w:val="1"/>
                <w:color w:val="auto"/>
              </w:rPr>
              <w:t>Call Date</w:t>
            </w:r>
          </w:p>
        </w:tc>
        <w:tc>
          <w:tcPr>
            <w:tcW w:w="3260" w:type="dxa"/>
            <w:vAlign w:val="bottom"/>
            <w:tcBorders>
              <w:top w:val="single" w:sz="8" w:color="auto"/>
              <w:bottom w:val="single" w:sz="8" w:color="auto"/>
              <w:right w:val="single" w:sz="8" w:color="auto"/>
            </w:tcBorders>
            <w:shd w:val="clear" w:color="auto" w:fill="D9D9D9"/>
          </w:tcPr>
          <w:p>
            <w:pPr>
              <w:jc w:val="center"/>
              <w:spacing w:after="0" w:line="243" w:lineRule="exact"/>
              <w:rPr>
                <w:sz w:val="20"/>
                <w:szCs w:val="20"/>
                <w:color w:val="auto"/>
              </w:rPr>
            </w:pPr>
            <w:r>
              <w:rPr>
                <w:rFonts w:ascii="Georgia" w:cs="Georgia" w:eastAsia="Georgia" w:hAnsi="Georgia"/>
                <w:sz w:val="16"/>
                <w:szCs w:val="16"/>
                <w:b w:val="1"/>
                <w:bCs w:val="1"/>
                <w:color w:val="auto"/>
                <w:w w:val="98"/>
              </w:rPr>
              <w:t>Call Premium</w:t>
            </w:r>
            <w:r>
              <w:rPr>
                <w:rFonts w:ascii="Georgia" w:cs="Georgia" w:eastAsia="Georgia" w:hAnsi="Georgia"/>
                <w:sz w:val="26"/>
                <w:szCs w:val="26"/>
                <w:b w:val="1"/>
                <w:bCs w:val="1"/>
                <w:color w:val="auto"/>
                <w:w w:val="98"/>
                <w:vertAlign w:val="superscript"/>
              </w:rPr>
              <w:t>†</w:t>
            </w:r>
          </w:p>
        </w:tc>
        <w:tc>
          <w:tcPr>
            <w:tcW w:w="302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Georgia" w:cs="Georgia" w:eastAsia="Georgia" w:hAnsi="Georgia"/>
                <w:sz w:val="16"/>
                <w:szCs w:val="16"/>
                <w:b w:val="1"/>
                <w:bCs w:val="1"/>
                <w:color w:val="auto"/>
              </w:rPr>
              <w:t>Call Date</w:t>
            </w:r>
          </w:p>
        </w:tc>
        <w:tc>
          <w:tcPr>
            <w:tcW w:w="3020" w:type="dxa"/>
            <w:vAlign w:val="bottom"/>
            <w:tcBorders>
              <w:top w:val="single" w:sz="8" w:color="auto"/>
              <w:bottom w:val="single" w:sz="8" w:color="auto"/>
              <w:right w:val="single" w:sz="8" w:color="auto"/>
            </w:tcBorders>
            <w:shd w:val="clear" w:color="auto" w:fill="D9D9D9"/>
          </w:tcPr>
          <w:p>
            <w:pPr>
              <w:jc w:val="center"/>
              <w:spacing w:after="0" w:line="243" w:lineRule="exact"/>
              <w:rPr>
                <w:sz w:val="20"/>
                <w:szCs w:val="20"/>
                <w:color w:val="auto"/>
              </w:rPr>
            </w:pPr>
            <w:r>
              <w:rPr>
                <w:rFonts w:ascii="Georgia" w:cs="Georgia" w:eastAsia="Georgia" w:hAnsi="Georgia"/>
                <w:sz w:val="16"/>
                <w:szCs w:val="16"/>
                <w:b w:val="1"/>
                <w:bCs w:val="1"/>
                <w:color w:val="auto"/>
                <w:w w:val="98"/>
              </w:rPr>
              <w:t>Call Premium</w:t>
            </w:r>
            <w:r>
              <w:rPr>
                <w:rFonts w:ascii="Georgia" w:cs="Georgia" w:eastAsia="Georgia" w:hAnsi="Georgia"/>
                <w:sz w:val="26"/>
                <w:szCs w:val="26"/>
                <w:b w:val="1"/>
                <w:bCs w:val="1"/>
                <w:color w:val="auto"/>
                <w:w w:val="98"/>
                <w:vertAlign w:val="superscript"/>
              </w:rPr>
              <w:t>†</w:t>
            </w:r>
          </w:p>
        </w:tc>
      </w:tr>
      <w:tr>
        <w:trPr>
          <w:trHeight w:val="176"/>
        </w:trPr>
        <w:tc>
          <w:tcPr>
            <w:tcW w:w="1940" w:type="dxa"/>
            <w:vAlign w:val="bottom"/>
            <w:tcBorders>
              <w:left w:val="single" w:sz="8" w:color="auto"/>
              <w:right w:val="single" w:sz="8" w:color="auto"/>
            </w:tcBorders>
          </w:tcPr>
          <w:p>
            <w:pPr>
              <w:jc w:val="center"/>
              <w:spacing w:after="0" w:line="176" w:lineRule="exact"/>
              <w:rPr>
                <w:sz w:val="20"/>
                <w:szCs w:val="20"/>
                <w:color w:val="auto"/>
              </w:rPr>
            </w:pPr>
            <w:r>
              <w:rPr>
                <w:rFonts w:ascii="Georgia" w:cs="Georgia" w:eastAsia="Georgia" w:hAnsi="Georgia"/>
                <w:sz w:val="16"/>
                <w:szCs w:val="16"/>
                <w:color w:val="auto"/>
              </w:rPr>
              <w:t>February 12, 2025</w:t>
            </w:r>
          </w:p>
        </w:tc>
        <w:tc>
          <w:tcPr>
            <w:tcW w:w="3260" w:type="dxa"/>
            <w:vAlign w:val="bottom"/>
            <w:tcBorders>
              <w:right w:val="single" w:sz="8" w:color="auto"/>
            </w:tcBorders>
          </w:tcPr>
          <w:p>
            <w:pPr>
              <w:jc w:val="center"/>
              <w:spacing w:after="0" w:line="176" w:lineRule="exact"/>
              <w:rPr>
                <w:sz w:val="20"/>
                <w:szCs w:val="20"/>
                <w:color w:val="auto"/>
              </w:rPr>
            </w:pPr>
            <w:r>
              <w:rPr>
                <w:rFonts w:ascii="Georgia" w:cs="Georgia" w:eastAsia="Georgia" w:hAnsi="Georgia"/>
                <w:sz w:val="16"/>
                <w:szCs w:val="16"/>
                <w:color w:val="auto"/>
              </w:rPr>
              <w:t>At least 24.500% of the principal amount</w:t>
            </w:r>
          </w:p>
        </w:tc>
        <w:tc>
          <w:tcPr>
            <w:tcW w:w="3020" w:type="dxa"/>
            <w:vAlign w:val="bottom"/>
            <w:tcBorders>
              <w:right w:val="single" w:sz="8" w:color="auto"/>
            </w:tcBorders>
          </w:tcPr>
          <w:p>
            <w:pPr>
              <w:jc w:val="center"/>
              <w:spacing w:after="0" w:line="176" w:lineRule="exact"/>
              <w:rPr>
                <w:sz w:val="20"/>
                <w:szCs w:val="20"/>
                <w:color w:val="auto"/>
              </w:rPr>
            </w:pPr>
            <w:r>
              <w:rPr>
                <w:rFonts w:ascii="Georgia" w:cs="Georgia" w:eastAsia="Georgia" w:hAnsi="Georgia"/>
                <w:sz w:val="16"/>
                <w:szCs w:val="16"/>
                <w:color w:val="auto"/>
              </w:rPr>
              <w:t>March 12, 2026</w:t>
            </w:r>
          </w:p>
        </w:tc>
        <w:tc>
          <w:tcPr>
            <w:tcW w:w="3020" w:type="dxa"/>
            <w:vAlign w:val="bottom"/>
            <w:tcBorders>
              <w:right w:val="single" w:sz="8" w:color="auto"/>
            </w:tcBorders>
          </w:tcPr>
          <w:p>
            <w:pPr>
              <w:jc w:val="center"/>
              <w:spacing w:after="0" w:line="176" w:lineRule="exact"/>
              <w:rPr>
                <w:sz w:val="20"/>
                <w:szCs w:val="20"/>
                <w:color w:val="auto"/>
              </w:rPr>
            </w:pPr>
            <w:r>
              <w:rPr>
                <w:rFonts w:ascii="Georgia" w:cs="Georgia" w:eastAsia="Georgia" w:hAnsi="Georgia"/>
                <w:sz w:val="16"/>
                <w:szCs w:val="16"/>
                <w:color w:val="auto"/>
              </w:rPr>
              <w:t>At least 51.042% of the principal</w:t>
            </w:r>
          </w:p>
        </w:tc>
      </w:tr>
      <w:tr>
        <w:trPr>
          <w:trHeight w:val="192"/>
        </w:trPr>
        <w:tc>
          <w:tcPr>
            <w:tcW w:w="1940" w:type="dxa"/>
            <w:vAlign w:val="bottom"/>
            <w:tcBorders>
              <w:left w:val="single" w:sz="8" w:color="auto"/>
              <w:bottom w:val="single" w:sz="8" w:color="auto"/>
              <w:right w:val="single" w:sz="8" w:color="auto"/>
            </w:tcBorders>
          </w:tcPr>
          <w:p>
            <w:pPr>
              <w:spacing w:after="0"/>
              <w:rPr>
                <w:sz w:val="16"/>
                <w:szCs w:val="16"/>
                <w:color w:val="auto"/>
              </w:rPr>
            </w:pPr>
          </w:p>
        </w:tc>
        <w:tc>
          <w:tcPr>
            <w:tcW w:w="32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amount</w:t>
            </w:r>
          </w:p>
        </w:tc>
      </w:tr>
      <w:tr>
        <w:trPr>
          <w:trHeight w:val="179"/>
        </w:trPr>
        <w:tc>
          <w:tcPr>
            <w:tcW w:w="1940" w:type="dxa"/>
            <w:vAlign w:val="bottom"/>
            <w:tcBorders>
              <w:left w:val="single" w:sz="8" w:color="auto"/>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March 12, 2025</w:t>
            </w:r>
          </w:p>
        </w:tc>
        <w:tc>
          <w:tcPr>
            <w:tcW w:w="326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26.542% of the principal amount</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w w:val="99"/>
              </w:rPr>
              <w:t>April 13, 2026</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53.083% of the principal</w:t>
            </w:r>
          </w:p>
        </w:tc>
      </w:tr>
      <w:tr>
        <w:trPr>
          <w:trHeight w:val="192"/>
        </w:trPr>
        <w:tc>
          <w:tcPr>
            <w:tcW w:w="1940" w:type="dxa"/>
            <w:vAlign w:val="bottom"/>
            <w:tcBorders>
              <w:left w:val="single" w:sz="8" w:color="auto"/>
              <w:bottom w:val="single" w:sz="8" w:color="auto"/>
              <w:right w:val="single" w:sz="8" w:color="auto"/>
            </w:tcBorders>
          </w:tcPr>
          <w:p>
            <w:pPr>
              <w:spacing w:after="0"/>
              <w:rPr>
                <w:sz w:val="16"/>
                <w:szCs w:val="16"/>
                <w:color w:val="auto"/>
              </w:rPr>
            </w:pPr>
          </w:p>
        </w:tc>
        <w:tc>
          <w:tcPr>
            <w:tcW w:w="32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amount</w:t>
            </w:r>
          </w:p>
        </w:tc>
      </w:tr>
      <w:tr>
        <w:trPr>
          <w:trHeight w:val="179"/>
        </w:trPr>
        <w:tc>
          <w:tcPr>
            <w:tcW w:w="1940" w:type="dxa"/>
            <w:vAlign w:val="bottom"/>
            <w:tcBorders>
              <w:left w:val="single" w:sz="8" w:color="auto"/>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April 14, 2025</w:t>
            </w:r>
          </w:p>
        </w:tc>
        <w:tc>
          <w:tcPr>
            <w:tcW w:w="326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28.583% of the principal amount</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May 12, 2026</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55.125% of the principal</w:t>
            </w:r>
          </w:p>
        </w:tc>
      </w:tr>
      <w:tr>
        <w:trPr>
          <w:trHeight w:val="192"/>
        </w:trPr>
        <w:tc>
          <w:tcPr>
            <w:tcW w:w="1940" w:type="dxa"/>
            <w:vAlign w:val="bottom"/>
            <w:tcBorders>
              <w:left w:val="single" w:sz="8" w:color="auto"/>
              <w:bottom w:val="single" w:sz="8" w:color="auto"/>
              <w:right w:val="single" w:sz="8" w:color="auto"/>
            </w:tcBorders>
          </w:tcPr>
          <w:p>
            <w:pPr>
              <w:spacing w:after="0"/>
              <w:rPr>
                <w:sz w:val="16"/>
                <w:szCs w:val="16"/>
                <w:color w:val="auto"/>
              </w:rPr>
            </w:pPr>
          </w:p>
        </w:tc>
        <w:tc>
          <w:tcPr>
            <w:tcW w:w="32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amount</w:t>
            </w:r>
          </w:p>
        </w:tc>
      </w:tr>
      <w:tr>
        <w:trPr>
          <w:trHeight w:val="179"/>
        </w:trPr>
        <w:tc>
          <w:tcPr>
            <w:tcW w:w="1940" w:type="dxa"/>
            <w:vAlign w:val="bottom"/>
            <w:tcBorders>
              <w:left w:val="single" w:sz="8" w:color="auto"/>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May 12, 2025</w:t>
            </w:r>
          </w:p>
        </w:tc>
        <w:tc>
          <w:tcPr>
            <w:tcW w:w="326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30.625% of the principal amount</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June 12, 2026</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57.167% of the principal</w:t>
            </w:r>
          </w:p>
        </w:tc>
      </w:tr>
      <w:tr>
        <w:trPr>
          <w:trHeight w:val="192"/>
        </w:trPr>
        <w:tc>
          <w:tcPr>
            <w:tcW w:w="1940" w:type="dxa"/>
            <w:vAlign w:val="bottom"/>
            <w:tcBorders>
              <w:left w:val="single" w:sz="8" w:color="auto"/>
              <w:bottom w:val="single" w:sz="8" w:color="auto"/>
              <w:right w:val="single" w:sz="8" w:color="auto"/>
            </w:tcBorders>
          </w:tcPr>
          <w:p>
            <w:pPr>
              <w:spacing w:after="0"/>
              <w:rPr>
                <w:sz w:val="16"/>
                <w:szCs w:val="16"/>
                <w:color w:val="auto"/>
              </w:rPr>
            </w:pPr>
          </w:p>
        </w:tc>
        <w:tc>
          <w:tcPr>
            <w:tcW w:w="32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amount</w:t>
            </w:r>
          </w:p>
        </w:tc>
      </w:tr>
      <w:tr>
        <w:trPr>
          <w:trHeight w:val="179"/>
        </w:trPr>
        <w:tc>
          <w:tcPr>
            <w:tcW w:w="1940" w:type="dxa"/>
            <w:vAlign w:val="bottom"/>
            <w:tcBorders>
              <w:left w:val="single" w:sz="8" w:color="auto"/>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June 12, 2025</w:t>
            </w:r>
          </w:p>
        </w:tc>
        <w:tc>
          <w:tcPr>
            <w:tcW w:w="326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32.667% of the principal amount</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July 13, 2026</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59.208% of the principal</w:t>
            </w:r>
          </w:p>
        </w:tc>
      </w:tr>
      <w:tr>
        <w:trPr>
          <w:trHeight w:val="192"/>
        </w:trPr>
        <w:tc>
          <w:tcPr>
            <w:tcW w:w="1940" w:type="dxa"/>
            <w:vAlign w:val="bottom"/>
            <w:tcBorders>
              <w:left w:val="single" w:sz="8" w:color="auto"/>
              <w:bottom w:val="single" w:sz="8" w:color="auto"/>
              <w:right w:val="single" w:sz="8" w:color="auto"/>
            </w:tcBorders>
          </w:tcPr>
          <w:p>
            <w:pPr>
              <w:spacing w:after="0"/>
              <w:rPr>
                <w:sz w:val="16"/>
                <w:szCs w:val="16"/>
                <w:color w:val="auto"/>
              </w:rPr>
            </w:pPr>
          </w:p>
        </w:tc>
        <w:tc>
          <w:tcPr>
            <w:tcW w:w="32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amount</w:t>
            </w:r>
          </w:p>
        </w:tc>
      </w:tr>
      <w:tr>
        <w:trPr>
          <w:trHeight w:val="179"/>
        </w:trPr>
        <w:tc>
          <w:tcPr>
            <w:tcW w:w="1940" w:type="dxa"/>
            <w:vAlign w:val="bottom"/>
            <w:tcBorders>
              <w:left w:val="single" w:sz="8" w:color="auto"/>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w w:val="99"/>
              </w:rPr>
              <w:t>July 14, 2025</w:t>
            </w:r>
          </w:p>
        </w:tc>
        <w:tc>
          <w:tcPr>
            <w:tcW w:w="326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34.708% of the principal amount</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August 12, 2026</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61.250% of the principal</w:t>
            </w:r>
          </w:p>
        </w:tc>
      </w:tr>
      <w:tr>
        <w:trPr>
          <w:trHeight w:val="192"/>
        </w:trPr>
        <w:tc>
          <w:tcPr>
            <w:tcW w:w="1940" w:type="dxa"/>
            <w:vAlign w:val="bottom"/>
            <w:tcBorders>
              <w:left w:val="single" w:sz="8" w:color="auto"/>
              <w:bottom w:val="single" w:sz="8" w:color="auto"/>
              <w:right w:val="single" w:sz="8" w:color="auto"/>
            </w:tcBorders>
          </w:tcPr>
          <w:p>
            <w:pPr>
              <w:spacing w:after="0"/>
              <w:rPr>
                <w:sz w:val="16"/>
                <w:szCs w:val="16"/>
                <w:color w:val="auto"/>
              </w:rPr>
            </w:pPr>
          </w:p>
        </w:tc>
        <w:tc>
          <w:tcPr>
            <w:tcW w:w="32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amount</w:t>
            </w:r>
          </w:p>
        </w:tc>
      </w:tr>
      <w:tr>
        <w:trPr>
          <w:trHeight w:val="179"/>
        </w:trPr>
        <w:tc>
          <w:tcPr>
            <w:tcW w:w="1940" w:type="dxa"/>
            <w:vAlign w:val="bottom"/>
            <w:tcBorders>
              <w:left w:val="single" w:sz="8" w:color="auto"/>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August 12, 2025</w:t>
            </w:r>
          </w:p>
        </w:tc>
        <w:tc>
          <w:tcPr>
            <w:tcW w:w="326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36.750% of the principal amount</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September 14, 2026</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63.292% of the principal</w:t>
            </w:r>
          </w:p>
        </w:tc>
      </w:tr>
      <w:tr>
        <w:trPr>
          <w:trHeight w:val="192"/>
        </w:trPr>
        <w:tc>
          <w:tcPr>
            <w:tcW w:w="1940" w:type="dxa"/>
            <w:vAlign w:val="bottom"/>
            <w:tcBorders>
              <w:left w:val="single" w:sz="8" w:color="auto"/>
              <w:bottom w:val="single" w:sz="8" w:color="auto"/>
              <w:right w:val="single" w:sz="8" w:color="auto"/>
            </w:tcBorders>
          </w:tcPr>
          <w:p>
            <w:pPr>
              <w:spacing w:after="0"/>
              <w:rPr>
                <w:sz w:val="16"/>
                <w:szCs w:val="16"/>
                <w:color w:val="auto"/>
              </w:rPr>
            </w:pPr>
          </w:p>
        </w:tc>
        <w:tc>
          <w:tcPr>
            <w:tcW w:w="32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amount</w:t>
            </w:r>
          </w:p>
        </w:tc>
      </w:tr>
      <w:tr>
        <w:trPr>
          <w:trHeight w:val="179"/>
        </w:trPr>
        <w:tc>
          <w:tcPr>
            <w:tcW w:w="1940" w:type="dxa"/>
            <w:vAlign w:val="bottom"/>
            <w:tcBorders>
              <w:left w:val="single" w:sz="8" w:color="auto"/>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September 12, 2025</w:t>
            </w:r>
          </w:p>
        </w:tc>
        <w:tc>
          <w:tcPr>
            <w:tcW w:w="326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38.792% of the principal amount</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October 12, 2026</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65.333% of the principal</w:t>
            </w:r>
          </w:p>
        </w:tc>
      </w:tr>
      <w:tr>
        <w:trPr>
          <w:trHeight w:val="192"/>
        </w:trPr>
        <w:tc>
          <w:tcPr>
            <w:tcW w:w="1940" w:type="dxa"/>
            <w:vAlign w:val="bottom"/>
            <w:tcBorders>
              <w:left w:val="single" w:sz="8" w:color="auto"/>
              <w:bottom w:val="single" w:sz="8" w:color="auto"/>
              <w:right w:val="single" w:sz="8" w:color="auto"/>
            </w:tcBorders>
          </w:tcPr>
          <w:p>
            <w:pPr>
              <w:spacing w:after="0"/>
              <w:rPr>
                <w:sz w:val="16"/>
                <w:szCs w:val="16"/>
                <w:color w:val="auto"/>
              </w:rPr>
            </w:pPr>
          </w:p>
        </w:tc>
        <w:tc>
          <w:tcPr>
            <w:tcW w:w="32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amount</w:t>
            </w:r>
          </w:p>
        </w:tc>
      </w:tr>
      <w:tr>
        <w:trPr>
          <w:trHeight w:val="179"/>
        </w:trPr>
        <w:tc>
          <w:tcPr>
            <w:tcW w:w="1940" w:type="dxa"/>
            <w:vAlign w:val="bottom"/>
            <w:tcBorders>
              <w:left w:val="single" w:sz="8" w:color="auto"/>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October 13, 2025</w:t>
            </w:r>
          </w:p>
        </w:tc>
        <w:tc>
          <w:tcPr>
            <w:tcW w:w="326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40.833% of the principal amount</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November 12, 2026</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67.375% of the principal</w:t>
            </w:r>
          </w:p>
        </w:tc>
      </w:tr>
      <w:tr>
        <w:trPr>
          <w:trHeight w:val="192"/>
        </w:trPr>
        <w:tc>
          <w:tcPr>
            <w:tcW w:w="1940" w:type="dxa"/>
            <w:vAlign w:val="bottom"/>
            <w:tcBorders>
              <w:left w:val="single" w:sz="8" w:color="auto"/>
              <w:bottom w:val="single" w:sz="8" w:color="auto"/>
              <w:right w:val="single" w:sz="8" w:color="auto"/>
            </w:tcBorders>
          </w:tcPr>
          <w:p>
            <w:pPr>
              <w:spacing w:after="0"/>
              <w:rPr>
                <w:sz w:val="16"/>
                <w:szCs w:val="16"/>
                <w:color w:val="auto"/>
              </w:rPr>
            </w:pPr>
          </w:p>
        </w:tc>
        <w:tc>
          <w:tcPr>
            <w:tcW w:w="32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amount</w:t>
            </w:r>
          </w:p>
        </w:tc>
      </w:tr>
      <w:tr>
        <w:trPr>
          <w:trHeight w:val="179"/>
        </w:trPr>
        <w:tc>
          <w:tcPr>
            <w:tcW w:w="1940" w:type="dxa"/>
            <w:vAlign w:val="bottom"/>
            <w:tcBorders>
              <w:left w:val="single" w:sz="8" w:color="auto"/>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November 12, 2025</w:t>
            </w:r>
          </w:p>
        </w:tc>
        <w:tc>
          <w:tcPr>
            <w:tcW w:w="326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42.875% of the principal amount</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December 14, 2026</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69.417% of the principal</w:t>
            </w:r>
          </w:p>
        </w:tc>
      </w:tr>
      <w:tr>
        <w:trPr>
          <w:trHeight w:val="192"/>
        </w:trPr>
        <w:tc>
          <w:tcPr>
            <w:tcW w:w="1940" w:type="dxa"/>
            <w:vAlign w:val="bottom"/>
            <w:tcBorders>
              <w:left w:val="single" w:sz="8" w:color="auto"/>
              <w:bottom w:val="single" w:sz="8" w:color="auto"/>
              <w:right w:val="single" w:sz="8" w:color="auto"/>
            </w:tcBorders>
          </w:tcPr>
          <w:p>
            <w:pPr>
              <w:spacing w:after="0"/>
              <w:rPr>
                <w:sz w:val="16"/>
                <w:szCs w:val="16"/>
                <w:color w:val="auto"/>
              </w:rPr>
            </w:pPr>
          </w:p>
        </w:tc>
        <w:tc>
          <w:tcPr>
            <w:tcW w:w="32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amount</w:t>
            </w:r>
          </w:p>
        </w:tc>
      </w:tr>
      <w:tr>
        <w:trPr>
          <w:trHeight w:val="179"/>
        </w:trPr>
        <w:tc>
          <w:tcPr>
            <w:tcW w:w="1940" w:type="dxa"/>
            <w:vAlign w:val="bottom"/>
            <w:tcBorders>
              <w:left w:val="single" w:sz="8" w:color="auto"/>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December 12, 2025</w:t>
            </w:r>
          </w:p>
        </w:tc>
        <w:tc>
          <w:tcPr>
            <w:tcW w:w="326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44.917% of the principal amount</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January 12, 2027</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71.458% of the principal</w:t>
            </w:r>
          </w:p>
        </w:tc>
      </w:tr>
      <w:tr>
        <w:trPr>
          <w:trHeight w:val="192"/>
        </w:trPr>
        <w:tc>
          <w:tcPr>
            <w:tcW w:w="1940" w:type="dxa"/>
            <w:vAlign w:val="bottom"/>
            <w:tcBorders>
              <w:left w:val="single" w:sz="8" w:color="auto"/>
              <w:bottom w:val="single" w:sz="8" w:color="auto"/>
              <w:right w:val="single" w:sz="8" w:color="auto"/>
            </w:tcBorders>
          </w:tcPr>
          <w:p>
            <w:pPr>
              <w:spacing w:after="0"/>
              <w:rPr>
                <w:sz w:val="16"/>
                <w:szCs w:val="16"/>
                <w:color w:val="auto"/>
              </w:rPr>
            </w:pPr>
          </w:p>
        </w:tc>
        <w:tc>
          <w:tcPr>
            <w:tcW w:w="32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amount</w:t>
            </w:r>
          </w:p>
        </w:tc>
      </w:tr>
      <w:tr>
        <w:trPr>
          <w:trHeight w:val="179"/>
        </w:trPr>
        <w:tc>
          <w:tcPr>
            <w:tcW w:w="1940" w:type="dxa"/>
            <w:vAlign w:val="bottom"/>
            <w:tcBorders>
              <w:left w:val="single" w:sz="8" w:color="auto"/>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January 12, 2026</w:t>
            </w:r>
          </w:p>
        </w:tc>
        <w:tc>
          <w:tcPr>
            <w:tcW w:w="326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46.958% of the principal amount</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February 9, 2027</w:t>
            </w:r>
          </w:p>
        </w:tc>
        <w:tc>
          <w:tcPr>
            <w:tcW w:w="302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73.500% of the principal</w:t>
            </w:r>
          </w:p>
        </w:tc>
      </w:tr>
      <w:tr>
        <w:trPr>
          <w:trHeight w:val="192"/>
        </w:trPr>
        <w:tc>
          <w:tcPr>
            <w:tcW w:w="1940" w:type="dxa"/>
            <w:vAlign w:val="bottom"/>
            <w:tcBorders>
              <w:left w:val="single" w:sz="8" w:color="auto"/>
              <w:bottom w:val="single" w:sz="8" w:color="auto"/>
              <w:right w:val="single" w:sz="8" w:color="auto"/>
            </w:tcBorders>
          </w:tcPr>
          <w:p>
            <w:pPr>
              <w:spacing w:after="0"/>
              <w:rPr>
                <w:sz w:val="16"/>
                <w:szCs w:val="16"/>
                <w:color w:val="auto"/>
              </w:rPr>
            </w:pPr>
          </w:p>
        </w:tc>
        <w:tc>
          <w:tcPr>
            <w:tcW w:w="3260" w:type="dxa"/>
            <w:vAlign w:val="bottom"/>
            <w:tcBorders>
              <w:bottom w:val="single" w:sz="8" w:color="auto"/>
              <w:right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(the “final calculation day”)</w:t>
            </w:r>
          </w:p>
        </w:tc>
        <w:tc>
          <w:tcPr>
            <w:tcW w:w="3020" w:type="dxa"/>
            <w:vAlign w:val="bottom"/>
            <w:tcBorders>
              <w:bottom w:val="single" w:sz="8" w:color="auto"/>
              <w:right w:val="single" w:sz="8" w:color="auto"/>
            </w:tcBorders>
          </w:tcPr>
          <w:p>
            <w:pPr>
              <w:jc w:val="center"/>
              <w:spacing w:after="0"/>
              <w:rPr>
                <w:sz w:val="20"/>
                <w:szCs w:val="20"/>
                <w:color w:val="auto"/>
              </w:rPr>
            </w:pPr>
            <w:r>
              <w:rPr>
                <w:rFonts w:ascii="Georgia" w:cs="Georgia" w:eastAsia="Georgia" w:hAnsi="Georgia"/>
                <w:sz w:val="16"/>
                <w:szCs w:val="16"/>
                <w:color w:val="auto"/>
              </w:rPr>
              <w:t>amount</w:t>
            </w:r>
          </w:p>
        </w:tc>
      </w:tr>
      <w:tr>
        <w:trPr>
          <w:trHeight w:val="179"/>
        </w:trPr>
        <w:tc>
          <w:tcPr>
            <w:tcW w:w="1940" w:type="dxa"/>
            <w:vAlign w:val="bottom"/>
            <w:tcBorders>
              <w:left w:val="single" w:sz="8" w:color="auto"/>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February 12, 2026</w:t>
            </w:r>
          </w:p>
        </w:tc>
        <w:tc>
          <w:tcPr>
            <w:tcW w:w="3260" w:type="dxa"/>
            <w:vAlign w:val="bottom"/>
            <w:tcBorders>
              <w:right w:val="single" w:sz="8" w:color="auto"/>
            </w:tcBorders>
          </w:tcPr>
          <w:p>
            <w:pPr>
              <w:jc w:val="center"/>
              <w:spacing w:after="0" w:line="179" w:lineRule="exact"/>
              <w:rPr>
                <w:sz w:val="20"/>
                <w:szCs w:val="20"/>
                <w:color w:val="auto"/>
              </w:rPr>
            </w:pPr>
            <w:r>
              <w:rPr>
                <w:rFonts w:ascii="Georgia" w:cs="Georgia" w:eastAsia="Georgia" w:hAnsi="Georgia"/>
                <w:sz w:val="16"/>
                <w:szCs w:val="16"/>
                <w:color w:val="auto"/>
              </w:rPr>
              <w:t>At least 49.000% of the principal amount</w:t>
            </w:r>
          </w:p>
        </w:tc>
        <w:tc>
          <w:tcPr>
            <w:tcW w:w="3020" w:type="dxa"/>
            <w:vAlign w:val="bottom"/>
            <w:tcBorders>
              <w:right w:val="single" w:sz="8" w:color="auto"/>
            </w:tcBorders>
          </w:tcPr>
          <w:p>
            <w:pPr>
              <w:spacing w:after="0"/>
              <w:rPr>
                <w:sz w:val="15"/>
                <w:szCs w:val="15"/>
                <w:color w:val="auto"/>
              </w:rPr>
            </w:pPr>
          </w:p>
        </w:tc>
        <w:tc>
          <w:tcPr>
            <w:tcW w:w="3020" w:type="dxa"/>
            <w:vAlign w:val="bottom"/>
            <w:tcBorders>
              <w:right w:val="single" w:sz="8" w:color="auto"/>
            </w:tcBorders>
          </w:tcPr>
          <w:p>
            <w:pPr>
              <w:spacing w:after="0"/>
              <w:rPr>
                <w:sz w:val="15"/>
                <w:szCs w:val="15"/>
                <w:color w:val="auto"/>
              </w:rPr>
            </w:pPr>
          </w:p>
        </w:tc>
      </w:tr>
      <w:tr>
        <w:trPr>
          <w:trHeight w:val="60"/>
        </w:trPr>
        <w:tc>
          <w:tcPr>
            <w:tcW w:w="1940" w:type="dxa"/>
            <w:vAlign w:val="bottom"/>
            <w:tcBorders>
              <w:left w:val="single" w:sz="8" w:color="auto"/>
              <w:bottom w:val="single" w:sz="8" w:color="auto"/>
              <w:right w:val="single" w:sz="8" w:color="auto"/>
            </w:tcBorders>
          </w:tcPr>
          <w:p>
            <w:pPr>
              <w:spacing w:after="0"/>
              <w:rPr>
                <w:sz w:val="5"/>
                <w:szCs w:val="5"/>
                <w:color w:val="auto"/>
              </w:rPr>
            </w:pPr>
          </w:p>
        </w:tc>
        <w:tc>
          <w:tcPr>
            <w:tcW w:w="3260" w:type="dxa"/>
            <w:vAlign w:val="bottom"/>
            <w:tcBorders>
              <w:bottom w:val="single" w:sz="8" w:color="auto"/>
              <w:right w:val="single" w:sz="8" w:color="auto"/>
            </w:tcBorders>
          </w:tcPr>
          <w:p>
            <w:pPr>
              <w:spacing w:after="0"/>
              <w:rPr>
                <w:sz w:val="5"/>
                <w:szCs w:val="5"/>
                <w:color w:val="auto"/>
              </w:rPr>
            </w:pPr>
          </w:p>
        </w:tc>
        <w:tc>
          <w:tcPr>
            <w:tcW w:w="3020" w:type="dxa"/>
            <w:vAlign w:val="bottom"/>
            <w:tcBorders>
              <w:bottom w:val="single" w:sz="8" w:color="auto"/>
              <w:right w:val="single" w:sz="8" w:color="auto"/>
            </w:tcBorders>
          </w:tcPr>
          <w:p>
            <w:pPr>
              <w:spacing w:after="0"/>
              <w:rPr>
                <w:sz w:val="5"/>
                <w:szCs w:val="5"/>
                <w:color w:val="auto"/>
              </w:rPr>
            </w:pPr>
          </w:p>
        </w:tc>
        <w:tc>
          <w:tcPr>
            <w:tcW w:w="3020" w:type="dxa"/>
            <w:vAlign w:val="bottom"/>
            <w:tcBorders>
              <w:bottom w:val="single" w:sz="8" w:color="auto"/>
              <w:right w:val="single" w:sz="8" w:color="auto"/>
            </w:tcBorders>
          </w:tcPr>
          <w:p>
            <w:pPr>
              <w:spacing w:after="0"/>
              <w:rPr>
                <w:sz w:val="5"/>
                <w:szCs w:val="5"/>
                <w:color w:val="auto"/>
              </w:rPr>
            </w:pPr>
          </w:p>
        </w:tc>
      </w:tr>
    </w:tbl>
    <w:p>
      <w:pPr>
        <w:spacing w:after="0" w:line="35" w:lineRule="exact"/>
        <w:rPr>
          <w:sz w:val="20"/>
          <w:szCs w:val="20"/>
          <w:color w:val="auto"/>
        </w:rPr>
      </w:pPr>
    </w:p>
    <w:p>
      <w:pPr>
        <w:ind w:left="80" w:hanging="72"/>
        <w:spacing w:after="0"/>
        <w:tabs>
          <w:tab w:leader="none" w:pos="80" w:val="left"/>
        </w:tabs>
        <w:numPr>
          <w:ilvl w:val="0"/>
          <w:numId w:val="2"/>
        </w:numPr>
        <w:rPr>
          <w:rFonts w:ascii="Georgia" w:cs="Georgia" w:eastAsia="Georgia" w:hAnsi="Georgia"/>
          <w:sz w:val="22"/>
          <w:szCs w:val="22"/>
          <w:color w:val="auto"/>
          <w:vertAlign w:val="superscript"/>
        </w:rPr>
      </w:pPr>
      <w:r>
        <w:rPr>
          <w:rFonts w:ascii="Georgia" w:cs="Georgia" w:eastAsia="Georgia" w:hAnsi="Georgia"/>
          <w:sz w:val="13"/>
          <w:szCs w:val="13"/>
          <w:color w:val="auto"/>
        </w:rPr>
        <w:t>To be provided in the pricing supplement</w:t>
      </w:r>
    </w:p>
    <w:p>
      <w:pPr>
        <w:spacing w:after="0" w:line="321" w:lineRule="exact"/>
        <w:rPr>
          <w:sz w:val="20"/>
          <w:szCs w:val="20"/>
          <w:color w:val="auto"/>
        </w:rPr>
      </w:pPr>
    </w:p>
    <w:p>
      <w:pPr>
        <w:spacing w:after="0"/>
        <w:rPr>
          <w:sz w:val="20"/>
          <w:szCs w:val="20"/>
          <w:color w:val="auto"/>
        </w:rPr>
      </w:pPr>
      <w:r>
        <w:rPr>
          <w:rFonts w:ascii="Georgia" w:cs="Georgia" w:eastAsia="Georgia" w:hAnsi="Georgia"/>
          <w:sz w:val="25"/>
          <w:szCs w:val="25"/>
          <w:color w:val="8F8F8F"/>
        </w:rPr>
        <w:t>Selected Risk Considerations</w:t>
      </w:r>
    </w:p>
    <w:p>
      <w:pPr>
        <w:spacing w:after="0" w:line="14" w:lineRule="exact"/>
        <w:rPr>
          <w:sz w:val="20"/>
          <w:szCs w:val="20"/>
          <w:color w:val="auto"/>
        </w:rPr>
      </w:pPr>
    </w:p>
    <w:p>
      <w:pPr>
        <w:ind w:right="220"/>
        <w:spacing w:after="0" w:line="250"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p>
      <w:pPr>
        <w:sectPr>
          <w:pgSz w:w="11900" w:h="16838" w:orient="portrait"/>
          <w:cols w:equalWidth="0" w:num="1">
            <w:col w:w="11240"/>
          </w:cols>
          <w:pgMar w:left="320" w:top="489" w:right="339" w:bottom="1440" w:gutter="0" w:footer="0" w:header="0"/>
        </w:sectPr>
      </w:pPr>
    </w:p>
    <w:p>
      <w:pPr>
        <w:spacing w:after="0" w:line="107" w:lineRule="exact"/>
        <w:rPr>
          <w:sz w:val="20"/>
          <w:szCs w:val="20"/>
          <w:color w:val="auto"/>
        </w:rPr>
      </w:pPr>
    </w:p>
    <w:p>
      <w:pPr>
        <w:jc w:val="both"/>
        <w:ind w:left="340" w:hanging="332"/>
        <w:spacing w:after="0" w:line="245" w:lineRule="auto"/>
        <w:tabs>
          <w:tab w:leader="none" w:pos="340" w:val="left"/>
        </w:tabs>
        <w:numPr>
          <w:ilvl w:val="0"/>
          <w:numId w:val="3"/>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If the Securities Are Not Automatically Called, You Will Lose More Than 40%, and Possibly All, of the Principal Amount of Your Securities at Maturity.</w:t>
      </w:r>
    </w:p>
    <w:p>
      <w:pPr>
        <w:spacing w:after="0" w:line="7" w:lineRule="exact"/>
        <w:rPr>
          <w:rFonts w:ascii="Times New Roman" w:cs="Times New Roman" w:eastAsia="Times New Roman" w:hAnsi="Times New Roman"/>
          <w:sz w:val="16"/>
          <w:szCs w:val="16"/>
          <w:color w:val="auto"/>
        </w:rPr>
      </w:pPr>
    </w:p>
    <w:p>
      <w:pPr>
        <w:ind w:left="340" w:right="80" w:hanging="332"/>
        <w:spacing w:after="0" w:line="243" w:lineRule="auto"/>
        <w:tabs>
          <w:tab w:leader="none" w:pos="340" w:val="left"/>
        </w:tabs>
        <w:numPr>
          <w:ilvl w:val="0"/>
          <w:numId w:val="3"/>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Potential Return on the Securities Is Limited to the Call Premium.</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Will Be Subject to Reinvestment Risk.</w:t>
      </w:r>
    </w:p>
    <w:p>
      <w:pPr>
        <w:spacing w:after="0" w:line="19" w:lineRule="exact"/>
        <w:rPr>
          <w:rFonts w:ascii="Times New Roman" w:cs="Times New Roman" w:eastAsia="Times New Roman" w:hAnsi="Times New Roman"/>
          <w:sz w:val="16"/>
          <w:szCs w:val="16"/>
          <w:color w:val="auto"/>
        </w:rPr>
      </w:pPr>
    </w:p>
    <w:p>
      <w:pPr>
        <w:ind w:left="340" w:right="180" w:hanging="332"/>
        <w:spacing w:after="0" w:line="243" w:lineRule="auto"/>
        <w:tabs>
          <w:tab w:leader="none" w:pos="340" w:val="left"/>
        </w:tabs>
        <w:numPr>
          <w:ilvl w:val="0"/>
          <w:numId w:val="3"/>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Are Subject to the Credit Risks of JPMorgan Financial and JPMorgan Chase &amp; Co.</w:t>
      </w:r>
    </w:p>
    <w:p>
      <w:pPr>
        <w:spacing w:after="0" w:line="7" w:lineRule="exact"/>
        <w:rPr>
          <w:rFonts w:ascii="Times New Roman" w:cs="Times New Roman" w:eastAsia="Times New Roman" w:hAnsi="Times New Roman"/>
          <w:sz w:val="16"/>
          <w:szCs w:val="16"/>
          <w:color w:val="auto"/>
        </w:rPr>
      </w:pPr>
    </w:p>
    <w:p>
      <w:pPr>
        <w:ind w:left="340" w:right="620" w:hanging="332"/>
        <w:spacing w:after="0" w:line="243" w:lineRule="auto"/>
        <w:tabs>
          <w:tab w:leader="none" w:pos="340" w:val="left"/>
        </w:tabs>
        <w:numPr>
          <w:ilvl w:val="0"/>
          <w:numId w:val="3"/>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As a Finance Subsidiary, JPMorgan Financial Has No Independent Operations and Has Limited Assets.</w:t>
      </w:r>
    </w:p>
    <w:p>
      <w:pPr>
        <w:spacing w:after="0" w:line="7" w:lineRule="exact"/>
        <w:rPr>
          <w:rFonts w:ascii="Times New Roman" w:cs="Times New Roman" w:eastAsia="Times New Roman" w:hAnsi="Times New Roman"/>
          <w:sz w:val="16"/>
          <w:szCs w:val="16"/>
          <w:color w:val="auto"/>
        </w:rPr>
      </w:pPr>
    </w:p>
    <w:p>
      <w:pPr>
        <w:ind w:left="340" w:right="160" w:hanging="332"/>
        <w:spacing w:after="0" w:line="243" w:lineRule="auto"/>
        <w:tabs>
          <w:tab w:leader="none" w:pos="340" w:val="left"/>
        </w:tabs>
        <w:numPr>
          <w:ilvl w:val="0"/>
          <w:numId w:val="3"/>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Are Exposed to the Risk of Decline in the Price of Each Underlying Stock.</w:t>
      </w:r>
    </w:p>
    <w:p>
      <w:pPr>
        <w:spacing w:after="0" w:line="7" w:lineRule="exact"/>
        <w:rPr>
          <w:rFonts w:ascii="Times New Roman" w:cs="Times New Roman" w:eastAsia="Times New Roman" w:hAnsi="Times New Roman"/>
          <w:sz w:val="16"/>
          <w:szCs w:val="16"/>
          <w:color w:val="auto"/>
        </w:rPr>
      </w:pPr>
    </w:p>
    <w:p>
      <w:pPr>
        <w:ind w:left="340" w:right="120" w:hanging="332"/>
        <w:spacing w:after="0" w:line="243" w:lineRule="auto"/>
        <w:tabs>
          <w:tab w:leader="none" w:pos="340" w:val="left"/>
        </w:tabs>
        <w:numPr>
          <w:ilvl w:val="0"/>
          <w:numId w:val="3"/>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Your Maturity Payment Amount Will Be Determined by the Lowest Performing Underlying Stock.</w:t>
      </w:r>
    </w:p>
    <w:p>
      <w:pPr>
        <w:spacing w:after="0" w:line="7" w:lineRule="exact"/>
        <w:rPr>
          <w:rFonts w:ascii="Times New Roman" w:cs="Times New Roman" w:eastAsia="Times New Roman" w:hAnsi="Times New Roman"/>
          <w:sz w:val="16"/>
          <w:szCs w:val="16"/>
          <w:color w:val="auto"/>
        </w:rPr>
      </w:pPr>
    </w:p>
    <w:p>
      <w:pPr>
        <w:ind w:left="340" w:hanging="332"/>
        <w:spacing w:after="0" w:line="243" w:lineRule="auto"/>
        <w:tabs>
          <w:tab w:leader="none" w:pos="340" w:val="left"/>
        </w:tabs>
        <w:numPr>
          <w:ilvl w:val="0"/>
          <w:numId w:val="3"/>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Will Be Subject to Risks Resulting from the Relationship Between the Underlying Stocks.</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Interest or Dividend Payments or Voting Rights.</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Lack of Liquidity.</w:t>
      </w:r>
    </w:p>
    <w:p>
      <w:pPr>
        <w:spacing w:after="0" w:line="19" w:lineRule="exact"/>
        <w:rPr>
          <w:rFonts w:ascii="Times New Roman" w:cs="Times New Roman" w:eastAsia="Times New Roman" w:hAnsi="Times New Roman"/>
          <w:sz w:val="16"/>
          <w:szCs w:val="16"/>
          <w:color w:val="auto"/>
        </w:rPr>
      </w:pPr>
    </w:p>
    <w:p>
      <w:pPr>
        <w:ind w:left="340" w:right="200" w:hanging="332"/>
        <w:spacing w:after="0" w:line="243" w:lineRule="auto"/>
        <w:tabs>
          <w:tab w:leader="none" w:pos="340" w:val="left"/>
        </w:tabs>
        <w:numPr>
          <w:ilvl w:val="0"/>
          <w:numId w:val="3"/>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Final Terms and Estimated Valuation of the Securities Will Be Provided in the Pricing Supplement.</w:t>
      </w:r>
    </w:p>
    <w:p>
      <w:pPr>
        <w:spacing w:after="0" w:line="7" w:lineRule="exact"/>
        <w:rPr>
          <w:rFonts w:ascii="Times New Roman" w:cs="Times New Roman" w:eastAsia="Times New Roman" w:hAnsi="Times New Roman"/>
          <w:sz w:val="16"/>
          <w:szCs w:val="16"/>
          <w:color w:val="auto"/>
        </w:rPr>
      </w:pPr>
    </w:p>
    <w:p>
      <w:pPr>
        <w:ind w:left="340" w:right="320" w:hanging="332"/>
        <w:spacing w:after="0" w:line="243" w:lineRule="auto"/>
        <w:tabs>
          <w:tab w:leader="none" w:pos="340" w:val="left"/>
        </w:tabs>
        <w:numPr>
          <w:ilvl w:val="0"/>
          <w:numId w:val="3"/>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Tax Consequences of an Investment in the Securities Are Uncertain.</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Potential Conflicts.</w:t>
      </w:r>
    </w:p>
    <w:p>
      <w:pPr>
        <w:spacing w:after="0" w:line="19" w:lineRule="exact"/>
        <w:rPr>
          <w:rFonts w:ascii="Times New Roman" w:cs="Times New Roman" w:eastAsia="Times New Roman" w:hAnsi="Times New Roman"/>
          <w:sz w:val="16"/>
          <w:szCs w:val="16"/>
          <w:color w:val="auto"/>
        </w:rPr>
      </w:pPr>
    </w:p>
    <w:p>
      <w:pPr>
        <w:jc w:val="both"/>
        <w:ind w:left="340" w:right="240" w:hanging="332"/>
        <w:spacing w:after="0" w:line="246" w:lineRule="auto"/>
        <w:tabs>
          <w:tab w:leader="none" w:pos="340" w:val="left"/>
        </w:tabs>
        <w:numPr>
          <w:ilvl w:val="0"/>
          <w:numId w:val="3"/>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Will Be Lower Than the Original Issue Price (Price to Public) of the Securities.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331" w:right="100" w:hanging="331"/>
        <w:spacing w:after="0" w:line="245" w:lineRule="auto"/>
        <w:tabs>
          <w:tab w:leader="none" w:pos="331" w:val="left"/>
        </w:tabs>
        <w:numPr>
          <w:ilvl w:val="0"/>
          <w:numId w:val="4"/>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Does Not Represent Future Values of the Securities and May Differ from Others’ Estimates.</w:t>
      </w:r>
    </w:p>
    <w:p>
      <w:pPr>
        <w:spacing w:after="0" w:line="7" w:lineRule="exact"/>
        <w:rPr>
          <w:rFonts w:ascii="Times New Roman" w:cs="Times New Roman" w:eastAsia="Times New Roman" w:hAnsi="Times New Roman"/>
          <w:sz w:val="16"/>
          <w:szCs w:val="16"/>
          <w:color w:val="auto"/>
        </w:rPr>
      </w:pPr>
    </w:p>
    <w:p>
      <w:pPr>
        <w:ind w:left="331" w:right="820" w:hanging="331"/>
        <w:spacing w:after="0" w:line="243" w:lineRule="auto"/>
        <w:tabs>
          <w:tab w:leader="none" w:pos="331" w:val="left"/>
        </w:tabs>
        <w:numPr>
          <w:ilvl w:val="0"/>
          <w:numId w:val="4"/>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Is Derived by Reference to an Internal Funding Rate.</w:t>
      </w:r>
    </w:p>
    <w:p>
      <w:pPr>
        <w:spacing w:after="0" w:line="7" w:lineRule="exact"/>
        <w:rPr>
          <w:rFonts w:ascii="Times New Roman" w:cs="Times New Roman" w:eastAsia="Times New Roman" w:hAnsi="Times New Roman"/>
          <w:sz w:val="16"/>
          <w:szCs w:val="16"/>
          <w:color w:val="auto"/>
        </w:rPr>
      </w:pPr>
    </w:p>
    <w:p>
      <w:pPr>
        <w:ind w:left="331" w:right="160" w:hanging="331"/>
        <w:spacing w:after="0" w:line="246" w:lineRule="auto"/>
        <w:tabs>
          <w:tab w:leader="none" w:pos="331" w:val="left"/>
        </w:tabs>
        <w:numPr>
          <w:ilvl w:val="0"/>
          <w:numId w:val="4"/>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7" w:lineRule="exact"/>
        <w:rPr>
          <w:rFonts w:ascii="Times New Roman" w:cs="Times New Roman" w:eastAsia="Times New Roman" w:hAnsi="Times New Roman"/>
          <w:sz w:val="16"/>
          <w:szCs w:val="16"/>
          <w:color w:val="auto"/>
        </w:rPr>
      </w:pPr>
    </w:p>
    <w:p>
      <w:pPr>
        <w:ind w:left="331" w:right="400" w:hanging="331"/>
        <w:spacing w:after="0" w:line="243" w:lineRule="auto"/>
        <w:tabs>
          <w:tab w:leader="none" w:pos="331" w:val="left"/>
        </w:tabs>
        <w:numPr>
          <w:ilvl w:val="0"/>
          <w:numId w:val="4"/>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Secondary Market Prices of the Securities Will Likely Be Lower Than the Original Issue Price of the Securities.</w:t>
      </w:r>
    </w:p>
    <w:p>
      <w:pPr>
        <w:spacing w:after="0" w:line="7" w:lineRule="exact"/>
        <w:rPr>
          <w:rFonts w:ascii="Times New Roman" w:cs="Times New Roman" w:eastAsia="Times New Roman" w:hAnsi="Times New Roman"/>
          <w:sz w:val="16"/>
          <w:szCs w:val="16"/>
          <w:color w:val="auto"/>
        </w:rPr>
      </w:pPr>
    </w:p>
    <w:p>
      <w:pPr>
        <w:ind w:left="331" w:right="220" w:hanging="331"/>
        <w:spacing w:after="0" w:line="243" w:lineRule="auto"/>
        <w:tabs>
          <w:tab w:leader="none" w:pos="331" w:val="left"/>
        </w:tabs>
        <w:numPr>
          <w:ilvl w:val="0"/>
          <w:numId w:val="4"/>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Many Economic and Market Factors Will Impact the Value of the Securities.</w:t>
      </w:r>
    </w:p>
    <w:p>
      <w:pPr>
        <w:spacing w:after="0" w:line="5" w:lineRule="exact"/>
        <w:rPr>
          <w:rFonts w:ascii="Times New Roman" w:cs="Times New Roman" w:eastAsia="Times New Roman" w:hAnsi="Times New Roman"/>
          <w:sz w:val="16"/>
          <w:szCs w:val="16"/>
          <w:color w:val="auto"/>
        </w:rPr>
      </w:pPr>
    </w:p>
    <w:p>
      <w:pPr>
        <w:ind w:left="331" w:hanging="331"/>
        <w:spacing w:after="0"/>
        <w:tabs>
          <w:tab w:leader="none" w:pos="331" w:val="left"/>
        </w:tabs>
        <w:numPr>
          <w:ilvl w:val="0"/>
          <w:numId w:val="4"/>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Affiliation with Either Underlying Stock Issuer.</w:t>
      </w:r>
    </w:p>
    <w:p>
      <w:pPr>
        <w:spacing w:after="0" w:line="60" w:lineRule="exact"/>
        <w:rPr>
          <w:rFonts w:ascii="Times New Roman" w:cs="Times New Roman" w:eastAsia="Times New Roman" w:hAnsi="Times New Roman"/>
          <w:sz w:val="16"/>
          <w:szCs w:val="16"/>
          <w:color w:val="auto"/>
        </w:rPr>
      </w:pPr>
    </w:p>
    <w:p>
      <w:pPr>
        <w:ind w:left="331" w:right="780" w:hanging="331"/>
        <w:spacing w:after="0" w:line="246" w:lineRule="auto"/>
        <w:tabs>
          <w:tab w:leader="none" w:pos="331" w:val="left"/>
        </w:tabs>
        <w:numPr>
          <w:ilvl w:val="0"/>
          <w:numId w:val="4"/>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Limited Trading History with Respect to the Class A Common Stock of Snowflake Inc.</w:t>
      </w:r>
    </w:p>
    <w:p>
      <w:pPr>
        <w:spacing w:after="0" w:line="29" w:lineRule="exact"/>
        <w:rPr>
          <w:rFonts w:ascii="Times New Roman" w:cs="Times New Roman" w:eastAsia="Times New Roman" w:hAnsi="Times New Roman"/>
          <w:sz w:val="16"/>
          <w:szCs w:val="16"/>
          <w:color w:val="auto"/>
        </w:rPr>
      </w:pPr>
    </w:p>
    <w:p>
      <w:pPr>
        <w:ind w:left="331" w:right="780" w:hanging="331"/>
        <w:spacing w:after="0" w:line="246" w:lineRule="auto"/>
        <w:tabs>
          <w:tab w:leader="none" w:pos="331" w:val="left"/>
        </w:tabs>
        <w:numPr>
          <w:ilvl w:val="0"/>
          <w:numId w:val="4"/>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Anti-Dilution Protection Is Limited and May Be Discretionary.</w:t>
      </w:r>
    </w:p>
    <w:p>
      <w:pPr>
        <w:spacing w:after="0" w:line="43" w:lineRule="exact"/>
        <w:rPr>
          <w:rFonts w:ascii="Times New Roman" w:cs="Times New Roman" w:eastAsia="Times New Roman" w:hAnsi="Times New Roman"/>
          <w:sz w:val="16"/>
          <w:szCs w:val="16"/>
          <w:color w:val="auto"/>
        </w:rPr>
      </w:pPr>
    </w:p>
    <w:p>
      <w:pPr>
        <w:ind w:left="331" w:right="240" w:hanging="331"/>
        <w:spacing w:after="0" w:line="248" w:lineRule="auto"/>
        <w:tabs>
          <w:tab w:leader="none" w:pos="331" w:val="left"/>
        </w:tabs>
        <w:numPr>
          <w:ilvl w:val="0"/>
          <w:numId w:val="4"/>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Any Payment on the Securities Will Depend upon the Performance of Each Underlying Stock and Therefore the Securities Are Subject to Risks Associated with Each Underlying Stock, Each as Discussed in the Accompanying Pricing Supplement and Product Supplement.</w:t>
      </w:r>
    </w:p>
    <w:p>
      <w:pPr>
        <w:spacing w:after="0" w:line="510" w:lineRule="exact"/>
        <w:rPr>
          <w:sz w:val="20"/>
          <w:szCs w:val="20"/>
          <w:color w:val="auto"/>
        </w:rPr>
      </w:pPr>
    </w:p>
    <w:p>
      <w:pPr>
        <w:sectPr>
          <w:pgSz w:w="11900" w:h="16838" w:orient="portrait"/>
          <w:cols w:equalWidth="0" w:num="2">
            <w:col w:w="5380" w:space="469"/>
            <w:col w:w="5391"/>
          </w:cols>
          <w:pgMar w:left="320" w:top="489" w:right="339" w:bottom="1440" w:gutter="0" w:footer="0" w:header="0"/>
          <w:type w:val="continuous"/>
        </w:sectPr>
      </w:pPr>
    </w:p>
    <w:p>
      <w:pPr>
        <w:spacing w:after="0" w:line="19" w:lineRule="exact"/>
        <w:rPr>
          <w:sz w:val="20"/>
          <w:szCs w:val="20"/>
          <w:color w:val="auto"/>
        </w:rPr>
      </w:pPr>
    </w:p>
    <w:p>
      <w:pPr>
        <w:ind w:right="8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spacing w:after="0" w:line="111" w:lineRule="exact"/>
        <w:rPr>
          <w:sz w:val="20"/>
          <w:szCs w:val="20"/>
          <w:color w:val="auto"/>
        </w:rPr>
      </w:pPr>
    </w:p>
    <w:p>
      <w:pPr>
        <w:ind w:right="20"/>
        <w:spacing w:after="0" w:line="249" w:lineRule="auto"/>
        <w:rPr>
          <w:sz w:val="20"/>
          <w:szCs w:val="20"/>
          <w:color w:val="auto"/>
        </w:rPr>
      </w:pPr>
      <w:r>
        <w:rPr>
          <w:rFonts w:ascii="Georgia" w:cs="Georgia" w:eastAsia="Georgia" w:hAnsi="Georgia"/>
          <w:sz w:val="16"/>
          <w:szCs w:val="16"/>
          <w:color w:val="8F8F8F"/>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pgSz w:w="11900" w:h="16838" w:orient="portrait"/>
      <w:cols w:equalWidth="0" w:num="1">
        <w:col w:w="11240"/>
      </w:cols>
      <w:pgMar w:left="320" w:top="48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2" Type="http://schemas.openxmlformats.org/officeDocument/2006/relationships/image" Target="media/image4.png"/><Relationship Id="rId11" Type="http://schemas.openxmlformats.org/officeDocument/2006/relationships/hyperlink" Target="http://www.sec.gov/Archives/edgar/data/1665650/000121390024009788/ea169655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2024-02-06T05:18:48Z</dcterms:created>
  <dcterms:modified xsi:type="dcterms:W3CDTF">2024-02-06T05:18:48Z</dcterms:modified>
</cp:coreProperties>
</file>