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p>
    <w:p>
      <w:pPr>
        <w:ind w:left="60"/>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line="54" w:lineRule="exact"/>
        <w:rPr>
          <w:sz w:val="24"/>
          <w:szCs w:val="24"/>
          <w:color w:val="auto"/>
        </w:rPr>
      </w:pPr>
    </w:p>
    <w:p>
      <w:pPr>
        <w:ind w:left="6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56" w:lineRule="exact"/>
        <w:rPr>
          <w:sz w:val="24"/>
          <w:szCs w:val="24"/>
          <w:color w:val="auto"/>
        </w:rPr>
      </w:pPr>
    </w:p>
    <w:p>
      <w:pPr>
        <w:ind w:left="60"/>
        <w:spacing w:after="0"/>
        <w:rPr>
          <w:sz w:val="20"/>
          <w:szCs w:val="20"/>
          <w:color w:val="auto"/>
        </w:rPr>
      </w:pPr>
      <w:r>
        <w:rPr>
          <w:rFonts w:ascii="Verdana" w:cs="Verdana" w:eastAsia="Verdana" w:hAnsi="Verdana"/>
          <w:sz w:val="22"/>
          <w:szCs w:val="22"/>
          <w:b w:val="1"/>
          <w:bCs w:val="1"/>
          <w:color w:val="BB0826"/>
        </w:rPr>
        <w:t>Market Linked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Verdana" w:cs="Verdana" w:eastAsia="Verdana" w:hAnsi="Verdana"/>
          <w:sz w:val="13"/>
          <w:szCs w:val="13"/>
          <w:color w:val="auto"/>
        </w:rPr>
        <w:t>Filed Pursuant to Rule 433</w:t>
      </w:r>
    </w:p>
    <w:p>
      <w:pPr>
        <w:jc w:val="right"/>
        <w:spacing w:after="0"/>
        <w:rPr>
          <w:sz w:val="20"/>
          <w:szCs w:val="20"/>
          <w:color w:val="auto"/>
        </w:rPr>
      </w:pPr>
      <w:r>
        <w:rPr>
          <w:rFonts w:ascii="Verdana" w:cs="Verdana" w:eastAsia="Verdana" w:hAnsi="Verdana"/>
          <w:sz w:val="12"/>
          <w:szCs w:val="12"/>
          <w:color w:val="auto"/>
        </w:rPr>
        <w:t>Registration Statement Nos. 333-</w:t>
      </w:r>
    </w:p>
    <w:p>
      <w:pPr>
        <w:spacing w:after="0" w:line="3" w:lineRule="exact"/>
        <w:rPr>
          <w:sz w:val="24"/>
          <w:szCs w:val="24"/>
          <w:color w:val="auto"/>
        </w:rPr>
      </w:pPr>
    </w:p>
    <w:p>
      <w:pPr>
        <w:jc w:val="right"/>
        <w:spacing w:after="0"/>
        <w:rPr>
          <w:sz w:val="20"/>
          <w:szCs w:val="20"/>
          <w:color w:val="auto"/>
        </w:rPr>
      </w:pPr>
      <w:r>
        <w:rPr>
          <w:rFonts w:ascii="Verdana" w:cs="Verdana" w:eastAsia="Verdana" w:hAnsi="Verdana"/>
          <w:sz w:val="13"/>
          <w:szCs w:val="13"/>
          <w:color w:val="auto"/>
        </w:rPr>
        <w:t>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-222250</wp:posOffset>
            </wp:positionH>
            <wp:positionV relativeFrom="paragraph">
              <wp:posOffset>-1905</wp:posOffset>
            </wp:positionV>
            <wp:extent cx="15684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368935"/>
                    </a:xfrm>
                    <a:prstGeom prst="rect">
                      <a:avLst/>
                    </a:prstGeom>
                    <a:noFill/>
                  </pic:spPr>
                </pic:pic>
              </a:graphicData>
            </a:graphic>
          </wp:anchor>
        </w:drawing>
      </w:r>
    </w:p>
    <w:p>
      <w:pPr>
        <w:spacing w:after="0" w:line="678" w:lineRule="exact"/>
        <w:rPr>
          <w:sz w:val="24"/>
          <w:szCs w:val="24"/>
          <w:color w:val="auto"/>
        </w:rPr>
      </w:pPr>
    </w:p>
    <w:p>
      <w:pPr>
        <w:sectPr>
          <w:pgSz w:w="11900" w:h="16838" w:orient="portrait"/>
          <w:cols w:equalWidth="0" w:num="2">
            <w:col w:w="8400" w:space="720"/>
            <w:col w:w="2120"/>
          </w:cols>
          <w:pgMar w:left="320" w:top="233" w:right="339" w:bottom="1440" w:gutter="0" w:footer="0" w:header="0"/>
        </w:sectPr>
      </w:pPr>
    </w:p>
    <w:p>
      <w:pPr>
        <w:ind w:left="60"/>
        <w:spacing w:after="0"/>
        <w:rPr>
          <w:sz w:val="20"/>
          <w:szCs w:val="20"/>
          <w:color w:val="auto"/>
        </w:rPr>
      </w:pPr>
      <w:r>
        <w:rPr>
          <w:rFonts w:ascii="Verdana" w:cs="Verdana" w:eastAsia="Verdana" w:hAnsi="Verdana"/>
          <w:sz w:val="18"/>
          <w:szCs w:val="18"/>
          <w:color w:val="FFFFFF"/>
        </w:rPr>
        <w:t>Market Linked Notes — Auto-Callable with Principal Return at Maturity</w:t>
      </w:r>
    </w:p>
    <w:p>
      <w:pPr>
        <w:spacing w:after="0" w:line="105" w:lineRule="exact"/>
        <w:rPr>
          <w:sz w:val="24"/>
          <w:szCs w:val="24"/>
          <w:color w:val="auto"/>
        </w:rPr>
      </w:pPr>
    </w:p>
    <w:p>
      <w:pPr>
        <w:ind w:left="60" w:right="240"/>
        <w:spacing w:after="0" w:line="245" w:lineRule="auto"/>
        <w:rPr>
          <w:sz w:val="20"/>
          <w:szCs w:val="20"/>
          <w:color w:val="auto"/>
        </w:rPr>
      </w:pPr>
      <w:r>
        <w:rPr>
          <w:rFonts w:ascii="Verdana" w:cs="Verdana" w:eastAsia="Verdana" w:hAnsi="Verdana"/>
          <w:sz w:val="18"/>
          <w:szCs w:val="18"/>
          <w:color w:val="FFFFFF"/>
        </w:rPr>
        <w:t>Notes Linked to the Lowest Performing of the Class A Common Stock of Palantir Technologies Inc., the Common Stock of Advanced Micro Devices, Inc. and the Class A Common Stock of Datadog, Inc. due July 8, 2031 Fact Sheet dated July 1, 2026 to Preliminary Pricing Supplement dated July 1, 2026</w:t>
      </w:r>
    </w:p>
    <w:p>
      <w:pPr>
        <w:sectPr>
          <w:pgSz w:w="11900" w:h="16838" w:orient="portrait"/>
          <w:cols w:equalWidth="0" w:num="1">
            <w:col w:w="11240"/>
          </w:cols>
          <w:pgMar w:left="320" w:top="233" w:right="339" w:bottom="1440" w:gutter="0" w:footer="0" w:header="0"/>
          <w:type w:val="continuous"/>
        </w:sectPr>
      </w:pPr>
    </w:p>
    <w:p>
      <w:pPr>
        <w:spacing w:after="0" w:line="86" w:lineRule="exact"/>
        <w:rPr>
          <w:sz w:val="24"/>
          <w:szCs w:val="24"/>
          <w:color w:val="auto"/>
        </w:rPr>
      </w:pPr>
    </w:p>
    <w:p>
      <w:pPr>
        <w:ind w:left="80"/>
        <w:spacing w:after="0"/>
        <w:rPr>
          <w:sz w:val="20"/>
          <w:szCs w:val="20"/>
          <w:color w:val="auto"/>
        </w:rPr>
      </w:pPr>
      <w:r>
        <w:rPr>
          <w:rFonts w:ascii="Verdana" w:cs="Verdana" w:eastAsia="Verdana" w:hAnsi="Verdana"/>
          <w:sz w:val="23"/>
          <w:szCs w:val="23"/>
          <w:color w:val="8F8F8F"/>
        </w:rPr>
        <w:t>Summary of Terms</w:t>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1680" w:type="dxa"/>
            <w:vAlign w:val="bottom"/>
            <w:tcBorders>
              <w:top w:val="single" w:sz="8" w:color="auto"/>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Issuer:</w:t>
            </w:r>
          </w:p>
        </w:tc>
        <w:tc>
          <w:tcPr>
            <w:tcW w:w="60" w:type="dxa"/>
            <w:vAlign w:val="bottom"/>
            <w:tcBorders>
              <w:top w:val="single" w:sz="8" w:color="auto"/>
              <w:bottom w:val="single" w:sz="8" w:color="auto"/>
            </w:tcBorders>
          </w:tcPr>
          <w:p>
            <w:pPr>
              <w:spacing w:after="0"/>
              <w:rPr>
                <w:sz w:val="13"/>
                <w:szCs w:val="13"/>
                <w:color w:val="auto"/>
              </w:rPr>
            </w:pPr>
          </w:p>
        </w:tc>
        <w:tc>
          <w:tcPr>
            <w:tcW w:w="3760" w:type="dxa"/>
            <w:vAlign w:val="bottom"/>
            <w:tcBorders>
              <w:top w:val="single" w:sz="8" w:color="auto"/>
              <w:bottom w:val="single" w:sz="8" w:color="auto"/>
              <w:right w:val="single" w:sz="8" w:color="auto"/>
            </w:tcBorders>
            <w:gridSpan w:val="7"/>
          </w:tcPr>
          <w:p>
            <w:pPr>
              <w:spacing w:after="0" w:line="156" w:lineRule="exact"/>
              <w:rPr>
                <w:sz w:val="20"/>
                <w:szCs w:val="20"/>
                <w:color w:val="auto"/>
              </w:rPr>
            </w:pPr>
            <w:r>
              <w:rPr>
                <w:rFonts w:ascii="Georgia" w:cs="Georgia" w:eastAsia="Georgia" w:hAnsi="Georgia"/>
                <w:sz w:val="14"/>
                <w:szCs w:val="14"/>
                <w:color w:val="auto"/>
              </w:rPr>
              <w:t>JPMorgan Chase Financial Company LLC</w:t>
            </w: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Guarantor:</w:t>
            </w: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line="156" w:lineRule="exact"/>
              <w:rPr>
                <w:sz w:val="20"/>
                <w:szCs w:val="20"/>
                <w:color w:val="auto"/>
              </w:rPr>
            </w:pPr>
            <w:r>
              <w:rPr>
                <w:rFonts w:ascii="Georgia" w:cs="Georgia" w:eastAsia="Georgia" w:hAnsi="Georgia"/>
                <w:sz w:val="14"/>
                <w:szCs w:val="14"/>
                <w:color w:val="auto"/>
              </w:rPr>
              <w:t>JPMorgan Chase &amp; C0.</w:t>
            </w:r>
          </w:p>
        </w:tc>
        <w:tc>
          <w:tcPr>
            <w:tcW w:w="0" w:type="dxa"/>
            <w:vAlign w:val="bottom"/>
          </w:tcPr>
          <w:p>
            <w:pPr>
              <w:spacing w:after="0"/>
              <w:rPr>
                <w:sz w:val="1"/>
                <w:szCs w:val="1"/>
                <w:color w:val="auto"/>
              </w:rPr>
            </w:pPr>
          </w:p>
        </w:tc>
      </w:tr>
      <w:tr>
        <w:trPr>
          <w:trHeight w:val="158"/>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Underlying Stocks:</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The Class A common stock of Palantir Technologies Inc.</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(Bloomberg ticker: PLTR), the common stock of</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Advanced Micro Devices, Inc. (Bloomberg ticker: AMD)</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and the Class A common stock of Datadog, Inc.</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(Bloomberg ticker: DDOG)</w:t>
            </w: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60" w:type="dxa"/>
            <w:vAlign w:val="bottom"/>
            <w:tcBorders>
              <w:bottom w:val="single" w:sz="8" w:color="auto"/>
            </w:tcBorders>
          </w:tcPr>
          <w:p>
            <w:pPr>
              <w:spacing w:after="0"/>
              <w:rPr>
                <w:sz w:val="15"/>
                <w:szCs w:val="15"/>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July 2, 2026</w:t>
            </w: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60" w:type="dxa"/>
            <w:vAlign w:val="bottom"/>
            <w:tcBorders>
              <w:bottom w:val="single" w:sz="8" w:color="auto"/>
            </w:tcBorders>
          </w:tcPr>
          <w:p>
            <w:pPr>
              <w:spacing w:after="0"/>
              <w:rPr>
                <w:sz w:val="15"/>
                <w:szCs w:val="15"/>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July 8, 2026</w:t>
            </w:r>
          </w:p>
        </w:tc>
        <w:tc>
          <w:tcPr>
            <w:tcW w:w="0" w:type="dxa"/>
            <w:vAlign w:val="bottom"/>
          </w:tcPr>
          <w:p>
            <w:pPr>
              <w:spacing w:after="0"/>
              <w:rPr>
                <w:sz w:val="1"/>
                <w:szCs w:val="1"/>
                <w:color w:val="auto"/>
              </w:rPr>
            </w:pPr>
          </w:p>
        </w:tc>
      </w:tr>
      <w:tr>
        <w:trPr>
          <w:trHeight w:val="181"/>
        </w:trPr>
        <w:tc>
          <w:tcPr>
            <w:tcW w:w="1680" w:type="dxa"/>
            <w:vAlign w:val="bottom"/>
            <w:tcBorders>
              <w:left w:val="single" w:sz="8" w:color="auto"/>
              <w:right w:val="single" w:sz="8" w:color="auto"/>
            </w:tcBorders>
          </w:tcPr>
          <w:p>
            <w:pPr>
              <w:ind w:left="100"/>
              <w:spacing w:after="0" w:line="180"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w:t>
            </w:r>
          </w:p>
        </w:tc>
        <w:tc>
          <w:tcPr>
            <w:tcW w:w="60" w:type="dxa"/>
            <w:vAlign w:val="bottom"/>
          </w:tcPr>
          <w:p>
            <w:pPr>
              <w:spacing w:after="0"/>
              <w:rPr>
                <w:sz w:val="15"/>
                <w:szCs w:val="15"/>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July 8, 2031</w:t>
            </w:r>
          </w:p>
        </w:tc>
        <w:tc>
          <w:tcPr>
            <w:tcW w:w="0" w:type="dxa"/>
            <w:vAlign w:val="bottom"/>
          </w:tcPr>
          <w:p>
            <w:pPr>
              <w:spacing w:after="0"/>
              <w:rPr>
                <w:sz w:val="1"/>
                <w:szCs w:val="1"/>
                <w:color w:val="auto"/>
              </w:rPr>
            </w:pPr>
          </w:p>
        </w:tc>
      </w:tr>
      <w:tr>
        <w:trPr>
          <w:trHeight w:val="191"/>
        </w:trPr>
        <w:tc>
          <w:tcPr>
            <w:tcW w:w="1680" w:type="dxa"/>
            <w:vAlign w:val="bottom"/>
            <w:tcBorders>
              <w:left w:val="single" w:sz="8" w:color="auto"/>
              <w:bottom w:val="single" w:sz="8" w:color="auto"/>
              <w:right w:val="single" w:sz="8" w:color="auto"/>
            </w:tcBorders>
          </w:tcPr>
          <w:p>
            <w:pPr>
              <w:ind w:left="100"/>
              <w:spacing w:after="0" w:line="191" w:lineRule="exact"/>
              <w:rPr>
                <w:sz w:val="20"/>
                <w:szCs w:val="20"/>
                <w:color w:val="auto"/>
              </w:rPr>
            </w:pPr>
            <w:r>
              <w:rPr>
                <w:rFonts w:ascii="Georgia" w:cs="Georgia" w:eastAsia="Georgia" w:hAnsi="Georgia"/>
                <w:sz w:val="10"/>
                <w:szCs w:val="10"/>
                <w:color w:val="auto"/>
              </w:rPr>
              <w:t>2</w:t>
            </w:r>
            <w:r>
              <w:rPr>
                <w:rFonts w:ascii="Georgia" w:cs="Georgia" w:eastAsia="Georgia" w:hAnsi="Georgia"/>
                <w:sz w:val="22"/>
                <w:szCs w:val="22"/>
                <w:color w:val="auto"/>
                <w:vertAlign w:val="subscript"/>
              </w:rPr>
              <w:t>:</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8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Principal Amount:</w:t>
            </w: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line="156" w:lineRule="exact"/>
              <w:rPr>
                <w:sz w:val="20"/>
                <w:szCs w:val="20"/>
                <w:color w:val="auto"/>
              </w:rPr>
            </w:pPr>
            <w:r>
              <w:rPr>
                <w:rFonts w:ascii="Georgia" w:cs="Georgia" w:eastAsia="Georgia" w:hAnsi="Georgia"/>
                <w:sz w:val="14"/>
                <w:szCs w:val="14"/>
                <w:color w:val="auto"/>
              </w:rPr>
              <w:t>$1,000 per note (100% of par)</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Automatic Call:</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If the stock closing price of the lowest performing</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Underlying Stock on any call date is greater than or equal</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to its starting price, the notes will be automatically called</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 xml:space="preserve">for the principal amount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call premium</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applicable to that call date. See “Call Dates and Call</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Premiums” on page 2.</w:t>
            </w:r>
          </w:p>
        </w:tc>
        <w:tc>
          <w:tcPr>
            <w:tcW w:w="0" w:type="dxa"/>
            <w:vAlign w:val="bottom"/>
          </w:tcPr>
          <w:p>
            <w:pPr>
              <w:spacing w:after="0"/>
              <w:rPr>
                <w:sz w:val="1"/>
                <w:szCs w:val="1"/>
                <w:color w:val="auto"/>
              </w:rPr>
            </w:pPr>
          </w:p>
        </w:tc>
      </w:tr>
      <w:tr>
        <w:trPr>
          <w:trHeight w:val="169"/>
        </w:trPr>
        <w:tc>
          <w:tcPr>
            <w:tcW w:w="1680" w:type="dxa"/>
            <w:vAlign w:val="bottom"/>
            <w:tcBorders>
              <w:left w:val="single" w:sz="8" w:color="auto"/>
              <w:right w:val="single" w:sz="8" w:color="auto"/>
            </w:tcBorders>
          </w:tcPr>
          <w:p>
            <w:pPr>
              <w:ind w:left="100"/>
              <w:spacing w:after="0" w:line="169" w:lineRule="exact"/>
              <w:rPr>
                <w:sz w:val="20"/>
                <w:szCs w:val="20"/>
                <w:color w:val="auto"/>
              </w:rPr>
            </w:pPr>
            <w:r>
              <w:rPr>
                <w:rFonts w:ascii="Georgia" w:cs="Georgia" w:eastAsia="Georgia" w:hAnsi="Georgia"/>
                <w:sz w:val="12"/>
                <w:szCs w:val="12"/>
                <w:color w:val="auto"/>
              </w:rPr>
              <w:t>Call Dates</w:t>
            </w:r>
            <w:r>
              <w:rPr>
                <w:rFonts w:ascii="Georgia" w:cs="Georgia" w:eastAsia="Georgia" w:hAnsi="Georgia"/>
                <w:sz w:val="19"/>
                <w:szCs w:val="19"/>
                <w:color w:val="auto"/>
                <w:vertAlign w:val="superscript"/>
              </w:rPr>
              <w:t>1, 2</w:t>
            </w:r>
            <w:r>
              <w:rPr>
                <w:rFonts w:ascii="Georgia" w:cs="Georgia" w:eastAsia="Georgia" w:hAnsi="Georgia"/>
                <w:sz w:val="12"/>
                <w:szCs w:val="12"/>
                <w:color w:val="auto"/>
              </w:rPr>
              <w:t xml:space="preserve"> and Call</w:t>
            </w: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The call premium applicable to each call date will be a</w:t>
            </w:r>
          </w:p>
        </w:tc>
        <w:tc>
          <w:tcPr>
            <w:tcW w:w="0" w:type="dxa"/>
            <w:vAlign w:val="bottom"/>
          </w:tcPr>
          <w:p>
            <w:pPr>
              <w:spacing w:after="0"/>
              <w:rPr>
                <w:sz w:val="1"/>
                <w:szCs w:val="1"/>
                <w:color w:val="auto"/>
              </w:rPr>
            </w:pPr>
          </w:p>
        </w:tc>
      </w:tr>
      <w:tr>
        <w:trPr>
          <w:trHeight w:val="152"/>
        </w:trPr>
        <w:tc>
          <w:tcPr>
            <w:tcW w:w="1680" w:type="dxa"/>
            <w:vAlign w:val="bottom"/>
            <w:tcBorders>
              <w:left w:val="single" w:sz="8" w:color="auto"/>
              <w:right w:val="single" w:sz="8" w:color="auto"/>
            </w:tcBorders>
            <w:vMerge w:val="restart"/>
          </w:tcPr>
          <w:p>
            <w:pPr>
              <w:ind w:left="100"/>
              <w:spacing w:after="0"/>
              <w:rPr>
                <w:sz w:val="20"/>
                <w:szCs w:val="20"/>
                <w:color w:val="auto"/>
              </w:rPr>
            </w:pPr>
            <w:r>
              <w:rPr>
                <w:rFonts w:ascii="Georgia" w:cs="Georgia" w:eastAsia="Georgia" w:hAnsi="Georgia"/>
                <w:sz w:val="14"/>
                <w:szCs w:val="14"/>
                <w:color w:val="auto"/>
              </w:rPr>
              <w:t>Premiums:</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line="152" w:lineRule="exact"/>
              <w:rPr>
                <w:sz w:val="20"/>
                <w:szCs w:val="20"/>
                <w:color w:val="auto"/>
              </w:rPr>
            </w:pPr>
            <w:r>
              <w:rPr>
                <w:rFonts w:ascii="Georgia" w:cs="Georgia" w:eastAsia="Georgia" w:hAnsi="Georgia"/>
                <w:sz w:val="14"/>
                <w:szCs w:val="14"/>
                <w:color w:val="auto"/>
              </w:rPr>
              <w:t>percentage of the principal amount that increases for</w:t>
            </w:r>
          </w:p>
        </w:tc>
        <w:tc>
          <w:tcPr>
            <w:tcW w:w="0" w:type="dxa"/>
            <w:vAlign w:val="bottom"/>
          </w:tcPr>
          <w:p>
            <w:pPr>
              <w:spacing w:after="0"/>
              <w:rPr>
                <w:sz w:val="1"/>
                <w:szCs w:val="1"/>
                <w:color w:val="auto"/>
              </w:rPr>
            </w:pPr>
          </w:p>
        </w:tc>
      </w:tr>
      <w:tr>
        <w:trPr>
          <w:trHeight w:val="40"/>
        </w:trPr>
        <w:tc>
          <w:tcPr>
            <w:tcW w:w="1680" w:type="dxa"/>
            <w:vAlign w:val="bottom"/>
            <w:tcBorders>
              <w:left w:val="single" w:sz="8" w:color="auto"/>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tcBorders>
              <w:right w:val="single" w:sz="8" w:color="auto"/>
            </w:tcBorders>
            <w:gridSpan w:val="7"/>
            <w:vMerge w:val="restart"/>
          </w:tcPr>
          <w:p>
            <w:pPr>
              <w:spacing w:after="0"/>
              <w:rPr>
                <w:sz w:val="20"/>
                <w:szCs w:val="20"/>
                <w:color w:val="auto"/>
              </w:rPr>
            </w:pPr>
            <w:r>
              <w:rPr>
                <w:rFonts w:ascii="Georgia" w:cs="Georgia" w:eastAsia="Georgia" w:hAnsi="Georgia"/>
                <w:sz w:val="14"/>
                <w:szCs w:val="14"/>
                <w:color w:val="auto"/>
              </w:rPr>
              <w:t>each call date based on a simple (non-compounding)</w:t>
            </w:r>
          </w:p>
        </w:tc>
        <w:tc>
          <w:tcPr>
            <w:tcW w:w="0" w:type="dxa"/>
            <w:vAlign w:val="bottom"/>
          </w:tcPr>
          <w:p>
            <w:pPr>
              <w:spacing w:after="0"/>
              <w:rPr>
                <w:sz w:val="1"/>
                <w:szCs w:val="1"/>
                <w:color w:val="auto"/>
              </w:rPr>
            </w:pPr>
          </w:p>
        </w:tc>
      </w:tr>
      <w:tr>
        <w:trPr>
          <w:trHeight w:val="121"/>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tcBorders>
              <w:right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return of approximately at least 13.80% per annum. See</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“Call Dates and Call Premiums” on page 2.</w:t>
            </w:r>
          </w:p>
        </w:tc>
        <w:tc>
          <w:tcPr>
            <w:tcW w:w="0" w:type="dxa"/>
            <w:vAlign w:val="bottom"/>
          </w:tcPr>
          <w:p>
            <w:pPr>
              <w:spacing w:after="0"/>
              <w:rPr>
                <w:sz w:val="1"/>
                <w:szCs w:val="1"/>
                <w:color w:val="auto"/>
              </w:rPr>
            </w:pPr>
          </w:p>
        </w:tc>
      </w:tr>
      <w:tr>
        <w:trPr>
          <w:trHeight w:val="169"/>
        </w:trPr>
        <w:tc>
          <w:tcPr>
            <w:tcW w:w="1680" w:type="dxa"/>
            <w:vAlign w:val="bottom"/>
            <w:tcBorders>
              <w:left w:val="single" w:sz="8" w:color="auto"/>
              <w:right w:val="single" w:sz="8" w:color="auto"/>
            </w:tcBorders>
          </w:tcPr>
          <w:p>
            <w:pPr>
              <w:ind w:left="100"/>
              <w:spacing w:after="0" w:line="169" w:lineRule="exact"/>
              <w:rPr>
                <w:sz w:val="20"/>
                <w:szCs w:val="20"/>
                <w:color w:val="auto"/>
              </w:rPr>
            </w:pPr>
            <w:r>
              <w:rPr>
                <w:rFonts w:ascii="Georgia" w:cs="Georgia" w:eastAsia="Georgia" w:hAnsi="Georgia"/>
                <w:sz w:val="12"/>
                <w:szCs w:val="12"/>
                <w:color w:val="auto"/>
              </w:rPr>
              <w:t>Call Settlement Date</w:t>
            </w:r>
            <w:r>
              <w:rPr>
                <w:rFonts w:ascii="Georgia" w:cs="Georgia" w:eastAsia="Georgia" w:hAnsi="Georgia"/>
                <w:sz w:val="19"/>
                <w:szCs w:val="19"/>
                <w:color w:val="auto"/>
                <w:vertAlign w:val="superscript"/>
              </w:rPr>
              <w:t>1, 2</w:t>
            </w:r>
            <w:r>
              <w:rPr>
                <w:rFonts w:ascii="Georgia" w:cs="Georgia" w:eastAsia="Georgia" w:hAnsi="Georgia"/>
                <w:sz w:val="12"/>
                <w:szCs w:val="12"/>
                <w:color w:val="auto"/>
              </w:rPr>
              <w:t>:</w:t>
            </w: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Three business days after the applicable call date,</w:t>
            </w:r>
          </w:p>
        </w:tc>
        <w:tc>
          <w:tcPr>
            <w:tcW w:w="0" w:type="dxa"/>
            <w:vAlign w:val="bottom"/>
          </w:tcPr>
          <w:p>
            <w:pPr>
              <w:spacing w:after="0"/>
              <w:rPr>
                <w:sz w:val="1"/>
                <w:szCs w:val="1"/>
                <w:color w:val="auto"/>
              </w:rPr>
            </w:pPr>
          </w:p>
        </w:tc>
      </w:tr>
      <w:tr>
        <w:trPr>
          <w:trHeight w:val="152"/>
        </w:trPr>
        <w:tc>
          <w:tcPr>
            <w:tcW w:w="1680" w:type="dxa"/>
            <w:vAlign w:val="bottom"/>
            <w:tcBorders>
              <w:left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line="152" w:lineRule="exact"/>
              <w:rPr>
                <w:sz w:val="20"/>
                <w:szCs w:val="20"/>
                <w:color w:val="auto"/>
              </w:rPr>
            </w:pPr>
            <w:r>
              <w:rPr>
                <w:rFonts w:ascii="Georgia" w:cs="Georgia" w:eastAsia="Georgia" w:hAnsi="Georgia"/>
                <w:sz w:val="14"/>
                <w:szCs w:val="14"/>
                <w:i w:val="1"/>
                <w:iCs w:val="1"/>
                <w:color w:val="auto"/>
              </w:rPr>
              <w:t xml:space="preserve">provided </w:t>
            </w:r>
            <w:r>
              <w:rPr>
                <w:rFonts w:ascii="Georgia" w:cs="Georgia" w:eastAsia="Georgia" w:hAnsi="Georgia"/>
                <w:sz w:val="14"/>
                <w:szCs w:val="14"/>
                <w:color w:val="auto"/>
              </w:rPr>
              <w:t>that the call settlement date for the final call</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date is the stated maturity date</w:t>
            </w:r>
          </w:p>
        </w:tc>
        <w:tc>
          <w:tcPr>
            <w:tcW w:w="0" w:type="dxa"/>
            <w:vAlign w:val="bottom"/>
          </w:tcPr>
          <w:p>
            <w:pPr>
              <w:spacing w:after="0"/>
              <w:rPr>
                <w:sz w:val="1"/>
                <w:szCs w:val="1"/>
                <w:color w:val="auto"/>
              </w:rPr>
            </w:pPr>
          </w:p>
        </w:tc>
      </w:tr>
      <w:tr>
        <w:trPr>
          <w:trHeight w:val="158"/>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Maturity Payment</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If the notes are not automatically called, the maturity</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Amount (per note):</w:t>
            </w: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payment amount will equal $1,000.</w:t>
            </w:r>
          </w:p>
        </w:tc>
        <w:tc>
          <w:tcPr>
            <w:tcW w:w="0" w:type="dxa"/>
            <w:vAlign w:val="bottom"/>
          </w:tcPr>
          <w:p>
            <w:pPr>
              <w:spacing w:after="0"/>
              <w:rPr>
                <w:sz w:val="1"/>
                <w:szCs w:val="1"/>
                <w:color w:val="auto"/>
              </w:rPr>
            </w:pPr>
          </w:p>
        </w:tc>
      </w:tr>
      <w:tr>
        <w:trPr>
          <w:trHeight w:val="142"/>
        </w:trPr>
        <w:tc>
          <w:tcPr>
            <w:tcW w:w="1680" w:type="dxa"/>
            <w:vAlign w:val="bottom"/>
            <w:tcBorders>
              <w:left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Lowest Performing</w:t>
            </w:r>
          </w:p>
        </w:tc>
        <w:tc>
          <w:tcPr>
            <w:tcW w:w="60" w:type="dxa"/>
            <w:vAlign w:val="bottom"/>
          </w:tcPr>
          <w:p>
            <w:pPr>
              <w:spacing w:after="0"/>
              <w:rPr>
                <w:sz w:val="12"/>
                <w:szCs w:val="12"/>
                <w:color w:val="auto"/>
              </w:rPr>
            </w:pPr>
          </w:p>
        </w:tc>
        <w:tc>
          <w:tcPr>
            <w:tcW w:w="3760" w:type="dxa"/>
            <w:vAlign w:val="bottom"/>
            <w:tcBorders>
              <w:right w:val="single" w:sz="8" w:color="auto"/>
            </w:tcBorders>
            <w:gridSpan w:val="7"/>
          </w:tcPr>
          <w:p>
            <w:pPr>
              <w:spacing w:after="0" w:line="142" w:lineRule="exact"/>
              <w:rPr>
                <w:sz w:val="20"/>
                <w:szCs w:val="20"/>
                <w:color w:val="auto"/>
              </w:rPr>
            </w:pPr>
            <w:r>
              <w:rPr>
                <w:rFonts w:ascii="Georgia" w:cs="Georgia" w:eastAsia="Georgia" w:hAnsi="Georgia"/>
                <w:sz w:val="14"/>
                <w:szCs w:val="14"/>
                <w:color w:val="auto"/>
              </w:rPr>
              <w:t>For any call date, the “lowest performing Underlying</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Borders>
              <w:left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Underlying Stock:</w:t>
            </w:r>
          </w:p>
        </w:tc>
        <w:tc>
          <w:tcPr>
            <w:tcW w:w="60" w:type="dxa"/>
            <w:vAlign w:val="bottom"/>
          </w:tcPr>
          <w:p>
            <w:pPr>
              <w:spacing w:after="0"/>
              <w:rPr>
                <w:sz w:val="12"/>
                <w:szCs w:val="12"/>
                <w:color w:val="auto"/>
              </w:rPr>
            </w:pPr>
          </w:p>
        </w:tc>
        <w:tc>
          <w:tcPr>
            <w:tcW w:w="3760" w:type="dxa"/>
            <w:vAlign w:val="bottom"/>
            <w:tcBorders>
              <w:right w:val="single" w:sz="8" w:color="auto"/>
            </w:tcBorders>
            <w:gridSpan w:val="7"/>
          </w:tcPr>
          <w:p>
            <w:pPr>
              <w:spacing w:after="0" w:line="142" w:lineRule="exact"/>
              <w:rPr>
                <w:sz w:val="20"/>
                <w:szCs w:val="20"/>
                <w:color w:val="auto"/>
              </w:rPr>
            </w:pPr>
            <w:r>
              <w:rPr>
                <w:rFonts w:ascii="Georgia" w:cs="Georgia" w:eastAsia="Georgia" w:hAnsi="Georgia"/>
                <w:sz w:val="14"/>
                <w:szCs w:val="14"/>
                <w:color w:val="auto"/>
              </w:rPr>
              <w:t>Stock” will be the Underlying Stock with the lowest stock</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line="156" w:lineRule="exact"/>
              <w:rPr>
                <w:sz w:val="20"/>
                <w:szCs w:val="20"/>
                <w:color w:val="auto"/>
              </w:rPr>
            </w:pPr>
            <w:r>
              <w:rPr>
                <w:rFonts w:ascii="Georgia" w:cs="Georgia" w:eastAsia="Georgia" w:hAnsi="Georgia"/>
                <w:sz w:val="14"/>
                <w:szCs w:val="14"/>
                <w:color w:val="auto"/>
              </w:rPr>
              <w:t>return on that call date.</w:t>
            </w:r>
          </w:p>
        </w:tc>
        <w:tc>
          <w:tcPr>
            <w:tcW w:w="0" w:type="dxa"/>
            <w:vAlign w:val="bottom"/>
          </w:tcPr>
          <w:p>
            <w:pPr>
              <w:spacing w:after="0"/>
              <w:rPr>
                <w:sz w:val="1"/>
                <w:szCs w:val="1"/>
                <w:color w:val="auto"/>
              </w:rPr>
            </w:pPr>
          </w:p>
        </w:tc>
      </w:tr>
      <w:tr>
        <w:trPr>
          <w:trHeight w:val="158"/>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Starting Price:</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For each Underlying Stock, its stock closing price on the</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pricing date</w:t>
            </w:r>
          </w:p>
        </w:tc>
        <w:tc>
          <w:tcPr>
            <w:tcW w:w="0" w:type="dxa"/>
            <w:vAlign w:val="bottom"/>
          </w:tcPr>
          <w:p>
            <w:pPr>
              <w:spacing w:after="0"/>
              <w:rPr>
                <w:sz w:val="1"/>
                <w:szCs w:val="1"/>
                <w:color w:val="auto"/>
              </w:rPr>
            </w:pPr>
          </w:p>
        </w:tc>
      </w:tr>
      <w:tr>
        <w:trPr>
          <w:trHeight w:val="158"/>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Ending Price:</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For each Underlying Stock, its stock closing price on the</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final calculation day</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Stock Return:</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For each Underlying Stock on any call date, (stock</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closing price on that call date – starting price) / starting</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price</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Calculation Agent:</w:t>
            </w:r>
          </w:p>
        </w:tc>
        <w:tc>
          <w:tcPr>
            <w:tcW w:w="6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gridSpan w:val="7"/>
          </w:tcPr>
          <w:p>
            <w:pPr>
              <w:spacing w:after="0" w:line="142" w:lineRule="exact"/>
              <w:rPr>
                <w:sz w:val="20"/>
                <w:szCs w:val="20"/>
                <w:color w:val="auto"/>
              </w:rPr>
            </w:pPr>
            <w:r>
              <w:rPr>
                <w:rFonts w:ascii="Georgia" w:cs="Georgia" w:eastAsia="Georgia" w:hAnsi="Georgia"/>
                <w:sz w:val="14"/>
                <w:szCs w:val="14"/>
                <w:color w:val="auto"/>
              </w:rPr>
              <w:t>J.P. Morgan Securities LLC (“JPMS”)</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Denominations:</w:t>
            </w:r>
          </w:p>
        </w:tc>
        <w:tc>
          <w:tcPr>
            <w:tcW w:w="60" w:type="dxa"/>
            <w:vAlign w:val="bottom"/>
            <w:tcBorders>
              <w:bottom w:val="single" w:sz="8" w:color="auto"/>
            </w:tcBorders>
          </w:tcPr>
          <w:p>
            <w:pPr>
              <w:spacing w:after="0"/>
              <w:rPr>
                <w:sz w:val="14"/>
                <w:szCs w:val="14"/>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$1,000 and any integral multiple of $1,000</w:t>
            </w:r>
          </w:p>
        </w:tc>
        <w:tc>
          <w:tcPr>
            <w:tcW w:w="0" w:type="dxa"/>
            <w:vAlign w:val="bottom"/>
          </w:tcPr>
          <w:p>
            <w:pPr>
              <w:spacing w:after="0"/>
              <w:rPr>
                <w:sz w:val="1"/>
                <w:szCs w:val="1"/>
                <w:color w:val="auto"/>
              </w:rPr>
            </w:pPr>
          </w:p>
        </w:tc>
      </w:tr>
      <w:tr>
        <w:trPr>
          <w:trHeight w:val="155"/>
        </w:trPr>
        <w:tc>
          <w:tcPr>
            <w:tcW w:w="168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CUSIP:</w:t>
            </w: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line="156" w:lineRule="exact"/>
              <w:rPr>
                <w:sz w:val="20"/>
                <w:szCs w:val="20"/>
                <w:color w:val="auto"/>
              </w:rPr>
            </w:pPr>
            <w:r>
              <w:rPr>
                <w:rFonts w:ascii="Georgia" w:cs="Georgia" w:eastAsia="Georgia" w:hAnsi="Georgia"/>
                <w:sz w:val="14"/>
                <w:szCs w:val="14"/>
                <w:color w:val="auto"/>
              </w:rPr>
              <w:t>46661CKY1</w:t>
            </w:r>
          </w:p>
        </w:tc>
        <w:tc>
          <w:tcPr>
            <w:tcW w:w="0" w:type="dxa"/>
            <w:vAlign w:val="bottom"/>
          </w:tcPr>
          <w:p>
            <w:pPr>
              <w:spacing w:after="0"/>
              <w:rPr>
                <w:sz w:val="1"/>
                <w:szCs w:val="1"/>
                <w:color w:val="auto"/>
              </w:rPr>
            </w:pPr>
          </w:p>
        </w:tc>
      </w:tr>
      <w:tr>
        <w:trPr>
          <w:trHeight w:val="142"/>
        </w:trPr>
        <w:tc>
          <w:tcPr>
            <w:tcW w:w="1680" w:type="dxa"/>
            <w:vAlign w:val="bottom"/>
            <w:tcBorders>
              <w:left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Fees and</w:t>
            </w:r>
          </w:p>
        </w:tc>
        <w:tc>
          <w:tcPr>
            <w:tcW w:w="60" w:type="dxa"/>
            <w:vAlign w:val="bottom"/>
          </w:tcPr>
          <w:p>
            <w:pPr>
              <w:spacing w:after="0"/>
              <w:rPr>
                <w:sz w:val="12"/>
                <w:szCs w:val="12"/>
                <w:color w:val="auto"/>
              </w:rPr>
            </w:pPr>
          </w:p>
        </w:tc>
        <w:tc>
          <w:tcPr>
            <w:tcW w:w="3760" w:type="dxa"/>
            <w:vAlign w:val="bottom"/>
            <w:tcBorders>
              <w:right w:val="single" w:sz="8" w:color="auto"/>
            </w:tcBorders>
            <w:gridSpan w:val="7"/>
          </w:tcPr>
          <w:p>
            <w:pPr>
              <w:spacing w:after="0" w:line="142" w:lineRule="exact"/>
              <w:rPr>
                <w:sz w:val="20"/>
                <w:szCs w:val="20"/>
                <w:color w:val="auto"/>
              </w:rPr>
            </w:pPr>
            <w:r>
              <w:rPr>
                <w:rFonts w:ascii="Georgia" w:cs="Georgia" w:eastAsia="Georgia" w:hAnsi="Georgia"/>
                <w:sz w:val="14"/>
                <w:szCs w:val="14"/>
                <w:color w:val="auto"/>
              </w:rPr>
              <w:t>Up to 3.325% for Wells Fargo Securities, LLC (“WFS”);</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68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Commissions:</w:t>
            </w: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WFS has advised us that dealers, including Wells Fargo</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760" w:type="dxa"/>
            <w:vAlign w:val="bottom"/>
            <w:tcBorders>
              <w:right w:val="single" w:sz="8" w:color="auto"/>
            </w:tcBorders>
            <w:gridSpan w:val="7"/>
          </w:tcPr>
          <w:p>
            <w:pPr>
              <w:spacing w:after="0" w:line="146" w:lineRule="exact"/>
              <w:rPr>
                <w:sz w:val="20"/>
                <w:szCs w:val="20"/>
                <w:color w:val="auto"/>
              </w:rPr>
            </w:pPr>
            <w:r>
              <w:rPr>
                <w:rFonts w:ascii="Georgia" w:cs="Georgia" w:eastAsia="Georgia" w:hAnsi="Georgia"/>
                <w:sz w:val="14"/>
                <w:szCs w:val="14"/>
                <w:color w:val="auto"/>
              </w:rPr>
              <w:t>Advisors (“WFA”), may receive 2.00% of WFS’s fee, and</w:t>
            </w:r>
          </w:p>
        </w:tc>
        <w:tc>
          <w:tcPr>
            <w:tcW w:w="0" w:type="dxa"/>
            <w:vAlign w:val="bottom"/>
          </w:tcPr>
          <w:p>
            <w:pPr>
              <w:spacing w:after="0"/>
              <w:rPr>
                <w:sz w:val="1"/>
                <w:szCs w:val="1"/>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2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680" w:type="dxa"/>
            <w:vAlign w:val="bottom"/>
            <w:tcBorders>
              <w:left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WFA may also receive a distribution expense fee of</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0.075%. In addition, in respect of certain notes sold in</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this offering, JPMS may pay a fee of up to 0.3% to</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selected dealers in consideration for marketing and other</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tcBorders>
              <w:right w:val="single" w:sz="8" w:color="auto"/>
            </w:tcBorders>
            <w:gridSpan w:val="7"/>
          </w:tcPr>
          <w:p>
            <w:pPr>
              <w:spacing w:after="0"/>
              <w:rPr>
                <w:sz w:val="20"/>
                <w:szCs w:val="20"/>
                <w:color w:val="auto"/>
              </w:rPr>
            </w:pPr>
            <w:r>
              <w:rPr>
                <w:rFonts w:ascii="Georgia" w:cs="Georgia" w:eastAsia="Georgia" w:hAnsi="Georgia"/>
                <w:sz w:val="14"/>
                <w:szCs w:val="14"/>
                <w:color w:val="auto"/>
              </w:rPr>
              <w:t>services in connection with the distribution of the notes</w:t>
            </w:r>
          </w:p>
        </w:tc>
        <w:tc>
          <w:tcPr>
            <w:tcW w:w="0" w:type="dxa"/>
            <w:vAlign w:val="bottom"/>
          </w:tcPr>
          <w:p>
            <w:pPr>
              <w:spacing w:after="0"/>
              <w:rPr>
                <w:sz w:val="1"/>
                <w:szCs w:val="1"/>
                <w:color w:val="auto"/>
              </w:rPr>
            </w:pPr>
          </w:p>
        </w:tc>
      </w:tr>
      <w:tr>
        <w:trPr>
          <w:trHeight w:val="159"/>
        </w:trPr>
        <w:tc>
          <w:tcPr>
            <w:tcW w:w="16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rPr>
                <w:sz w:val="20"/>
                <w:szCs w:val="20"/>
                <w:color w:val="auto"/>
              </w:rPr>
            </w:pPr>
            <w:r>
              <w:rPr>
                <w:rFonts w:ascii="Georgia" w:cs="Georgia" w:eastAsia="Georgia" w:hAnsi="Georgia"/>
                <w:sz w:val="14"/>
                <w:szCs w:val="14"/>
                <w:color w:val="auto"/>
              </w:rPr>
              <w:t>to other dealers.</w:t>
            </w:r>
          </w:p>
        </w:tc>
        <w:tc>
          <w:tcPr>
            <w:tcW w:w="0" w:type="dxa"/>
            <w:vAlign w:val="bottom"/>
          </w:tcPr>
          <w:p>
            <w:pPr>
              <w:spacing w:after="0"/>
              <w:rPr>
                <w:sz w:val="1"/>
                <w:szCs w:val="1"/>
                <w:color w:val="auto"/>
              </w:rPr>
            </w:pPr>
          </w:p>
        </w:tc>
      </w:tr>
      <w:tr>
        <w:trPr>
          <w:trHeight w:val="155"/>
        </w:trPr>
        <w:tc>
          <w:tcPr>
            <w:tcW w:w="168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6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gridSpan w:val="7"/>
          </w:tcPr>
          <w:p>
            <w:pPr>
              <w:spacing w:after="0" w:line="156" w:lineRule="exact"/>
              <w:rPr>
                <w:sz w:val="20"/>
                <w:szCs w:val="20"/>
                <w:color w:val="auto"/>
              </w:rPr>
            </w:pPr>
            <w:r>
              <w:rPr>
                <w:rFonts w:ascii="Georgia" w:cs="Georgia" w:eastAsia="Georgia" w:hAnsi="Georgia"/>
                <w:sz w:val="14"/>
                <w:szCs w:val="14"/>
                <w:color w:val="auto"/>
              </w:rPr>
              <w:t>See the preliminary pricing supplement.</w:t>
            </w:r>
          </w:p>
        </w:tc>
        <w:tc>
          <w:tcPr>
            <w:tcW w:w="0" w:type="dxa"/>
            <w:vAlign w:val="bottom"/>
          </w:tcPr>
          <w:p>
            <w:pPr>
              <w:spacing w:after="0"/>
              <w:rPr>
                <w:sz w:val="1"/>
                <w:szCs w:val="1"/>
                <w:color w:val="auto"/>
              </w:rPr>
            </w:pPr>
          </w:p>
        </w:tc>
      </w:tr>
      <w:tr>
        <w:trPr>
          <w:trHeight w:val="181"/>
        </w:trPr>
        <w:tc>
          <w:tcPr>
            <w:tcW w:w="1680" w:type="dxa"/>
            <w:vAlign w:val="bottom"/>
            <w:tcBorders>
              <w:left w:val="single" w:sz="8" w:color="auto"/>
            </w:tcBorders>
          </w:tcPr>
          <w:p>
            <w:pPr>
              <w:ind w:left="120"/>
              <w:spacing w:after="0" w:line="180"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0"/>
                <w:szCs w:val="10"/>
                <w:color w:val="auto"/>
              </w:rPr>
              <w:t xml:space="preserve"> Subject to change</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80" w:type="dxa"/>
            <w:vAlign w:val="bottom"/>
            <w:tcBorders>
              <w:left w:val="single" w:sz="8" w:color="auto"/>
              <w:bottom w:val="single" w:sz="8" w:color="auto"/>
            </w:tcBorders>
          </w:tcPr>
          <w:p>
            <w:pPr>
              <w:ind w:left="120"/>
              <w:spacing w:after="0" w:line="191" w:lineRule="exact"/>
              <w:rPr>
                <w:sz w:val="20"/>
                <w:szCs w:val="20"/>
                <w:color w:val="auto"/>
              </w:rPr>
            </w:pPr>
            <w:r>
              <w:rPr>
                <w:rFonts w:ascii="Georgia" w:cs="Georgia" w:eastAsia="Georgia" w:hAnsi="Georgia"/>
                <w:sz w:val="22"/>
                <w:szCs w:val="22"/>
                <w:color w:val="auto"/>
                <w:vertAlign w:val="superscript"/>
              </w:rPr>
              <w:t>2</w:t>
            </w:r>
            <w:r>
              <w:rPr>
                <w:rFonts w:ascii="Georgia" w:cs="Georgia" w:eastAsia="Georgia" w:hAnsi="Georgia"/>
                <w:sz w:val="10"/>
                <w:szCs w:val="10"/>
                <w:color w:val="auto"/>
              </w:rPr>
              <w:t xml:space="preserve"> Subject to postponement</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ind w:left="48"/>
        <w:spacing w:after="0"/>
        <w:rPr>
          <w:sz w:val="20"/>
          <w:szCs w:val="20"/>
          <w:color w:val="auto"/>
        </w:rPr>
      </w:pPr>
      <w:r>
        <w:rPr>
          <w:rFonts w:ascii="Verdana" w:cs="Verdana" w:eastAsia="Verdana" w:hAnsi="Verdana"/>
          <w:sz w:val="23"/>
          <w:szCs w:val="23"/>
          <w:color w:val="8F8F8F"/>
        </w:rPr>
        <w:t>Hypothetical Payout Profile*</w:t>
      </w:r>
      <w:r>
        <w:rPr>
          <w:rFonts w:ascii="Verdana" w:cs="Verdana" w:eastAsia="Verdana" w:hAnsi="Verdana"/>
          <w:sz w:val="38"/>
          <w:szCs w:val="38"/>
          <w:b w:val="1"/>
          <w:bCs w:val="1"/>
          <w:color w:val="8F8F8F"/>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-82550</wp:posOffset>
            </wp:positionV>
            <wp:extent cx="2854960" cy="1962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960" cy="1962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8" w:right="160" w:hanging="8"/>
        <w:spacing w:after="0" w:line="248" w:lineRule="auto"/>
        <w:tabs>
          <w:tab w:leader="none" w:pos="111" w:val="left"/>
        </w:tabs>
        <w:numPr>
          <w:ilvl w:val="0"/>
          <w:numId w:val="1"/>
        </w:numPr>
        <w:rPr>
          <w:rFonts w:ascii="Georgia" w:cs="Georgia" w:eastAsia="Georgia" w:hAnsi="Georgia"/>
          <w:sz w:val="14"/>
          <w:szCs w:val="14"/>
          <w:color w:val="auto"/>
        </w:rPr>
      </w:pPr>
      <w:r>
        <w:rPr>
          <w:rFonts w:ascii="Georgia" w:cs="Georgia" w:eastAsia="Georgia" w:hAnsi="Georgia"/>
          <w:sz w:val="14"/>
          <w:szCs w:val="14"/>
          <w:color w:val="auto"/>
        </w:rPr>
        <w:t>Assumes a call premium for each call date equal to the minimum call premium for that call date</w:t>
      </w:r>
    </w:p>
    <w:p>
      <w:pPr>
        <w:spacing w:after="0" w:line="22" w:lineRule="exact"/>
        <w:rPr>
          <w:rFonts w:ascii="Georgia" w:cs="Georgia" w:eastAsia="Georgia" w:hAnsi="Georgia"/>
          <w:sz w:val="14"/>
          <w:szCs w:val="14"/>
          <w:color w:val="auto"/>
        </w:rPr>
      </w:pPr>
    </w:p>
    <w:p>
      <w:pPr>
        <w:ind w:left="8" w:right="80"/>
        <w:spacing w:after="0" w:line="248" w:lineRule="auto"/>
        <w:rPr>
          <w:rFonts w:ascii="Georgia" w:cs="Georgia" w:eastAsia="Georgia" w:hAnsi="Georgia"/>
          <w:sz w:val="14"/>
          <w:szCs w:val="14"/>
          <w:color w:val="auto"/>
        </w:rPr>
      </w:pPr>
      <w:r>
        <w:rPr>
          <w:rFonts w:ascii="Georgia" w:cs="Georgia" w:eastAsia="Georgia" w:hAnsi="Georgia"/>
          <w:sz w:val="14"/>
          <w:szCs w:val="14"/>
          <w:color w:val="auto"/>
        </w:rPr>
        <w:t>† Not all call dates reflected; reflects only the first, twenty-fifth and final call dates for illustrative purposes only</w:t>
      </w:r>
    </w:p>
    <w:p>
      <w:pPr>
        <w:spacing w:after="0" w:line="36" w:lineRule="exact"/>
        <w:rPr>
          <w:sz w:val="24"/>
          <w:szCs w:val="24"/>
          <w:color w:val="auto"/>
        </w:rPr>
      </w:pPr>
    </w:p>
    <w:p>
      <w:pPr>
        <w:ind w:left="68" w:right="40"/>
        <w:spacing w:after="0" w:line="248" w:lineRule="auto"/>
        <w:rPr>
          <w:sz w:val="20"/>
          <w:szCs w:val="20"/>
          <w:color w:val="auto"/>
        </w:rPr>
      </w:pPr>
      <w:r>
        <w:rPr>
          <w:rFonts w:ascii="Georgia" w:cs="Georgia" w:eastAsia="Georgia" w:hAnsi="Georgia"/>
          <w:sz w:val="14"/>
          <w:szCs w:val="14"/>
          <w:b w:val="1"/>
          <w:bCs w:val="1"/>
          <w:color w:val="auto"/>
        </w:rPr>
        <w:t>If the notes are not automatically called, you will not receive any positive return on the notes.</w:t>
      </w:r>
    </w:p>
    <w:p>
      <w:pPr>
        <w:spacing w:after="0" w:line="36" w:lineRule="exact"/>
        <w:rPr>
          <w:sz w:val="24"/>
          <w:szCs w:val="24"/>
          <w:color w:val="auto"/>
        </w:rPr>
      </w:pPr>
    </w:p>
    <w:p>
      <w:pPr>
        <w:ind w:left="68" w:right="380"/>
        <w:spacing w:after="0" w:line="245" w:lineRule="auto"/>
        <w:rPr>
          <w:sz w:val="20"/>
          <w:szCs w:val="20"/>
          <w:color w:val="auto"/>
        </w:rPr>
      </w:pPr>
      <w:r>
        <w:rPr>
          <w:rFonts w:ascii="Georgia" w:cs="Georgia" w:eastAsia="Georgia" w:hAnsi="Georgia"/>
          <w:sz w:val="14"/>
          <w:szCs w:val="14"/>
          <w:b w:val="1"/>
          <w:bCs w:val="1"/>
          <w:color w:val="auto"/>
        </w:rPr>
        <w:t>Any positive return on the notes will be limited to the applicable call premium, even if the stock closing price of the lowest performing Underlying Stock on the applicable call date significantly exceeds its starting price. You will not participate in any appreciation of any Underlying Stock beyond the applicable call premium.</w:t>
      </w:r>
    </w:p>
    <w:p>
      <w:pPr>
        <w:spacing w:after="0" w:line="25" w:lineRule="exact"/>
        <w:rPr>
          <w:sz w:val="24"/>
          <w:szCs w:val="24"/>
          <w:color w:val="auto"/>
        </w:rPr>
      </w:pPr>
    </w:p>
    <w:p>
      <w:pPr>
        <w:ind w:left="68" w:right="60"/>
        <w:spacing w:after="0" w:line="245" w:lineRule="auto"/>
        <w:rPr>
          <w:sz w:val="20"/>
          <w:szCs w:val="20"/>
          <w:color w:val="auto"/>
        </w:rPr>
      </w:pPr>
      <w:r>
        <w:rPr>
          <w:rFonts w:ascii="Georgia" w:cs="Georgia" w:eastAsia="Georgia" w:hAnsi="Georgia"/>
          <w:sz w:val="14"/>
          <w:szCs w:val="14"/>
          <w:color w:val="auto"/>
        </w:rPr>
        <w:t xml:space="preserve">The notes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notes is subject to the credit risk of JPMorgan Financial, as issuer of the notes, and the credit risk of JPMorgan Chase &amp; Co., as guarantor of the notes.</w:t>
      </w:r>
    </w:p>
    <w:p>
      <w:pPr>
        <w:spacing w:after="0" w:line="38" w:lineRule="exact"/>
        <w:rPr>
          <w:sz w:val="24"/>
          <w:szCs w:val="24"/>
          <w:color w:val="auto"/>
        </w:rPr>
      </w:pPr>
    </w:p>
    <w:p>
      <w:pPr>
        <w:ind w:left="68" w:right="60"/>
        <w:spacing w:after="0" w:line="245" w:lineRule="auto"/>
        <w:rPr>
          <w:sz w:val="20"/>
          <w:szCs w:val="20"/>
          <w:color w:val="auto"/>
        </w:rPr>
      </w:pPr>
      <w:r>
        <w:rPr>
          <w:rFonts w:ascii="Georgia" w:cs="Georgia" w:eastAsia="Georgia" w:hAnsi="Georgia"/>
          <w:sz w:val="14"/>
          <w:szCs w:val="14"/>
          <w:color w:val="auto"/>
        </w:rPr>
        <w:t>If the notes priced on the date of the accompanying preliminary pricing supplement, the estimated value of the notes would be approximately $942.80 per security. The estimated value of the notes, when the terms of the notes are set, will be provided in the pricing supplement and will not be less than $910.00 per note. See “The Estimated Value of the Notes” in the preliminary pricing supplement for additional information.</w:t>
      </w:r>
    </w:p>
    <w:p>
      <w:pPr>
        <w:spacing w:after="0" w:line="201" w:lineRule="exact"/>
        <w:rPr>
          <w:sz w:val="24"/>
          <w:szCs w:val="24"/>
          <w:color w:val="auto"/>
        </w:rPr>
      </w:pPr>
    </w:p>
    <w:p>
      <w:pPr>
        <w:ind w:left="68"/>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ind w:left="68"/>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http://www.sec.gov/Archives/edgar/data/19617/000121390026074321/</w:t>
        </w:r>
      </w:hyperlink>
    </w:p>
    <w:p>
      <w:pPr>
        <w:spacing w:after="0" w:line="3" w:lineRule="exact"/>
        <w:rPr>
          <w:sz w:val="24"/>
          <w:szCs w:val="24"/>
          <w:color w:val="auto"/>
        </w:rPr>
      </w:pPr>
    </w:p>
    <w:p>
      <w:pPr>
        <w:ind w:left="68"/>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ea0296720-01_424b2.htm</w:t>
        </w:r>
      </w:hyperlink>
    </w:p>
    <w:p>
      <w:pPr>
        <w:spacing w:after="0" w:line="1609" w:lineRule="exact"/>
        <w:rPr>
          <w:sz w:val="24"/>
          <w:szCs w:val="24"/>
          <w:color w:val="auto"/>
        </w:rPr>
      </w:pPr>
    </w:p>
    <w:p>
      <w:pPr>
        <w:sectPr>
          <w:pgSz w:w="11900" w:h="16838" w:orient="portrait"/>
          <w:cols w:equalWidth="0" w:num="2">
            <w:col w:w="5500" w:space="272"/>
            <w:col w:w="5468"/>
          </w:cols>
          <w:pgMar w:left="320" w:top="233" w:right="339" w:bottom="1440" w:gutter="0" w:footer="0" w:header="0"/>
          <w:type w:val="continuous"/>
        </w:sectPr>
      </w:pPr>
    </w:p>
    <w:p>
      <w:pPr>
        <w:ind w:left="60" w:right="140"/>
        <w:spacing w:after="0" w:line="246" w:lineRule="auto"/>
        <w:rPr>
          <w:sz w:val="20"/>
          <w:szCs w:val="20"/>
          <w:color w:val="auto"/>
        </w:rPr>
      </w:pPr>
      <w:r>
        <w:rPr>
          <w:rFonts w:ascii="Georgia" w:cs="Georgia" w:eastAsia="Georgia" w:hAnsi="Georgia"/>
          <w:sz w:val="14"/>
          <w:szCs w:val="14"/>
          <w:b w:val="1"/>
          <w:bCs w:val="1"/>
          <w:color w:val="auto"/>
        </w:rPr>
        <w:t>The notes have complex features and investing in the notes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24" w:lineRule="exact"/>
        <w:rPr>
          <w:sz w:val="24"/>
          <w:szCs w:val="24"/>
          <w:color w:val="auto"/>
        </w:rPr>
      </w:pPr>
    </w:p>
    <w:p>
      <w:pPr>
        <w:ind w:left="60" w:right="100"/>
        <w:spacing w:after="0" w:line="248" w:lineRule="auto"/>
        <w:rPr>
          <w:sz w:val="20"/>
          <w:szCs w:val="20"/>
          <w:color w:val="auto"/>
        </w:rPr>
      </w:pPr>
      <w:r>
        <w:rPr>
          <w:rFonts w:ascii="Georgia" w:cs="Georgia" w:eastAsia="Georgia" w:hAnsi="Georgia"/>
          <w:sz w:val="14"/>
          <w:szCs w:val="14"/>
          <w:i w:val="1"/>
          <w:iCs w:val="1"/>
          <w:color w:val="auto"/>
        </w:rPr>
        <w:t>The notes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38100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56" w:lineRule="exact"/>
        <w:rPr>
          <w:sz w:val="24"/>
          <w:szCs w:val="24"/>
          <w:color w:val="auto"/>
        </w:rPr>
      </w:pPr>
    </w:p>
    <w:p>
      <w:pPr>
        <w:ind w:left="60" w:right="800"/>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prospectus supplement and product supplement</w:t>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Call Dates and Call Premiums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Georgia" w:cs="Georgia" w:eastAsia="Georgia" w:hAnsi="Georgia"/>
                <w:sz w:val="16"/>
                <w:szCs w:val="16"/>
                <w:b w:val="1"/>
                <w:bCs w:val="1"/>
                <w:color w:val="auto"/>
              </w:rPr>
              <w:t>Call Date</w:t>
            </w:r>
          </w:p>
        </w:tc>
        <w:tc>
          <w:tcPr>
            <w:tcW w:w="3600" w:type="dxa"/>
            <w:vAlign w:val="bottom"/>
            <w:tcBorders>
              <w:top w:val="single" w:sz="8" w:color="auto"/>
              <w:bottom w:val="single" w:sz="8" w:color="auto"/>
              <w:right w:val="single" w:sz="8" w:color="auto"/>
            </w:tcBorders>
            <w:shd w:val="clear" w:color="auto" w:fill="D9D9D9"/>
          </w:tcPr>
          <w:p>
            <w:pPr>
              <w:jc w:val="center"/>
              <w:spacing w:after="0" w:line="243" w:lineRule="exact"/>
              <w:rPr>
                <w:sz w:val="20"/>
                <w:szCs w:val="20"/>
                <w:color w:val="auto"/>
              </w:rPr>
            </w:pPr>
            <w:r>
              <w:rPr>
                <w:rFonts w:ascii="Georgia" w:cs="Georgia" w:eastAsia="Georgia" w:hAnsi="Georgia"/>
                <w:sz w:val="16"/>
                <w:szCs w:val="16"/>
                <w:b w:val="1"/>
                <w:bCs w:val="1"/>
                <w:color w:val="auto"/>
                <w:w w:val="99"/>
              </w:rPr>
              <w:t>Call Premium</w:t>
            </w:r>
            <w:r>
              <w:rPr>
                <w:rFonts w:ascii="Georgia" w:cs="Georgia" w:eastAsia="Georgia" w:hAnsi="Georgia"/>
                <w:sz w:val="26"/>
                <w:szCs w:val="26"/>
                <w:b w:val="1"/>
                <w:bCs w:val="1"/>
                <w:color w:val="auto"/>
                <w:w w:val="99"/>
                <w:vertAlign w:val="superscript"/>
              </w:rPr>
              <w:t>†</w:t>
            </w:r>
          </w:p>
        </w:tc>
        <w:tc>
          <w:tcPr>
            <w:tcW w:w="22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Georgia" w:cs="Georgia" w:eastAsia="Georgia" w:hAnsi="Georgia"/>
                <w:sz w:val="16"/>
                <w:szCs w:val="16"/>
                <w:b w:val="1"/>
                <w:bCs w:val="1"/>
                <w:color w:val="auto"/>
              </w:rPr>
              <w:t>Call Date</w:t>
            </w:r>
          </w:p>
        </w:tc>
        <w:tc>
          <w:tcPr>
            <w:tcW w:w="3460" w:type="dxa"/>
            <w:vAlign w:val="bottom"/>
            <w:tcBorders>
              <w:top w:val="single" w:sz="8" w:color="auto"/>
              <w:bottom w:val="single" w:sz="8" w:color="auto"/>
              <w:right w:val="single" w:sz="8" w:color="auto"/>
            </w:tcBorders>
            <w:shd w:val="clear" w:color="auto" w:fill="D9D9D9"/>
          </w:tcPr>
          <w:p>
            <w:pPr>
              <w:jc w:val="center"/>
              <w:spacing w:after="0" w:line="243" w:lineRule="exact"/>
              <w:rPr>
                <w:sz w:val="20"/>
                <w:szCs w:val="20"/>
                <w:color w:val="auto"/>
              </w:rPr>
            </w:pPr>
            <w:r>
              <w:rPr>
                <w:rFonts w:ascii="Georgia" w:cs="Georgia" w:eastAsia="Georgia" w:hAnsi="Georgia"/>
                <w:sz w:val="16"/>
                <w:szCs w:val="16"/>
                <w:b w:val="1"/>
                <w:bCs w:val="1"/>
                <w:color w:val="auto"/>
                <w:w w:val="98"/>
              </w:rPr>
              <w:t>Call Premium</w:t>
            </w:r>
            <w:r>
              <w:rPr>
                <w:rFonts w:ascii="Georgia" w:cs="Georgia" w:eastAsia="Georgia" w:hAnsi="Georgia"/>
                <w:sz w:val="26"/>
                <w:szCs w:val="26"/>
                <w:b w:val="1"/>
                <w:bCs w:val="1"/>
                <w:color w:val="auto"/>
                <w:w w:val="98"/>
                <w:vertAlign w:val="superscript"/>
              </w:rPr>
              <w:t>†</w:t>
            </w: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July 8, 2027</w:t>
            </w:r>
          </w:p>
        </w:tc>
        <w:tc>
          <w:tcPr>
            <w:tcW w:w="3600" w:type="dxa"/>
            <w:vAlign w:val="bottom"/>
            <w:tcBorders>
              <w:bottom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13.80% of the principal amount</w:t>
            </w:r>
          </w:p>
        </w:tc>
        <w:tc>
          <w:tcPr>
            <w:tcW w:w="2240" w:type="dxa"/>
            <w:vAlign w:val="bottom"/>
            <w:tcBorders>
              <w:bottom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August 8, 2029</w:t>
            </w:r>
          </w:p>
        </w:tc>
        <w:tc>
          <w:tcPr>
            <w:tcW w:w="3460" w:type="dxa"/>
            <w:vAlign w:val="bottom"/>
            <w:tcBorders>
              <w:bottom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42.55% of the principal amount</w:t>
            </w:r>
          </w:p>
        </w:tc>
        <w:tc>
          <w:tcPr>
            <w:tcW w:w="0" w:type="dxa"/>
            <w:vAlign w:val="bottom"/>
          </w:tcPr>
          <w:p>
            <w:pPr>
              <w:spacing w:after="0"/>
              <w:rPr>
                <w:sz w:val="1"/>
                <w:szCs w:val="1"/>
                <w:color w:val="auto"/>
              </w:rPr>
            </w:pPr>
          </w:p>
        </w:tc>
      </w:tr>
      <w:tr>
        <w:trPr>
          <w:trHeight w:val="182"/>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August 9, 2027</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14.95%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September 10, 2029</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43.70%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September 8, 2027</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16.10%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October 8, 2029</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44.85%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October 8, 2027</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17.25%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November 8, 2029</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46.00%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November 8, 2027</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18.40%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December 10, 2029</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47.15%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December 8, 2027</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19.55%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January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48.30%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January 10,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20.70%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February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49.45%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February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21.85%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March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50.60%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March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23.00%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April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51.75%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April 10,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24.15%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May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52.90%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May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25.30%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June 10,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54.05% of the principal amount</w:t>
            </w:r>
          </w:p>
        </w:tc>
        <w:tc>
          <w:tcPr>
            <w:tcW w:w="0" w:type="dxa"/>
            <w:vAlign w:val="bottom"/>
          </w:tcPr>
          <w:p>
            <w:pPr>
              <w:spacing w:after="0"/>
              <w:rPr>
                <w:sz w:val="1"/>
                <w:szCs w:val="1"/>
                <w:color w:val="auto"/>
              </w:rPr>
            </w:pPr>
          </w:p>
        </w:tc>
      </w:tr>
      <w:tr>
        <w:trPr>
          <w:trHeight w:val="182"/>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June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26.45%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July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55.20%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July 10,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27.60%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August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56.35%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August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28.75%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September 9,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57.50%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September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29.90%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October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58.65%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October 9,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31.05%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November 8,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59.80%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November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32.20%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December 9, 2030</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60.95%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December 8, 2028</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33.35%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January 8, 2031</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62.10%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January 8, 2029</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34.50%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February 10, 2031</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63.25%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February 8, 2029</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35.65%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March 10, 2031</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64.40%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March 8, 2029</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36.80%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April 8, 2031</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65.55%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April 9, 2029</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37.95%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May 8, 2031</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66.70% of the principal amount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May 8, 2029</w:t>
            </w:r>
          </w:p>
        </w:tc>
        <w:tc>
          <w:tcPr>
            <w:tcW w:w="360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39.10% of the principal amount</w:t>
            </w:r>
          </w:p>
        </w:tc>
        <w:tc>
          <w:tcPr>
            <w:tcW w:w="224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June 9, 2031</w:t>
            </w:r>
          </w:p>
        </w:tc>
        <w:tc>
          <w:tcPr>
            <w:tcW w:w="346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At least 67.85% of the principal amount</w:t>
            </w: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Georgia" w:cs="Georgia" w:eastAsia="Georgia" w:hAnsi="Georgia"/>
                <w:sz w:val="16"/>
                <w:szCs w:val="16"/>
                <w:color w:val="auto"/>
              </w:rPr>
              <w:t>June 8, 2029</w:t>
            </w:r>
          </w:p>
        </w:tc>
        <w:tc>
          <w:tcPr>
            <w:tcW w:w="360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6"/>
                <w:szCs w:val="16"/>
                <w:color w:val="auto"/>
              </w:rPr>
              <w:t>At least 40.25% of the principal amount</w:t>
            </w:r>
          </w:p>
        </w:tc>
        <w:tc>
          <w:tcPr>
            <w:tcW w:w="224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July 2, 2031</w:t>
            </w:r>
          </w:p>
        </w:tc>
        <w:tc>
          <w:tcPr>
            <w:tcW w:w="346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6"/>
                <w:szCs w:val="16"/>
                <w:color w:val="auto"/>
              </w:rPr>
              <w:t>At least 69.00% of the principal amount</w:t>
            </w:r>
          </w:p>
        </w:tc>
        <w:tc>
          <w:tcPr>
            <w:tcW w:w="0" w:type="dxa"/>
            <w:vAlign w:val="bottom"/>
          </w:tcPr>
          <w:p>
            <w:pPr>
              <w:spacing w:after="0"/>
              <w:rPr>
                <w:sz w:val="1"/>
                <w:szCs w:val="1"/>
                <w:color w:val="auto"/>
              </w:rPr>
            </w:pPr>
          </w:p>
        </w:tc>
      </w:tr>
      <w:tr>
        <w:trPr>
          <w:trHeight w:val="94"/>
        </w:trPr>
        <w:tc>
          <w:tcPr>
            <w:tcW w:w="1940" w:type="dxa"/>
            <w:vAlign w:val="bottom"/>
            <w:tcBorders>
              <w:left w:val="single" w:sz="8" w:color="auto"/>
              <w:right w:val="single" w:sz="8" w:color="auto"/>
            </w:tcBorders>
            <w:vMerge w:val="continue"/>
          </w:tcPr>
          <w:p>
            <w:pPr>
              <w:spacing w:after="0"/>
              <w:rPr>
                <w:sz w:val="8"/>
                <w:szCs w:val="8"/>
                <w:color w:val="auto"/>
              </w:rPr>
            </w:pPr>
          </w:p>
        </w:tc>
        <w:tc>
          <w:tcPr>
            <w:tcW w:w="360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6"/>
                <w:szCs w:val="16"/>
                <w:color w:val="auto"/>
              </w:rPr>
              <w:t>(the “final calculation day”)</w:t>
            </w:r>
          </w:p>
        </w:tc>
        <w:tc>
          <w:tcPr>
            <w:tcW w:w="3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940" w:type="dxa"/>
            <w:vAlign w:val="bottom"/>
            <w:tcBorders>
              <w:left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July 9, 2029</w:t>
            </w:r>
          </w:p>
        </w:tc>
        <w:tc>
          <w:tcPr>
            <w:tcW w:w="3600" w:type="dxa"/>
            <w:vAlign w:val="bottom"/>
            <w:tcBorders>
              <w:right w:val="single" w:sz="8" w:color="auto"/>
            </w:tcBorders>
          </w:tcPr>
          <w:p>
            <w:pPr>
              <w:jc w:val="center"/>
              <w:spacing w:after="0"/>
              <w:rPr>
                <w:sz w:val="20"/>
                <w:szCs w:val="20"/>
                <w:color w:val="auto"/>
              </w:rPr>
            </w:pPr>
            <w:r>
              <w:rPr>
                <w:rFonts w:ascii="Georgia" w:cs="Georgia" w:eastAsia="Georgia" w:hAnsi="Georgia"/>
                <w:sz w:val="16"/>
                <w:szCs w:val="16"/>
                <w:color w:val="auto"/>
              </w:rPr>
              <w:t>At least 41.40% of the principal amount</w:t>
            </w:r>
          </w:p>
        </w:tc>
        <w:tc>
          <w:tcPr>
            <w:tcW w:w="224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hanging="72"/>
        <w:spacing w:after="0"/>
        <w:tabs>
          <w:tab w:leader="none" w:pos="80" w:val="left"/>
        </w:tabs>
        <w:numPr>
          <w:ilvl w:val="0"/>
          <w:numId w:val="2"/>
        </w:numPr>
        <w:rPr>
          <w:rFonts w:ascii="Georgia" w:cs="Georgia" w:eastAsia="Georgia" w:hAnsi="Georgia"/>
          <w:sz w:val="22"/>
          <w:szCs w:val="22"/>
          <w:color w:val="auto"/>
          <w:vertAlign w:val="superscript"/>
        </w:rPr>
      </w:pPr>
      <w:r>
        <w:rPr>
          <w:rFonts w:ascii="Georgia" w:cs="Georgia" w:eastAsia="Georgia" w:hAnsi="Georgia"/>
          <w:sz w:val="13"/>
          <w:szCs w:val="13"/>
          <w:color w:val="auto"/>
        </w:rPr>
        <w:t>To be provided in the pricing supplement</w:t>
      </w:r>
    </w:p>
    <w:p>
      <w:pPr>
        <w:spacing w:after="0"/>
        <w:rPr>
          <w:sz w:val="20"/>
          <w:szCs w:val="20"/>
          <w:color w:val="auto"/>
        </w:rPr>
      </w:pPr>
      <w:r>
        <w:rPr>
          <w:rFonts w:ascii="Georgia" w:cs="Georgia" w:eastAsia="Georgia" w:hAnsi="Georgia"/>
          <w:sz w:val="25"/>
          <w:szCs w:val="25"/>
          <w:color w:val="8F8F8F"/>
        </w:rPr>
        <w:t>Selected Risk Considerations</w:t>
      </w:r>
    </w:p>
    <w:p>
      <w:pPr>
        <w:spacing w:after="0" w:line="14" w:lineRule="exact"/>
        <w:rPr>
          <w:sz w:val="20"/>
          <w:szCs w:val="20"/>
          <w:color w:val="auto"/>
        </w:rPr>
      </w:pPr>
    </w:p>
    <w:p>
      <w:pPr>
        <w:ind w:right="22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pacing w:after="0" w:line="1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May Not Receive Any Positive Return on the Notes.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Potential Return on the Notes Is Limited to the Call Premium.</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Reinvestment Risk.</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Notes Are Subject to the Credit Risks of JPMorgan Financial and JPMorgan Chase &amp; Co.</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Risks Resulting from the Relationship Between the Underlying Stocks.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Notes Will Be Provided in the Pricing Supplement.</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Notes Are Uncertain, and May Be Adverse to a Holder of the Notes.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Notes Will Be Lower Than the Original Issue Price (Price to Public) of the Notes.</w:t>
      </w:r>
    </w:p>
    <w:p>
      <w:pPr>
        <w:spacing w:after="0" w:line="125"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Notes Does Not Represent Future Values of the Notes and May Differ from Others’ Estimates.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Notes Is Derived by Reference to an Internal Funding Rate.</w:t>
      </w:r>
    </w:p>
    <w:p>
      <w:pPr>
        <w:spacing w:after="0" w:line="19" w:lineRule="exact"/>
        <w:rPr>
          <w:rFonts w:ascii="Arial" w:cs="Arial" w:eastAsia="Arial" w:hAnsi="Arial"/>
          <w:sz w:val="16"/>
          <w:szCs w:val="16"/>
          <w:b w:val="1"/>
          <w:bCs w:val="1"/>
          <w:color w:val="auto"/>
        </w:rPr>
      </w:pPr>
    </w:p>
    <w:p>
      <w:pPr>
        <w:ind w:left="340" w:right="60" w:hanging="332"/>
        <w:spacing w:after="0" w:line="246" w:lineRule="auto"/>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Notes as Published by JPMS (and Which May Be Reflected on Customer Account Statements) May Be Higher Than the Then-Current Estimated Value of the Notes for a Limited Time Period.</w:t>
      </w: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Notes Will Likely Be Lower Than the Original Issue Price of the Notes.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Notes.</w:t>
      </w:r>
    </w:p>
    <w:p>
      <w:pPr>
        <w:spacing w:after="0" w:line="1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Affiliation with Either Underlying Stock Issuer</w:t>
      </w:r>
    </w:p>
    <w:p>
      <w:pPr>
        <w:spacing w:after="0" w:line="57"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Anti-Dilution Protection Is Limited and May Be Discretionary.</w:t>
      </w:r>
    </w:p>
    <w:p>
      <w:pPr>
        <w:spacing w:after="0" w:line="46" w:lineRule="exact"/>
        <w:rPr>
          <w:rFonts w:ascii="Arial" w:cs="Arial" w:eastAsia="Arial" w:hAnsi="Arial"/>
          <w:sz w:val="16"/>
          <w:szCs w:val="16"/>
          <w:b w:val="1"/>
          <w:bCs w:val="1"/>
          <w:color w:val="auto"/>
        </w:rPr>
      </w:pPr>
    </w:p>
    <w:p>
      <w:pPr>
        <w:ind w:left="340" w:right="140" w:hanging="332"/>
        <w:spacing w:after="0" w:line="247" w:lineRule="auto"/>
        <w:tabs>
          <w:tab w:leader="none" w:pos="340" w:val="left"/>
        </w:tabs>
        <w:numPr>
          <w:ilvl w:val="0"/>
          <w:numId w:val="3"/>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Any Positive Return on the Notes Will Depend upon the Performance of Each Underlying Stock and Therefore the Notes Are Subject to Risks Associated with Each Underlying Stock, Each as Discussed in the Accompanying Pricing Supplement and Product Supplement.</w:t>
      </w:r>
    </w:p>
    <w:p>
      <w:pPr>
        <w:spacing w:after="0" w:line="218" w:lineRule="exact"/>
        <w:rPr>
          <w:sz w:val="20"/>
          <w:szCs w:val="20"/>
          <w:color w:val="auto"/>
        </w:rPr>
      </w:pPr>
    </w:p>
    <w:p>
      <w:pPr>
        <w:ind w:right="8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ind w:right="20"/>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74321/ea0296720-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2026-07-02T05:21:56Z</dcterms:created>
  <dcterms:modified xsi:type="dcterms:W3CDTF">2026-07-02T05:21:56Z</dcterms:modified>
</cp:coreProperties>
</file>