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259715</wp:posOffset>
            </wp:positionH>
            <wp:positionV relativeFrom="paragraph">
              <wp:posOffset>-5715</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640" w:space="720"/>
            <w:col w:w="2880"/>
          </w:cols>
          <w:pgMar w:left="320" w:top="239" w:right="339" w:bottom="1008" w:gutter="0" w:footer="0" w:header="0"/>
        </w:sectPr>
      </w:pPr>
    </w:p>
    <w:p>
      <w:pPr>
        <w:spacing w:after="0" w:line="82"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Securities—Auto-Callable with Contingent Coupon and Contingent Downside</w:t>
      </w:r>
    </w:p>
    <w:p>
      <w:pPr>
        <w:spacing w:after="0" w:line="24" w:lineRule="exact"/>
        <w:rPr>
          <w:sz w:val="24"/>
          <w:szCs w:val="24"/>
          <w:color w:val="auto"/>
        </w:rPr>
      </w:pPr>
    </w:p>
    <w:p>
      <w:pPr>
        <w:ind w:left="100" w:right="220"/>
        <w:spacing w:after="0" w:line="244" w:lineRule="auto"/>
        <w:rPr>
          <w:sz w:val="20"/>
          <w:szCs w:val="20"/>
          <w:color w:val="auto"/>
        </w:rPr>
      </w:pPr>
      <w:r>
        <w:rPr>
          <w:rFonts w:ascii="Verdana" w:cs="Verdana" w:eastAsia="Verdana" w:hAnsi="Verdana"/>
          <w:sz w:val="18"/>
          <w:szCs w:val="18"/>
          <w:color w:val="FFFFFF"/>
        </w:rPr>
        <w:t>Principal at Risk Securities Linked to the Lowest Performing of the Class A Ordinary Shares of Nebius Group N.V. and the Common Stock of Advanced Micro Devices, Inc. due October 13, 2028</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October 8, 2025 to Preliminary Pricing Supplement dated October 8, 2025</w:t>
      </w:r>
    </w:p>
    <w:p>
      <w:pPr>
        <w:spacing w:after="0" w:line="10" w:lineRule="exact"/>
        <w:rPr>
          <w:sz w:val="24"/>
          <w:szCs w:val="24"/>
          <w:color w:val="auto"/>
        </w:rPr>
      </w:pPr>
    </w:p>
    <w:p>
      <w:pPr>
        <w:ind w:left="100"/>
        <w:spacing w:after="0"/>
        <w:tabs>
          <w:tab w:leader="none" w:pos="592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1008"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1920" w:type="dxa"/>
            <w:vAlign w:val="bottom"/>
            <w:tcBorders>
              <w:top w:val="single" w:sz="8" w:color="auto"/>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Issuer:</w:t>
            </w:r>
          </w:p>
        </w:tc>
        <w:tc>
          <w:tcPr>
            <w:tcW w:w="80" w:type="dxa"/>
            <w:vAlign w:val="bottom"/>
            <w:tcBorders>
              <w:top w:val="single" w:sz="8" w:color="auto"/>
            </w:tcBorders>
          </w:tcPr>
          <w:p>
            <w:pPr>
              <w:spacing w:after="0"/>
              <w:rPr>
                <w:sz w:val="13"/>
                <w:szCs w:val="13"/>
                <w:color w:val="auto"/>
              </w:rPr>
            </w:pPr>
          </w:p>
        </w:tc>
        <w:tc>
          <w:tcPr>
            <w:tcW w:w="3400" w:type="dxa"/>
            <w:vAlign w:val="bottom"/>
            <w:tcBorders>
              <w:top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JPMorgan Chase Financial Company LLC, a direct,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wholly owned finance subsidiary of JPMorgan</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Chase &amp; Co.</w:t>
            </w: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JPMorgan Chase &amp; Co.</w:t>
            </w:r>
          </w:p>
        </w:tc>
      </w:tr>
      <w:tr>
        <w:trPr>
          <w:trHeight w:val="158"/>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Underlying Stocks:</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The Class A ordinary shares of Nebius Group N.V.</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(Bloomberg ticker: NBIS) and the common stock of</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Advanced Micro Devices, Inc. (Bloomberg ticker:</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AMD)</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October 10, 2025</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October 16, 2025</w:t>
            </w: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October 13, 2028</w:t>
            </w: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On each contingent coupon payment date, you will</w:t>
            </w:r>
          </w:p>
        </w:tc>
      </w:tr>
      <w:tr>
        <w:trPr>
          <w:trHeight w:val="162"/>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Payment:</w:t>
            </w: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receive a contingent coupon payment at a per</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annum rate equal to the contingent coupon rate if,</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 lowest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performing Underlying Stock on the related</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calculation day is greater than or equal to its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threshold price. Each “contingent coupon</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payment,” if any, will be calculated per security as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follows:</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20" w:type="dxa"/>
            <w:vAlign w:val="bottom"/>
            <w:tcBorders>
              <w:bottom w:val="single" w:sz="8" w:color="auto"/>
              <w:right w:val="single" w:sz="8" w:color="auto"/>
            </w:tcBorders>
            <w:gridSpan w:val="4"/>
          </w:tcPr>
          <w:p>
            <w:pPr>
              <w:jc w:val="center"/>
              <w:ind w:right="180"/>
              <w:spacing w:after="0"/>
              <w:rPr>
                <w:sz w:val="20"/>
                <w:szCs w:val="20"/>
                <w:color w:val="auto"/>
              </w:rPr>
            </w:pPr>
            <w:r>
              <w:rPr>
                <w:rFonts w:ascii="Georgia" w:cs="Georgia" w:eastAsia="Georgia" w:hAnsi="Georgia"/>
                <w:sz w:val="14"/>
                <w:szCs w:val="14"/>
                <w:color w:val="auto"/>
              </w:rPr>
              <w:t>($1,000 × contingent coupon rate) / 4.</w:t>
            </w: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Quarterly, on the third business day following each</w:t>
            </w:r>
          </w:p>
        </w:tc>
      </w:tr>
      <w:tr>
        <w:trPr>
          <w:trHeight w:val="172"/>
        </w:trPr>
        <w:tc>
          <w:tcPr>
            <w:tcW w:w="1920" w:type="dxa"/>
            <w:vAlign w:val="bottom"/>
            <w:tcBorders>
              <w:left w:val="single" w:sz="8" w:color="auto"/>
              <w:right w:val="single" w:sz="8" w:color="auto"/>
            </w:tcBorders>
          </w:tcPr>
          <w:p>
            <w:pPr>
              <w:ind w:left="12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r>
      <w:tr>
        <w:trPr>
          <w:trHeight w:val="152"/>
        </w:trPr>
        <w:tc>
          <w:tcPr>
            <w:tcW w:w="192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line="152" w:lineRule="exact"/>
              <w:rPr>
                <w:sz w:val="20"/>
                <w:szCs w:val="20"/>
                <w:color w:val="auto"/>
              </w:rPr>
            </w:pPr>
            <w:r>
              <w:rPr>
                <w:rFonts w:ascii="Georgia" w:cs="Georgia" w:eastAsia="Georgia" w:hAnsi="Georgia"/>
                <w:sz w:val="14"/>
                <w:szCs w:val="14"/>
                <w:color w:val="auto"/>
              </w:rPr>
              <w:t>coupon payment date with respect to the final</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calculation day will be the stated maturity date</w:t>
            </w:r>
          </w:p>
        </w:tc>
      </w:tr>
      <w:tr>
        <w:trPr>
          <w:trHeight w:val="172"/>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 Rate:</w:t>
            </w: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At least 35.75% per annum (to be provided in the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pricing supplement)</w:t>
            </w:r>
          </w:p>
        </w:tc>
      </w:tr>
      <w:tr>
        <w:trPr>
          <w:trHeight w:val="24"/>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If the stock closing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Underlying Stock on any of the calculation days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from April 2026 to July 2028, inclusive, is greater</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than or equal to its starting price, the securities will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be automatically called, and on the related call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settlement date you will be entitled to receive a</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cash payment per security in U.S. dollars equal to</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 xml:space="preserve">the principal 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 final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contingent coupon payment</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gridSpan w:val="2"/>
          </w:tcPr>
          <w:p>
            <w:pPr>
              <w:ind w:left="80"/>
              <w:spacing w:after="0"/>
              <w:rPr>
                <w:sz w:val="20"/>
                <w:szCs w:val="20"/>
                <w:color w:val="auto"/>
              </w:rPr>
            </w:pPr>
            <w:r>
              <w:rPr>
                <w:rFonts w:ascii="Georgia" w:cs="Georgia" w:eastAsia="Georgia" w:hAnsi="Georgia"/>
                <w:sz w:val="14"/>
                <w:szCs w:val="14"/>
                <w:color w:val="auto"/>
              </w:rPr>
              <w:t>.</w:t>
            </w:r>
          </w:p>
        </w:tc>
        <w:tc>
          <w:tcPr>
            <w:tcW w:w="10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r>
      <w:tr>
        <w:trPr>
          <w:trHeight w:val="186"/>
        </w:trPr>
        <w:tc>
          <w:tcPr>
            <w:tcW w:w="1920" w:type="dxa"/>
            <w:vAlign w:val="bottom"/>
            <w:tcBorders>
              <w:left w:val="single" w:sz="8" w:color="auto"/>
              <w:right w:val="single" w:sz="8" w:color="auto"/>
            </w:tcBorders>
          </w:tcPr>
          <w:p>
            <w:pPr>
              <w:ind w:left="12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6"/>
                <w:szCs w:val="16"/>
                <w:color w:val="auto"/>
              </w:rPr>
            </w:pPr>
          </w:p>
        </w:tc>
        <w:tc>
          <w:tcPr>
            <w:tcW w:w="3400" w:type="dxa"/>
            <w:vAlign w:val="bottom"/>
            <w:tcBorders>
              <w:right w:val="single" w:sz="8" w:color="auto"/>
            </w:tcBorders>
            <w:gridSpan w:val="5"/>
          </w:tcPr>
          <w:p>
            <w:pPr>
              <w:spacing w:after="0" w:line="185" w:lineRule="exact"/>
              <w:rPr>
                <w:sz w:val="20"/>
                <w:szCs w:val="20"/>
                <w:color w:val="auto"/>
              </w:rPr>
            </w:pPr>
            <w:r>
              <w:rPr>
                <w:rFonts w:ascii="Georgia" w:cs="Georgia" w:eastAsia="Georgia" w:hAnsi="Georgia"/>
                <w:sz w:val="13"/>
                <w:szCs w:val="13"/>
                <w:color w:val="auto"/>
              </w:rPr>
              <w:t>Quarterly, on the 10</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January, April,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July and October, commencing January 2026 and</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ending October 2028. We refer to October 10,</w:t>
            </w:r>
          </w:p>
        </w:tc>
      </w:tr>
      <w:tr>
        <w:trPr>
          <w:trHeight w:val="153"/>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line="146" w:lineRule="exact"/>
              <w:rPr>
                <w:sz w:val="20"/>
                <w:szCs w:val="20"/>
                <w:color w:val="auto"/>
              </w:rPr>
            </w:pPr>
            <w:r>
              <w:rPr>
                <w:rFonts w:ascii="Georgia" w:cs="Georgia" w:eastAsia="Georgia" w:hAnsi="Georgia"/>
                <w:sz w:val="14"/>
                <w:szCs w:val="14"/>
                <w:color w:val="auto"/>
              </w:rPr>
              <w:t>2028 as the “final calculation day.”</w:t>
            </w:r>
          </w:p>
        </w:tc>
      </w:tr>
      <w:tr>
        <w:trPr>
          <w:trHeight w:val="175"/>
        </w:trPr>
        <w:tc>
          <w:tcPr>
            <w:tcW w:w="1920" w:type="dxa"/>
            <w:vAlign w:val="bottom"/>
            <w:tcBorders>
              <w:left w:val="single" w:sz="8" w:color="auto"/>
              <w:right w:val="single" w:sz="8" w:color="auto"/>
            </w:tcBorders>
          </w:tcPr>
          <w:p>
            <w:pPr>
              <w:ind w:left="12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80" w:type="dxa"/>
            <w:vAlign w:val="bottom"/>
          </w:tcPr>
          <w:p>
            <w:pPr>
              <w:spacing w:after="0"/>
              <w:rPr>
                <w:sz w:val="15"/>
                <w:szCs w:val="15"/>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Three business days after the applicable calculation</w:t>
            </w:r>
          </w:p>
        </w:tc>
      </w:tr>
      <w:tr>
        <w:trPr>
          <w:trHeight w:val="149"/>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gridSpan w:val="5"/>
          </w:tcPr>
          <w:p>
            <w:pPr>
              <w:spacing w:after="0" w:line="149" w:lineRule="exact"/>
              <w:rPr>
                <w:sz w:val="20"/>
                <w:szCs w:val="20"/>
                <w:color w:val="auto"/>
              </w:rPr>
            </w:pPr>
            <w:r>
              <w:rPr>
                <w:rFonts w:ascii="Georgia" w:cs="Georgia" w:eastAsia="Georgia" w:hAnsi="Georgia"/>
                <w:sz w:val="14"/>
                <w:szCs w:val="14"/>
                <w:color w:val="auto"/>
              </w:rPr>
              <w:t>day</w:t>
            </w:r>
          </w:p>
        </w:tc>
      </w:tr>
      <w:tr>
        <w:trPr>
          <w:trHeight w:val="146"/>
        </w:trPr>
        <w:tc>
          <w:tcPr>
            <w:tcW w:w="192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Maturity Payment</w:t>
            </w:r>
          </w:p>
        </w:tc>
        <w:tc>
          <w:tcPr>
            <w:tcW w:w="80" w:type="dxa"/>
            <w:vAlign w:val="bottom"/>
          </w:tcPr>
          <w:p>
            <w:pPr>
              <w:spacing w:after="0"/>
              <w:rPr>
                <w:sz w:val="12"/>
                <w:szCs w:val="12"/>
                <w:color w:val="auto"/>
              </w:rPr>
            </w:pPr>
          </w:p>
        </w:tc>
        <w:tc>
          <w:tcPr>
            <w:tcW w:w="3400" w:type="dxa"/>
            <w:vAlign w:val="bottom"/>
            <w:tcBorders>
              <w:right w:val="single" w:sz="8" w:color="auto"/>
            </w:tcBorders>
            <w:gridSpan w:val="5"/>
          </w:tcPr>
          <w:p>
            <w:pPr>
              <w:spacing w:after="0" w:line="146" w:lineRule="exact"/>
              <w:rPr>
                <w:sz w:val="20"/>
                <w:szCs w:val="20"/>
                <w:color w:val="auto"/>
              </w:rPr>
            </w:pPr>
            <w:r>
              <w:rPr>
                <w:rFonts w:ascii="Georgia" w:cs="Georgia" w:eastAsia="Georgia" w:hAnsi="Georgia"/>
                <w:sz w:val="14"/>
                <w:szCs w:val="14"/>
                <w:color w:val="auto"/>
              </w:rPr>
              <w:t>If the securities are not automatically called:</w:t>
            </w:r>
          </w:p>
        </w:tc>
      </w:tr>
      <w:tr>
        <w:trPr>
          <w:trHeight w:val="174"/>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 (per security):</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320" w:type="dxa"/>
            <w:vAlign w:val="bottom"/>
            <w:tcBorders>
              <w:right w:val="single" w:sz="8" w:color="auto"/>
            </w:tcBorders>
            <w:gridSpan w:val="4"/>
          </w:tcPr>
          <w:p>
            <w:pPr>
              <w:ind w:left="20"/>
              <w:spacing w:after="0"/>
              <w:rPr>
                <w:sz w:val="20"/>
                <w:szCs w:val="20"/>
                <w:color w:val="auto"/>
              </w:rPr>
            </w:pPr>
            <w:r>
              <w:rPr>
                <w:rFonts w:ascii="Georgia" w:cs="Georgia" w:eastAsia="Georgia" w:hAnsi="Georgia"/>
                <w:sz w:val="14"/>
                <w:szCs w:val="14"/>
                <w:color w:val="auto"/>
              </w:rPr>
              <w:t>If the ending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jc w:val="center"/>
              <w:ind w:right="16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ind w:left="80"/>
              <w:spacing w:after="0"/>
              <w:rPr>
                <w:sz w:val="20"/>
                <w:szCs w:val="20"/>
                <w:color w:val="auto"/>
              </w:rPr>
            </w:pPr>
            <w:r>
              <w:rPr>
                <w:rFonts w:ascii="Georgia" w:cs="Georgia" w:eastAsia="Georgia" w:hAnsi="Georgia"/>
                <w:sz w:val="14"/>
                <w:szCs w:val="14"/>
                <w:color w:val="auto"/>
              </w:rPr>
              <w:t>greater than or equal to its threshold price:</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ind w:left="80"/>
              <w:spacing w:after="0"/>
              <w:rPr>
                <w:sz w:val="20"/>
                <w:szCs w:val="20"/>
                <w:color w:val="auto"/>
              </w:rPr>
            </w:pPr>
            <w:r>
              <w:rPr>
                <w:rFonts w:ascii="Georgia" w:cs="Georgia" w:eastAsia="Georgia" w:hAnsi="Georgia"/>
                <w:sz w:val="14"/>
                <w:szCs w:val="14"/>
                <w:color w:val="auto"/>
              </w:rPr>
              <w:t>$1,000; or</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320" w:type="dxa"/>
            <w:vAlign w:val="bottom"/>
            <w:tcBorders>
              <w:right w:val="single" w:sz="8" w:color="auto"/>
            </w:tcBorders>
            <w:gridSpan w:val="4"/>
          </w:tcPr>
          <w:p>
            <w:pPr>
              <w:ind w:left="20"/>
              <w:spacing w:after="0"/>
              <w:rPr>
                <w:sz w:val="20"/>
                <w:szCs w:val="20"/>
                <w:color w:val="auto"/>
              </w:rPr>
            </w:pPr>
            <w:r>
              <w:rPr>
                <w:rFonts w:ascii="Georgia" w:cs="Georgia" w:eastAsia="Georgia" w:hAnsi="Georgia"/>
                <w:sz w:val="14"/>
                <w:szCs w:val="14"/>
                <w:color w:val="auto"/>
              </w:rPr>
              <w:t>If the ending price of the lowest performing</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jc w:val="center"/>
              <w:ind w:right="180"/>
              <w:spacing w:after="0"/>
              <w:rPr>
                <w:sz w:val="20"/>
                <w:szCs w:val="20"/>
                <w:color w:val="auto"/>
              </w:rPr>
            </w:pPr>
            <w:r>
              <w:rPr>
                <w:rFonts w:ascii="Georgia" w:cs="Georgia" w:eastAsia="Georgia" w:hAnsi="Georgia"/>
                <w:sz w:val="14"/>
                <w:szCs w:val="14"/>
                <w:color w:val="auto"/>
              </w:rPr>
              <w:t>Underlying Stock on the final calculation day is</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ind w:left="80"/>
              <w:spacing w:after="0"/>
              <w:rPr>
                <w:sz w:val="20"/>
                <w:szCs w:val="20"/>
                <w:color w:val="auto"/>
              </w:rPr>
            </w:pPr>
            <w:r>
              <w:rPr>
                <w:rFonts w:ascii="Georgia" w:cs="Georgia" w:eastAsia="Georgia" w:hAnsi="Georgia"/>
                <w:sz w:val="14"/>
                <w:szCs w:val="14"/>
                <w:color w:val="auto"/>
              </w:rPr>
              <w:t>less than its threshold price: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Borders>
              <w:right w:val="single" w:sz="8" w:color="auto"/>
            </w:tcBorders>
            <w:gridSpan w:val="4"/>
          </w:tcPr>
          <w:p>
            <w:pPr>
              <w:jc w:val="center"/>
              <w:ind w:right="180"/>
              <w:spacing w:after="0"/>
              <w:rPr>
                <w:sz w:val="20"/>
                <w:szCs w:val="20"/>
                <w:color w:val="auto"/>
              </w:rPr>
            </w:pPr>
            <w:r>
              <w:rPr>
                <w:rFonts w:ascii="Georgia" w:cs="Georgia" w:eastAsia="Georgia" w:hAnsi="Georgia"/>
                <w:sz w:val="14"/>
                <w:szCs w:val="14"/>
                <w:color w:val="auto"/>
              </w:rPr>
              <w:t>$1,000 + ($1,000 × stock return of the lowest</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gridSpan w:val="4"/>
          </w:tcPr>
          <w:p>
            <w:pPr>
              <w:jc w:val="center"/>
              <w:ind w:right="180"/>
              <w:spacing w:after="0"/>
              <w:rPr>
                <w:sz w:val="20"/>
                <w:szCs w:val="20"/>
                <w:color w:val="auto"/>
              </w:rPr>
            </w:pPr>
            <w:r>
              <w:rPr>
                <w:rFonts w:ascii="Georgia" w:cs="Georgia" w:eastAsia="Georgia" w:hAnsi="Georgia"/>
                <w:sz w:val="14"/>
                <w:szCs w:val="14"/>
                <w:color w:val="auto"/>
              </w:rPr>
              <w:t>performing Underlying Stock on the final</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Borders>
              <w:right w:val="single" w:sz="8" w:color="auto"/>
            </w:tcBorders>
            <w:gridSpan w:val="3"/>
          </w:tcPr>
          <w:p>
            <w:pPr>
              <w:jc w:val="center"/>
              <w:ind w:right="1220"/>
              <w:spacing w:after="0"/>
              <w:rPr>
                <w:sz w:val="20"/>
                <w:szCs w:val="20"/>
                <w:color w:val="auto"/>
              </w:rPr>
            </w:pPr>
            <w:r>
              <w:rPr>
                <w:rFonts w:ascii="Georgia" w:cs="Georgia" w:eastAsia="Georgia" w:hAnsi="Georgia"/>
                <w:sz w:val="14"/>
                <w:szCs w:val="14"/>
                <w:color w:val="auto"/>
              </w:rPr>
              <w:t>calculation day)</w:t>
            </w:r>
          </w:p>
        </w:tc>
      </w:tr>
      <w:tr>
        <w:trPr>
          <w:trHeight w:val="38"/>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142"/>
        </w:trPr>
        <w:tc>
          <w:tcPr>
            <w:tcW w:w="192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Lowest Performing</w:t>
            </w:r>
          </w:p>
        </w:tc>
        <w:tc>
          <w:tcPr>
            <w:tcW w:w="80" w:type="dxa"/>
            <w:vAlign w:val="bottom"/>
          </w:tcPr>
          <w:p>
            <w:pPr>
              <w:spacing w:after="0"/>
              <w:rPr>
                <w:sz w:val="12"/>
                <w:szCs w:val="12"/>
                <w:color w:val="auto"/>
              </w:rPr>
            </w:pPr>
          </w:p>
        </w:tc>
        <w:tc>
          <w:tcPr>
            <w:tcW w:w="3400" w:type="dxa"/>
            <w:vAlign w:val="bottom"/>
            <w:tcBorders>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For any calculation day, the “lowest performing</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142"/>
        </w:trPr>
        <w:tc>
          <w:tcPr>
            <w:tcW w:w="192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Underlying Stock:</w:t>
            </w:r>
          </w:p>
        </w:tc>
        <w:tc>
          <w:tcPr>
            <w:tcW w:w="80" w:type="dxa"/>
            <w:vAlign w:val="bottom"/>
          </w:tcPr>
          <w:p>
            <w:pPr>
              <w:spacing w:after="0"/>
              <w:rPr>
                <w:sz w:val="12"/>
                <w:szCs w:val="12"/>
                <w:color w:val="auto"/>
              </w:rPr>
            </w:pPr>
          </w:p>
        </w:tc>
        <w:tc>
          <w:tcPr>
            <w:tcW w:w="3400" w:type="dxa"/>
            <w:vAlign w:val="bottom"/>
            <w:tcBorders>
              <w:right w:val="single" w:sz="8" w:color="auto"/>
            </w:tcBorders>
            <w:gridSpan w:val="5"/>
          </w:tcPr>
          <w:p>
            <w:pPr>
              <w:spacing w:after="0" w:line="142" w:lineRule="exact"/>
              <w:rPr>
                <w:sz w:val="20"/>
                <w:szCs w:val="20"/>
                <w:color w:val="auto"/>
              </w:rPr>
            </w:pPr>
            <w:r>
              <w:rPr>
                <w:rFonts w:ascii="Georgia" w:cs="Georgia" w:eastAsia="Georgia" w:hAnsi="Georgia"/>
                <w:sz w:val="14"/>
                <w:szCs w:val="14"/>
                <w:color w:val="auto"/>
              </w:rPr>
              <w:t>Underlying Stock” will be the Underlying Stock</w:t>
            </w: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280" w:type="dxa"/>
            <w:vAlign w:val="bottom"/>
            <w:tcBorders>
              <w:right w:val="single" w:sz="8" w:color="auto"/>
            </w:tcBorders>
            <w:gridSpan w:val="3"/>
          </w:tcPr>
          <w:p>
            <w:pPr>
              <w:spacing w:after="0" w:line="20" w:lineRule="exact"/>
              <w:rPr>
                <w:sz w:val="1"/>
                <w:szCs w:val="1"/>
                <w:color w:val="auto"/>
              </w:rPr>
            </w:pPr>
          </w:p>
        </w:tc>
      </w:tr>
      <w:tr>
        <w:trPr>
          <w:trHeight w:val="159"/>
        </w:trPr>
        <w:tc>
          <w:tcPr>
            <w:tcW w:w="192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with the lowest stock return on that calculation</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day.</w:t>
            </w:r>
          </w:p>
        </w:tc>
      </w:tr>
      <w:tr>
        <w:trPr>
          <w:trHeight w:val="158"/>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Starting Price:</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For each Underlying Stock, its stock closing price</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on the pricing date</w:t>
            </w:r>
          </w:p>
        </w:tc>
      </w:tr>
      <w:tr>
        <w:trPr>
          <w:trHeight w:val="158"/>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Ending Price:</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For each Underlying Stock, its stock closing price</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on the final calculation day</w:t>
            </w:r>
          </w:p>
        </w:tc>
      </w:tr>
      <w:tr>
        <w:trPr>
          <w:trHeight w:val="158"/>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Stock Return:</w:t>
            </w:r>
          </w:p>
        </w:tc>
        <w:tc>
          <w:tcPr>
            <w:tcW w:w="80" w:type="dxa"/>
            <w:vAlign w:val="bottom"/>
          </w:tcPr>
          <w:p>
            <w:pPr>
              <w:spacing w:after="0"/>
              <w:rPr>
                <w:sz w:val="13"/>
                <w:szCs w:val="13"/>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For each Underlying Stock on any calculation day,</w:t>
            </w: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(stock closing price on that calculation day –</w:t>
            </w: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gridSpan w:val="5"/>
          </w:tcPr>
          <w:p>
            <w:pPr>
              <w:spacing w:after="0"/>
              <w:rPr>
                <w:sz w:val="20"/>
                <w:szCs w:val="20"/>
                <w:color w:val="auto"/>
              </w:rPr>
            </w:pPr>
            <w:r>
              <w:rPr>
                <w:rFonts w:ascii="Georgia" w:cs="Georgia" w:eastAsia="Georgia" w:hAnsi="Georgia"/>
                <w:sz w:val="14"/>
                <w:szCs w:val="14"/>
                <w:color w:val="auto"/>
              </w:rPr>
              <w:t>starting price) / starting price</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30" w:type="dxa"/>
        <w:tblCellMar>
          <w:top w:w="0" w:type="dxa"/>
          <w:left w:w="0" w:type="dxa"/>
          <w:bottom w:w="0" w:type="dxa"/>
          <w:right w:w="0" w:type="dxa"/>
        </w:tblCellMar>
      </w:tblPr>
      <w:tr>
        <w:trPr>
          <w:trHeight w:val="155"/>
        </w:trPr>
        <w:tc>
          <w:tcPr>
            <w:tcW w:w="1900" w:type="dxa"/>
            <w:vAlign w:val="bottom"/>
            <w:tcBorders>
              <w:top w:val="single" w:sz="8" w:color="auto"/>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Threshold Price:</w:t>
            </w:r>
          </w:p>
        </w:tc>
        <w:tc>
          <w:tcPr>
            <w:tcW w:w="3480" w:type="dxa"/>
            <w:vAlign w:val="bottom"/>
            <w:tcBorders>
              <w:top w:val="single" w:sz="8" w:color="auto"/>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For each Underlying Stock, 60% of its starting price</w:t>
            </w:r>
          </w:p>
        </w:tc>
      </w:tr>
      <w:tr>
        <w:trPr>
          <w:trHeight w:val="149"/>
        </w:trPr>
        <w:tc>
          <w:tcPr>
            <w:tcW w:w="190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4"/>
                <w:szCs w:val="14"/>
                <w:color w:val="auto"/>
              </w:rPr>
              <w:t>Calculation Agent:</w:t>
            </w:r>
          </w:p>
        </w:tc>
        <w:tc>
          <w:tcPr>
            <w:tcW w:w="348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Denominations:</w:t>
            </w: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$1,000 and any integral multiple of $1,000</w:t>
            </w:r>
          </w:p>
        </w:tc>
      </w:tr>
      <w:tr>
        <w:trPr>
          <w:trHeight w:val="156"/>
        </w:trPr>
        <w:tc>
          <w:tcPr>
            <w:tcW w:w="190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CUSIP:</w:t>
            </w:r>
          </w:p>
        </w:tc>
        <w:tc>
          <w:tcPr>
            <w:tcW w:w="348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48136H7M4</w:t>
            </w:r>
          </w:p>
        </w:tc>
      </w:tr>
      <w:tr>
        <w:trPr>
          <w:trHeight w:val="158"/>
        </w:trPr>
        <w:tc>
          <w:tcPr>
            <w:tcW w:w="1900" w:type="dxa"/>
            <w:vAlign w:val="bottom"/>
            <w:tcBorders>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Up to 2.325% for Wells Fargo Securities, LLC</w:t>
            </w:r>
          </w:p>
        </w:tc>
      </w:tr>
      <w:tr>
        <w:trPr>
          <w:trHeight w:val="146"/>
        </w:trPr>
        <w:tc>
          <w:tcPr>
            <w:tcW w:w="1900" w:type="dxa"/>
            <w:vAlign w:val="bottom"/>
            <w:tcBorders>
              <w:left w:val="single" w:sz="8" w:color="auto"/>
              <w:right w:val="single" w:sz="8" w:color="auto"/>
            </w:tcBorders>
          </w:tcPr>
          <w:p>
            <w:pPr>
              <w:spacing w:after="0"/>
              <w:rPr>
                <w:sz w:val="12"/>
                <w:szCs w:val="12"/>
                <w:color w:val="auto"/>
              </w:rPr>
            </w:pPr>
          </w:p>
        </w:tc>
        <w:tc>
          <w:tcPr>
            <w:tcW w:w="3480" w:type="dxa"/>
            <w:vAlign w:val="bottom"/>
            <w:tcBorders>
              <w:right w:val="single" w:sz="8" w:color="auto"/>
            </w:tcBorders>
            <w:gridSpan w:val="5"/>
          </w:tcPr>
          <w:p>
            <w:pPr>
              <w:ind w:left="80"/>
              <w:spacing w:after="0" w:line="146" w:lineRule="exact"/>
              <w:rPr>
                <w:sz w:val="20"/>
                <w:szCs w:val="20"/>
                <w:color w:val="auto"/>
              </w:rPr>
            </w:pPr>
            <w:r>
              <w:rPr>
                <w:rFonts w:ascii="Georgia" w:cs="Georgia" w:eastAsia="Georgia" w:hAnsi="Georgia"/>
                <w:sz w:val="14"/>
                <w:szCs w:val="14"/>
                <w:color w:val="auto"/>
              </w:rPr>
              <w:t>(“WFS”); WFS has advised us that dealers,</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3480" w:type="dxa"/>
            <w:vAlign w:val="bottom"/>
            <w:tcBorders>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including Wells Fargo Advisors (“WFA”), may</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58"/>
        </w:trPr>
        <w:tc>
          <w:tcPr>
            <w:tcW w:w="1900" w:type="dxa"/>
            <w:vAlign w:val="bottom"/>
            <w:tcBorders>
              <w:left w:val="single" w:sz="8" w:color="auto"/>
              <w:right w:val="single" w:sz="8" w:color="auto"/>
            </w:tcBorders>
          </w:tcPr>
          <w:p>
            <w:pPr>
              <w:spacing w:after="0"/>
              <w:rPr>
                <w:sz w:val="13"/>
                <w:szCs w:val="13"/>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receive 1.75% of WFS’s fee, and WFA may also</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receive a distribution expense fee of 0.075%.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addition, with respect of certain securities sold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this offering, JPMS may pay a fee of up to 0.30% to</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selected dealers in consideration for marketing and</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48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other services in connection with the distribution</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of the securities to other dealers.</w:t>
            </w:r>
          </w:p>
        </w:tc>
      </w:tr>
      <w:tr>
        <w:trPr>
          <w:trHeight w:val="155"/>
        </w:trPr>
        <w:tc>
          <w:tcPr>
            <w:tcW w:w="190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48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187"/>
        </w:trPr>
        <w:tc>
          <w:tcPr>
            <w:tcW w:w="1900" w:type="dxa"/>
            <w:vAlign w:val="bottom"/>
            <w:tcBorders>
              <w:left w:val="single" w:sz="8" w:color="auto"/>
            </w:tcBorders>
          </w:tcPr>
          <w:p>
            <w:pPr>
              <w:ind w:left="100"/>
              <w:spacing w:after="0" w:line="187"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3"/>
                <w:szCs w:val="13"/>
                <w:color w:val="auto"/>
              </w:rPr>
              <w:t xml:space="preserve"> Subject to change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184"/>
        </w:trPr>
        <w:tc>
          <w:tcPr>
            <w:tcW w:w="190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r>
    </w:tbl>
    <w:p>
      <w:pPr>
        <w:spacing w:after="0" w:line="35" w:lineRule="exact"/>
        <w:rPr>
          <w:sz w:val="24"/>
          <w:szCs w:val="24"/>
          <w:color w:val="auto"/>
        </w:rPr>
      </w:pPr>
    </w:p>
    <w:p>
      <w:pPr>
        <w:ind w:left="100" w:right="100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316865</wp:posOffset>
            </wp:positionH>
            <wp:positionV relativeFrom="paragraph">
              <wp:posOffset>5715</wp:posOffset>
            </wp:positionV>
            <wp:extent cx="2802890" cy="193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1937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22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spacing w:after="0" w:line="160" w:lineRule="exact"/>
        <w:rPr>
          <w:sz w:val="24"/>
          <w:szCs w:val="24"/>
          <w:color w:val="auto"/>
        </w:rPr>
      </w:pPr>
    </w:p>
    <w:p>
      <w:pPr>
        <w:ind w:right="20"/>
        <w:spacing w:after="0" w:line="245" w:lineRule="auto"/>
        <w:rPr>
          <w:sz w:val="20"/>
          <w:szCs w:val="20"/>
          <w:color w:val="auto"/>
        </w:rPr>
      </w:pPr>
      <w:r>
        <w:rPr>
          <w:rFonts w:ascii="Georgia" w:cs="Georgia" w:eastAsia="Georgia" w:hAnsi="Georgia"/>
          <w:sz w:val="14"/>
          <w:szCs w:val="14"/>
          <w:b w:val="1"/>
          <w:bCs w:val="1"/>
          <w:color w:val="auto"/>
        </w:rPr>
        <w:t>Any return on the securities will be limited to the sum of your contingent coupon payments, if any. You will not participate in any appreciation of either Underlying Stock, but you will have full downside exposure to the lowest performing Underlying Stock on the final calculation day if its ending price is less than its threshold price.</w:t>
      </w:r>
    </w:p>
    <w:p>
      <w:pPr>
        <w:spacing w:after="0" w:line="160" w:lineRule="exact"/>
        <w:rPr>
          <w:sz w:val="24"/>
          <w:szCs w:val="24"/>
          <w:color w:val="auto"/>
        </w:rPr>
      </w:pPr>
    </w:p>
    <w:p>
      <w:pPr>
        <w:ind w:right="1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160" w:lineRule="exact"/>
        <w:rPr>
          <w:sz w:val="24"/>
          <w:szCs w:val="24"/>
          <w:color w:val="auto"/>
        </w:rPr>
      </w:pPr>
    </w:p>
    <w:p>
      <w:pPr>
        <w:ind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$908.20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spacing w:after="0" w:line="160" w:lineRule="exact"/>
        <w:rPr>
          <w:sz w:val="24"/>
          <w:szCs w:val="24"/>
          <w:color w:val="auto"/>
        </w:rPr>
      </w:pPr>
    </w:p>
    <w:p>
      <w:pPr>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http://www.sec.gov/Archives/edgar/data/19617/000121390025097306/</w:t>
        </w:r>
      </w:hyperlink>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ea0260701-01_424b2.htm</w:t>
        </w:r>
      </w:hyperlink>
    </w:p>
    <w:p>
      <w:pPr>
        <w:spacing w:after="0" w:line="16" w:lineRule="exact"/>
        <w:rPr>
          <w:sz w:val="24"/>
          <w:szCs w:val="24"/>
          <w:color w:val="auto"/>
        </w:rPr>
      </w:pPr>
    </w:p>
    <w:p>
      <w:pPr>
        <w:sectPr>
          <w:pgSz w:w="11900" w:h="16838" w:orient="portrait"/>
          <w:cols w:equalWidth="0" w:num="2">
            <w:col w:w="5400" w:space="440"/>
            <w:col w:w="5400"/>
          </w:cols>
          <w:pgMar w:left="320" w:top="239" w:right="339" w:bottom="1008"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10"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39" w:right="339" w:bottom="1008"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40" w:right="40" w:hanging="335"/>
        <w:spacing w:after="0" w:line="253"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of the Lowest Performing Underlying Stock on the Final Calculation Day Is Less Than Its Threshold Price, You Will Lose More Than 40%,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40" w:right="2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40" w:right="100" w:hanging="335"/>
        <w:spacing w:after="0" w:line="257"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Either Underlying Stock.</w:t>
      </w:r>
    </w:p>
    <w:p>
      <w:pPr>
        <w:spacing w:after="0" w:line="32"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40" w:right="24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40" w:right="70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40" w:right="24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15" w:lineRule="exact"/>
        <w:rPr>
          <w:rFonts w:ascii="Times New Roman" w:cs="Times New Roman" w:eastAsia="Times New Roman" w:hAnsi="Times New Roman"/>
          <w:sz w:val="16"/>
          <w:szCs w:val="16"/>
          <w:color w:val="auto"/>
        </w:rPr>
      </w:pPr>
    </w:p>
    <w:p>
      <w:pPr>
        <w:ind w:left="440" w:right="20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Underlying Stock.</w:t>
      </w:r>
    </w:p>
    <w:p>
      <w:pPr>
        <w:spacing w:after="0" w:line="29" w:lineRule="exact"/>
        <w:rPr>
          <w:rFonts w:ascii="Times New Roman" w:cs="Times New Roman" w:eastAsia="Times New Roman" w:hAnsi="Times New Roman"/>
          <w:sz w:val="16"/>
          <w:szCs w:val="16"/>
          <w:color w:val="auto"/>
        </w:rPr>
      </w:pPr>
    </w:p>
    <w:p>
      <w:pPr>
        <w:ind w:left="440" w:right="6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Between the Underlying Stocks.</w:t>
      </w:r>
    </w:p>
    <w:p>
      <w:pPr>
        <w:spacing w:after="0" w:line="29" w:lineRule="exact"/>
        <w:rPr>
          <w:rFonts w:ascii="Times New Roman" w:cs="Times New Roman" w:eastAsia="Times New Roman" w:hAnsi="Times New Roman"/>
          <w:sz w:val="16"/>
          <w:szCs w:val="16"/>
          <w:color w:val="auto"/>
        </w:rPr>
      </w:pPr>
    </w:p>
    <w:p>
      <w:pPr>
        <w:ind w:left="440" w:right="68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40" w:right="12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45"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60" w:lineRule="exact"/>
        <w:rPr>
          <w:rFonts w:ascii="Times New Roman" w:cs="Times New Roman" w:eastAsia="Times New Roman" w:hAnsi="Times New Roman"/>
          <w:sz w:val="16"/>
          <w:szCs w:val="16"/>
          <w:color w:val="auto"/>
        </w:rPr>
      </w:pPr>
    </w:p>
    <w:p>
      <w:pPr>
        <w:ind w:left="440" w:right="26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40" w:right="4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400" w:hanging="295"/>
        <w:spacing w:after="0"/>
        <w:tabs>
          <w:tab w:leader="none" w:pos="40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40" w:hanging="335"/>
        <w:spacing w:after="0" w:line="264" w:lineRule="auto"/>
        <w:tabs>
          <w:tab w:leader="none" w:pos="406"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39" w:right="200" w:hanging="339"/>
        <w:spacing w:after="0" w:line="257"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339" w:right="94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339" w:right="100" w:hanging="339"/>
        <w:spacing w:after="0" w:line="25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39" w:right="52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39" w:right="14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99" w:hanging="299"/>
        <w:spacing w:after="0"/>
        <w:tabs>
          <w:tab w:leader="none" w:pos="29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Either Underlying Stock Issuer.</w:t>
      </w:r>
    </w:p>
    <w:p>
      <w:pPr>
        <w:spacing w:after="0" w:line="60" w:lineRule="exact"/>
        <w:rPr>
          <w:rFonts w:ascii="Times New Roman" w:cs="Times New Roman" w:eastAsia="Times New Roman" w:hAnsi="Times New Roman"/>
          <w:sz w:val="16"/>
          <w:szCs w:val="16"/>
          <w:color w:val="auto"/>
        </w:rPr>
      </w:pPr>
    </w:p>
    <w:p>
      <w:pPr>
        <w:ind w:left="339" w:right="30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Risks Associated with Non-U.S. Companies with Respect to the Class A Ordinary Shares of Nebius Group N.V.</w:t>
      </w:r>
    </w:p>
    <w:p>
      <w:pPr>
        <w:spacing w:after="0" w:line="15" w:lineRule="exact"/>
        <w:rPr>
          <w:rFonts w:ascii="Times New Roman" w:cs="Times New Roman" w:eastAsia="Times New Roman" w:hAnsi="Times New Roman"/>
          <w:sz w:val="16"/>
          <w:szCs w:val="16"/>
          <w:color w:val="auto"/>
        </w:rPr>
      </w:pPr>
    </w:p>
    <w:p>
      <w:pPr>
        <w:ind w:left="339" w:right="10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Limited Trading History with Respect to the Class A Ordinary Shares of Nebius Group N.V.</w:t>
      </w:r>
    </w:p>
    <w:p>
      <w:pPr>
        <w:spacing w:after="0" w:line="29" w:lineRule="exact"/>
        <w:rPr>
          <w:rFonts w:ascii="Times New Roman" w:cs="Times New Roman" w:eastAsia="Times New Roman" w:hAnsi="Times New Roman"/>
          <w:sz w:val="16"/>
          <w:szCs w:val="16"/>
          <w:color w:val="auto"/>
        </w:rPr>
      </w:pPr>
    </w:p>
    <w:p>
      <w:pPr>
        <w:ind w:left="339" w:right="900" w:hanging="339"/>
        <w:spacing w:after="0" w:line="264"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29" w:lineRule="exact"/>
        <w:rPr>
          <w:rFonts w:ascii="Times New Roman" w:cs="Times New Roman" w:eastAsia="Times New Roman" w:hAnsi="Times New Roman"/>
          <w:sz w:val="16"/>
          <w:szCs w:val="16"/>
          <w:color w:val="auto"/>
        </w:rPr>
      </w:pPr>
    </w:p>
    <w:p>
      <w:pPr>
        <w:ind w:left="339" w:right="280" w:hanging="339"/>
        <w:spacing w:after="0" w:line="253" w:lineRule="auto"/>
        <w:tabs>
          <w:tab w:leader="none" w:pos="305"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Risks Associated with each Underlying Stock, Each as Discussed in the Accompanying Preliminary Pricing Supplement and Product Supplement.</w:t>
      </w:r>
    </w:p>
    <w:p>
      <w:pPr>
        <w:spacing w:after="0" w:line="2247"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5097306/ea0260701-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2025-10-08T15:36:51Z</dcterms:created>
  <dcterms:modified xsi:type="dcterms:W3CDTF">2025-10-08T15:36:51Z</dcterms:modified>
</cp:coreProperties>
</file>