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2222500</wp:posOffset>
            </wp:positionH>
            <wp:positionV relativeFrom="page">
              <wp:posOffset>157480</wp:posOffset>
            </wp:positionV>
            <wp:extent cx="3111500" cy="3003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111500" cy="300355"/>
                    </a:xfrm>
                    <a:prstGeom prst="rect">
                      <a:avLst/>
                    </a:prstGeom>
                    <a:noFill/>
                  </pic:spPr>
                </pic:pic>
              </a:graphicData>
            </a:graphic>
          </wp:anchor>
        </w:drawing>
        <w:t>Filed Pursuant to Rule 433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333-263304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Dated: October 15, 2024</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22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This term sheet supplements the information set forth under “Description of the Notes” in the Prospectus Supplement, subject to completion, dated October 15, 2024 to the Prospectus dated April 11, 2022 (the “Preliminary Prospectus Supplement”).</w:t>
      </w:r>
    </w:p>
    <w:p>
      <w:pPr>
        <w:sectPr>
          <w:pgSz w:w="11900" w:h="16838" w:orient="portrait"/>
          <w:cols w:equalWidth="0" w:num="1">
            <w:col w:w="11020"/>
          </w:cols>
          <w:pgMar w:left="440" w:top="918" w:right="439" w:bottom="1440" w:gutter="0" w:footer="0" w:header="0"/>
        </w:sectPr>
      </w:pPr>
    </w:p>
    <w:p>
      <w:pPr>
        <w:spacing w:after="0" w:line="17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117" w:lineRule="exact"/>
        <w:rPr>
          <w:sz w:val="24"/>
          <w:szCs w:val="24"/>
          <w:color w:val="auto"/>
        </w:rPr>
      </w:pPr>
    </w:p>
    <w:p>
      <w:pPr>
        <w:sectPr>
          <w:pgSz w:w="11900" w:h="16838" w:orient="portrait"/>
          <w:cols w:equalWidth="0" w:num="2">
            <w:col w:w="5220" w:space="720"/>
            <w:col w:w="5080"/>
          </w:cols>
          <w:pgMar w:left="440" w:top="918"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Security Type: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SEC Registered Senior Notes</w:t>
      </w:r>
    </w:p>
    <w:p>
      <w:pPr>
        <w:spacing w:after="0" w:line="117" w:lineRule="exact"/>
        <w:rPr>
          <w:sz w:val="24"/>
          <w:szCs w:val="24"/>
          <w:color w:val="auto"/>
        </w:rPr>
      </w:pPr>
    </w:p>
    <w:p>
      <w:pPr>
        <w:sectPr>
          <w:pgSz w:w="11900" w:h="16838" w:orient="portrait"/>
          <w:cols w:equalWidth="0" w:num="2">
            <w:col w:w="5220" w:space="720"/>
            <w:col w:w="5080"/>
          </w:cols>
          <w:pgMar w:left="440" w:top="918"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Security: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Fixed-to-Floating Rate Notes due 2028</w:t>
      </w:r>
    </w:p>
    <w:p>
      <w:pPr>
        <w:spacing w:after="0" w:line="128" w:lineRule="exact"/>
        <w:rPr>
          <w:sz w:val="24"/>
          <w:szCs w:val="24"/>
          <w:color w:val="auto"/>
        </w:rPr>
      </w:pPr>
    </w:p>
    <w:p>
      <w:pPr>
        <w:sectPr>
          <w:pgSz w:w="11900" w:h="16838" w:orient="portrait"/>
          <w:cols w:equalWidth="0" w:num="2">
            <w:col w:w="5220" w:space="720"/>
            <w:col w:w="5080"/>
          </w:cols>
          <w:pgMar w:left="440" w:top="918"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Currency:</w:t>
      </w:r>
    </w:p>
    <w:p>
      <w:pPr>
        <w:spacing w:after="0" w:line="20" w:lineRule="exact"/>
        <w:rPr>
          <w:sz w:val="24"/>
          <w:szCs w:val="24"/>
          <w:color w:val="auto"/>
        </w:rPr>
      </w:pPr>
      <w:r>
        <w:rPr>
          <w:sz w:val="24"/>
          <w:szCs w:val="24"/>
          <w:color w:val="auto"/>
        </w:rPr>
        <w:br w:type="column"/>
      </w:r>
    </w:p>
    <w:p>
      <w:pPr>
        <w:jc w:val="center"/>
        <w:ind w:right="4720"/>
        <w:spacing w:after="0"/>
        <w:rPr>
          <w:sz w:val="20"/>
          <w:szCs w:val="20"/>
          <w:color w:val="auto"/>
        </w:rPr>
      </w:pPr>
      <w:r>
        <w:rPr>
          <w:rFonts w:ascii="Times New Roman" w:cs="Times New Roman" w:eastAsia="Times New Roman" w:hAnsi="Times New Roman"/>
          <w:sz w:val="18"/>
          <w:szCs w:val="18"/>
          <w:color w:val="auto"/>
        </w:rPr>
        <w:t>USD</w:t>
      </w:r>
    </w:p>
    <w:p>
      <w:pPr>
        <w:spacing w:after="0" w:line="117" w:lineRule="exact"/>
        <w:rPr>
          <w:sz w:val="24"/>
          <w:szCs w:val="24"/>
          <w:color w:val="auto"/>
        </w:rPr>
      </w:pPr>
    </w:p>
    <w:p>
      <w:pPr>
        <w:sectPr>
          <w:pgSz w:w="11900" w:h="16838" w:orient="portrait"/>
          <w:cols w:equalWidth="0" w:num="2">
            <w:col w:w="5220" w:space="720"/>
            <w:col w:w="5080"/>
          </w:cols>
          <w:pgMar w:left="440" w:top="918"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Size: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$2,000,000,000</w:t>
      </w:r>
    </w:p>
    <w:p>
      <w:pPr>
        <w:spacing w:after="0" w:line="117" w:lineRule="exact"/>
        <w:rPr>
          <w:sz w:val="24"/>
          <w:szCs w:val="24"/>
          <w:color w:val="auto"/>
        </w:rPr>
      </w:pPr>
    </w:p>
    <w:p>
      <w:pPr>
        <w:sectPr>
          <w:pgSz w:w="11900" w:h="16838" w:orient="portrait"/>
          <w:cols w:equalWidth="0" w:num="2">
            <w:col w:w="5220" w:space="720"/>
            <w:col w:w="5080"/>
          </w:cols>
          <w:pgMar w:left="440" w:top="918"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Maturity: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October 22, 2028</w:t>
      </w:r>
    </w:p>
    <w:p>
      <w:pPr>
        <w:spacing w:after="0" w:line="117" w:lineRule="exact"/>
        <w:rPr>
          <w:sz w:val="24"/>
          <w:szCs w:val="24"/>
          <w:color w:val="auto"/>
        </w:rPr>
      </w:pPr>
    </w:p>
    <w:p>
      <w:pPr>
        <w:sectPr>
          <w:pgSz w:w="11900" w:h="16838" w:orient="portrait"/>
          <w:cols w:equalWidth="0" w:num="2">
            <w:col w:w="5220" w:space="720"/>
            <w:col w:w="5080"/>
          </w:cols>
          <w:pgMar w:left="440" w:top="918"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Fixed Rate Period:</w:t>
      </w:r>
    </w:p>
    <w:p>
      <w:pPr>
        <w:spacing w:after="0" w:line="20" w:lineRule="exact"/>
        <w:rPr>
          <w:sz w:val="24"/>
          <w:szCs w:val="24"/>
          <w:color w:val="auto"/>
        </w:rPr>
      </w:pPr>
      <w:r>
        <w:rPr>
          <w:sz w:val="24"/>
          <w:szCs w:val="24"/>
          <w:color w:val="auto"/>
        </w:rPr>
        <w:br w:type="column"/>
      </w:r>
    </w:p>
    <w:p>
      <w:pPr>
        <w:ind w:right="160"/>
        <w:spacing w:after="0" w:line="282" w:lineRule="auto"/>
        <w:rPr>
          <w:sz w:val="20"/>
          <w:szCs w:val="20"/>
          <w:color w:val="auto"/>
        </w:rPr>
      </w:pPr>
      <w:r>
        <w:rPr>
          <w:rFonts w:ascii="Times New Roman" w:cs="Times New Roman" w:eastAsia="Times New Roman" w:hAnsi="Times New Roman"/>
          <w:sz w:val="18"/>
          <w:szCs w:val="18"/>
          <w:color w:val="auto"/>
        </w:rPr>
        <w:t>From and including October 22, 2024 to, but excluding, October 22, 2027</w:t>
      </w:r>
    </w:p>
    <w:p>
      <w:pPr>
        <w:spacing w:after="0" w:line="54" w:lineRule="exact"/>
        <w:rPr>
          <w:sz w:val="24"/>
          <w:szCs w:val="24"/>
          <w:color w:val="auto"/>
        </w:rPr>
      </w:pPr>
    </w:p>
    <w:p>
      <w:pPr>
        <w:sectPr>
          <w:pgSz w:w="11900" w:h="16838" w:orient="portrait"/>
          <w:cols w:equalWidth="0" w:num="2">
            <w:col w:w="5220" w:space="720"/>
            <w:col w:w="5080"/>
          </w:cols>
          <w:pgMar w:left="440" w:top="918"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Floating Rate Period: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From and including October 22, 2027 to, but excluding, Maturity</w:t>
      </w:r>
    </w:p>
    <w:p>
      <w:pPr>
        <w:spacing w:after="0" w:line="129" w:lineRule="exact"/>
        <w:rPr>
          <w:sz w:val="24"/>
          <w:szCs w:val="24"/>
          <w:color w:val="auto"/>
        </w:rPr>
      </w:pPr>
    </w:p>
    <w:p>
      <w:pPr>
        <w:sectPr>
          <w:pgSz w:w="11900" w:h="16838" w:orient="portrait"/>
          <w:cols w:equalWidth="0" w:num="2">
            <w:col w:w="5220" w:space="720"/>
            <w:col w:w="5080"/>
          </w:cols>
          <w:pgMar w:left="440" w:top="918"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Payment Frequency:</w:t>
      </w:r>
    </w:p>
    <w:p>
      <w:pPr>
        <w:spacing w:after="0" w:line="20" w:lineRule="exact"/>
        <w:rPr>
          <w:sz w:val="24"/>
          <w:szCs w:val="24"/>
          <w:color w:val="auto"/>
        </w:rPr>
      </w:pPr>
      <w:r>
        <w:rPr>
          <w:sz w:val="24"/>
          <w:szCs w:val="24"/>
          <w:color w:val="auto"/>
        </w:rPr>
        <w:br w:type="column"/>
      </w:r>
    </w:p>
    <w:p>
      <w:pPr>
        <w:ind w:right="260"/>
        <w:spacing w:after="0" w:line="282" w:lineRule="auto"/>
        <w:rPr>
          <w:sz w:val="20"/>
          <w:szCs w:val="20"/>
          <w:color w:val="auto"/>
        </w:rPr>
      </w:pPr>
      <w:r>
        <w:rPr>
          <w:rFonts w:ascii="Times New Roman" w:cs="Times New Roman" w:eastAsia="Times New Roman" w:hAnsi="Times New Roman"/>
          <w:sz w:val="18"/>
          <w:szCs w:val="18"/>
          <w:color w:val="auto"/>
        </w:rPr>
        <w:t>Semi-annual during the Fixed Rate Period and quarterly during the Floating Rate Period</w:t>
      </w:r>
    </w:p>
    <w:p>
      <w:pPr>
        <w:spacing w:after="0" w:line="54" w:lineRule="exact"/>
        <w:rPr>
          <w:sz w:val="24"/>
          <w:szCs w:val="24"/>
          <w:color w:val="auto"/>
        </w:rPr>
      </w:pPr>
    </w:p>
    <w:p>
      <w:pPr>
        <w:sectPr>
          <w:pgSz w:w="11900" w:h="16838" w:orient="portrait"/>
          <w:cols w:equalWidth="0" w:num="2">
            <w:col w:w="5220" w:space="720"/>
            <w:col w:w="5080"/>
          </w:cols>
          <w:pgMar w:left="440" w:top="918"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Day Count Fraction:</w:t>
      </w:r>
    </w:p>
    <w:p>
      <w:pPr>
        <w:spacing w:after="0" w:line="20" w:lineRule="exact"/>
        <w:rPr>
          <w:sz w:val="24"/>
          <w:szCs w:val="24"/>
          <w:color w:val="auto"/>
        </w:rPr>
      </w:pPr>
      <w:r>
        <w:rPr>
          <w:sz w:val="24"/>
          <w:szCs w:val="24"/>
          <w:color w:val="auto"/>
        </w:rPr>
        <w:br w:type="column"/>
      </w:r>
    </w:p>
    <w:p>
      <w:pPr>
        <w:ind w:right="140"/>
        <w:spacing w:after="0" w:line="282" w:lineRule="auto"/>
        <w:rPr>
          <w:sz w:val="20"/>
          <w:szCs w:val="20"/>
          <w:color w:val="auto"/>
        </w:rPr>
      </w:pPr>
      <w:r>
        <w:rPr>
          <w:rFonts w:ascii="Times New Roman" w:cs="Times New Roman" w:eastAsia="Times New Roman" w:hAnsi="Times New Roman"/>
          <w:sz w:val="18"/>
          <w:szCs w:val="18"/>
          <w:color w:val="auto"/>
        </w:rPr>
        <w:t>30/360 during the Fixed Rate Period, Actual/360 during the Floating Rate Period</w:t>
      </w:r>
    </w:p>
    <w:p>
      <w:pPr>
        <w:spacing w:after="0" w:line="54" w:lineRule="exact"/>
        <w:rPr>
          <w:sz w:val="24"/>
          <w:szCs w:val="24"/>
          <w:color w:val="auto"/>
        </w:rPr>
      </w:pPr>
    </w:p>
    <w:p>
      <w:pPr>
        <w:sectPr>
          <w:pgSz w:w="11900" w:h="16838" w:orient="portrait"/>
          <w:cols w:equalWidth="0" w:num="2">
            <w:col w:w="5220" w:space="720"/>
            <w:col w:w="5080"/>
          </w:cols>
          <w:pgMar w:left="440" w:top="918"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3.875% due October 15, 2027</w:t>
      </w:r>
    </w:p>
    <w:p>
      <w:pPr>
        <w:spacing w:after="0" w:line="129" w:lineRule="exact"/>
        <w:rPr>
          <w:sz w:val="24"/>
          <w:szCs w:val="24"/>
          <w:color w:val="auto"/>
        </w:rPr>
      </w:pPr>
    </w:p>
    <w:p>
      <w:pPr>
        <w:sectPr>
          <w:pgSz w:w="11900" w:h="16838" w:orient="portrait"/>
          <w:cols w:equalWidth="0" w:num="2">
            <w:col w:w="5220" w:space="720"/>
            <w:col w:w="5080"/>
          </w:cols>
          <w:pgMar w:left="440" w:top="918"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Benchmark Treasury Yield: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3.855%</w:t>
      </w:r>
    </w:p>
    <w:p>
      <w:pPr>
        <w:spacing w:after="0" w:line="117" w:lineRule="exact"/>
        <w:rPr>
          <w:sz w:val="24"/>
          <w:szCs w:val="24"/>
          <w:color w:val="auto"/>
        </w:rPr>
      </w:pPr>
    </w:p>
    <w:p>
      <w:pPr>
        <w:sectPr>
          <w:pgSz w:w="11900" w:h="16838" w:orient="portrait"/>
          <w:cols w:equalWidth="0" w:num="2">
            <w:col w:w="5220" w:space="720"/>
            <w:col w:w="5080"/>
          </w:cols>
          <w:pgMar w:left="440" w:top="918"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Spread to 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+65 basis points</w:t>
      </w:r>
    </w:p>
    <w:p>
      <w:pPr>
        <w:spacing w:after="0" w:line="117" w:lineRule="exact"/>
        <w:rPr>
          <w:sz w:val="24"/>
          <w:szCs w:val="24"/>
          <w:color w:val="auto"/>
        </w:rPr>
      </w:pPr>
    </w:p>
    <w:p>
      <w:pPr>
        <w:sectPr>
          <w:pgSz w:w="11900" w:h="16838" w:orient="portrait"/>
          <w:cols w:equalWidth="0" w:num="2">
            <w:col w:w="5220" w:space="720"/>
            <w:col w:w="5080"/>
          </w:cols>
          <w:pgMar w:left="440" w:top="918"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Reoffer Yield:</w:t>
      </w:r>
    </w:p>
    <w:p>
      <w:pPr>
        <w:spacing w:after="0" w:line="20" w:lineRule="exact"/>
        <w:rPr>
          <w:sz w:val="24"/>
          <w:szCs w:val="24"/>
          <w:color w:val="auto"/>
        </w:rPr>
      </w:pPr>
      <w:r>
        <w:rPr>
          <w:sz w:val="24"/>
          <w:szCs w:val="24"/>
          <w:color w:val="auto"/>
        </w:rPr>
        <w:br w:type="column"/>
      </w:r>
    </w:p>
    <w:p>
      <w:pPr>
        <w:jc w:val="center"/>
        <w:ind w:right="4520"/>
        <w:spacing w:after="0"/>
        <w:rPr>
          <w:sz w:val="20"/>
          <w:szCs w:val="20"/>
          <w:color w:val="auto"/>
        </w:rPr>
      </w:pPr>
      <w:r>
        <w:rPr>
          <w:rFonts w:ascii="Times New Roman" w:cs="Times New Roman" w:eastAsia="Times New Roman" w:hAnsi="Times New Roman"/>
          <w:sz w:val="18"/>
          <w:szCs w:val="18"/>
          <w:color w:val="auto"/>
        </w:rPr>
        <w:t>4.505%</w:t>
      </w:r>
    </w:p>
    <w:p>
      <w:pPr>
        <w:sectPr>
          <w:pgSz w:w="11900" w:h="16838" w:orient="portrait"/>
          <w:cols w:equalWidth="0" w:num="2">
            <w:col w:w="5220" w:space="720"/>
            <w:col w:w="5080"/>
          </w:cols>
          <w:pgMar w:left="440" w:top="918" w:right="439" w:bottom="1440" w:gutter="0" w:footer="0" w:header="0"/>
          <w:type w:val="continuous"/>
        </w:sectPr>
      </w:pPr>
    </w:p>
    <w:bookmarkStart w:id="1" w:name="page2"/>
    <w:bookmarkEnd w:id="1"/>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Rate Coupon: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Floating Rate Coupon: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Floating Rate Index:</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Floating Rate Reset Frequency: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Issuer: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 Convention: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-307975</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4.505%, payable semiannually in arrears during the Fixed Rate Period.</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 annual floating rate equal to the Floating Rate Index plus a spread of 0.860% per annum, payable quarterly in arrears during the Floating Rate Period.</w:t>
      </w:r>
    </w:p>
    <w:p>
      <w:pPr>
        <w:spacing w:after="0" w:line="6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Benchmark rate (expected to be Compounded SOFR as described under “Description of the Notes—Interest on the notes” in the Preliminary Prospectus Supplement).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during the Floating Rate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of face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$1,995,000,000</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Fixed Rate Period, each April 22 and October 22, beginning April 22, 2025 and including October 22, 2027, and during the Floating Rate Period, each of January 22, 2028, April 22, 2028, July 22, 2028 and October 22, 2028.</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11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the Fixed Rate Period, following business day. During the Floating Rate Period, modified following business day.</w:t>
      </w:r>
    </w:p>
    <w:p>
      <w:pPr>
        <w:spacing w:after="0" w:line="54"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We may redeem the notes, at our option, in whole at any time or in part from time to time, on or after April 22, 2025 and prior to October 22, 2027 upon at least 5 days’ but no more than 60 days’ notice to holders of the notes, at a redemption price equal to the greater of: (i) (a) the sum of the present values of the remaining scheduled payments of principal and interest on the notes to be</w:t>
      </w:r>
    </w:p>
    <w:p>
      <w:pPr>
        <w:sectPr>
          <w:pgSz w:w="11900" w:h="16838" w:orient="portrait"/>
          <w:cols w:equalWidth="0" w:num="2">
            <w:col w:w="4780" w:space="720"/>
            <w:col w:w="5080"/>
          </w:cols>
          <w:pgMar w:left="880" w:top="418" w:right="4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redeemed discounted to the redemption date (assuming the notes</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matured on October 22, 2027) on a semi-annual basis (assuming a</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360-day year consisting of twelve 30-day months) at the “Treasury</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Rate” plus 10 basis points less (b) interest accrued on those notes to</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the redemption date; and (ii) 100% of the principal amount of the</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notes to be redeemed; plus, in either case, accrued and unpaid interest</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on the notes to be redeemed to, but excluding, the redemption date.</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In addition, we may redeem the notes, at our option, in whole, but not</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in part, on October 22, 2027 upon at least 5 days’ but no more than 60</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days’ notice to holders of the notes, at a redemption price equal to</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100% of the principal amount of the notes to be redeemed plus</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accrued and unpaid interest thereon to, but excluding, the redemption</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date.</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In addition, we may redeem the notes, at our option, in whole at any</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time or in part from time to time, on or after September 22, 2028</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upon at least 5 days’ but no more than 60 days’ notice to holders of</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the notes, at a redemption price equal to 100% of the principal</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amount of the notes to be redeemed plus accrued and unpaid interest</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thereon to, but excluding, the redemption date.</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The foregoing supplements and supersedes the information set forth</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under “Description of the Notes” in the Preliminary Prospectus</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Supplement.</w:t>
      </w:r>
    </w:p>
    <w:p>
      <w:pPr>
        <w:sectPr>
          <w:pgSz w:w="11900" w:h="16838" w:orient="portrait"/>
          <w:cols w:equalWidth="0" w:num="1">
            <w:col w:w="10580"/>
          </w:cols>
          <w:pgMar w:left="880" w:top="418" w:right="439" w:bottom="1440" w:gutter="0" w:footer="0" w:header="0"/>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CUSIP/ISIN:</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46647PEP7 / US46647PEP71</w:t>
      </w:r>
    </w:p>
    <w:p>
      <w:pPr>
        <w:spacing w:after="0" w:line="129" w:lineRule="exact"/>
        <w:rPr>
          <w:sz w:val="20"/>
          <w:szCs w:val="20"/>
          <w:color w:val="auto"/>
        </w:rPr>
      </w:pPr>
    </w:p>
    <w:p>
      <w:pPr>
        <w:sectPr>
          <w:pgSz w:w="11900" w:h="16838" w:orient="portrait"/>
          <w:cols w:equalWidth="0" w:num="2">
            <w:col w:w="4780" w:space="720"/>
            <w:col w:w="5080"/>
          </w:cols>
          <w:pgMar w:left="880" w:top="418"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October 15, 2024</w:t>
      </w:r>
    </w:p>
    <w:p>
      <w:pPr>
        <w:spacing w:after="0" w:line="117" w:lineRule="exact"/>
        <w:rPr>
          <w:sz w:val="20"/>
          <w:szCs w:val="20"/>
          <w:color w:val="auto"/>
        </w:rPr>
      </w:pPr>
    </w:p>
    <w:p>
      <w:pPr>
        <w:sectPr>
          <w:pgSz w:w="11900" w:h="16838" w:orient="portrait"/>
          <w:cols w:equalWidth="0" w:num="2">
            <w:col w:w="4780" w:space="720"/>
            <w:col w:w="5080"/>
          </w:cols>
          <w:pgMar w:left="880" w:top="418"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October 22, 2024 (T+5)</w:t>
      </w:r>
    </w:p>
    <w:p>
      <w:pPr>
        <w:sectPr>
          <w:pgSz w:w="11900" w:h="16838" w:orient="portrait"/>
          <w:cols w:equalWidth="0" w:num="2">
            <w:col w:w="4780" w:space="720"/>
            <w:col w:w="5080"/>
          </w:cols>
          <w:pgMar w:left="880" w:top="418" w:right="439" w:bottom="1440" w:gutter="0" w:footer="0" w:header="0"/>
          <w:type w:val="continuous"/>
        </w:sectPr>
      </w:pPr>
    </w:p>
    <w:bookmarkStart w:id="3" w:name="page4"/>
    <w:bookmarkEnd w:id="3"/>
    <w:p>
      <w:pPr>
        <w:ind w:left="104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w:t>
      </w:r>
    </w:p>
    <w:p>
      <w:pPr>
        <w:sectPr>
          <w:pgSz w:w="11900" w:h="16838" w:orient="portrait"/>
          <w:cols w:equalWidth="0" w:num="1">
            <w:col w:w="10580"/>
          </w:cols>
          <w:pgMar w:left="880" w:top="418" w:right="439" w:bottom="1440" w:gutter="0" w:footer="0" w:header="0"/>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Denominations: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x $1,000</w:t>
      </w:r>
    </w:p>
    <w:p>
      <w:pPr>
        <w:spacing w:after="0" w:line="117" w:lineRule="exact"/>
        <w:rPr>
          <w:sz w:val="20"/>
          <w:szCs w:val="20"/>
          <w:color w:val="auto"/>
        </w:rPr>
      </w:pPr>
    </w:p>
    <w:p>
      <w:pPr>
        <w:sectPr>
          <w:pgSz w:w="11900" w:h="16838" w:orient="portrait"/>
          <w:cols w:equalWidth="0" w:num="2">
            <w:col w:w="4780" w:space="720"/>
            <w:col w:w="5080"/>
          </w:cols>
          <w:pgMar w:left="880" w:top="418"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Concurrent Issuance:</w:t>
      </w:r>
    </w:p>
    <w:p>
      <w:pPr>
        <w:spacing w:after="0" w:line="20" w:lineRule="exact"/>
        <w:rPr>
          <w:sz w:val="20"/>
          <w:szCs w:val="20"/>
          <w:color w:val="auto"/>
        </w:rPr>
      </w:pPr>
      <w:r>
        <w:rPr>
          <w:sz w:val="20"/>
          <w:szCs w:val="20"/>
          <w:color w:val="auto"/>
        </w:rPr>
        <w:br w:type="column"/>
      </w: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to the notes described in this term sheet, JPMorgan Chase &amp; Co. is concurrently offering $500,000,000 of floating rate notes due 2028, $2,500,000,000 of fixed-to-floating rate notes due 2030 and $3,000,000,000 of fixed-to-floating rate notes due 2035. The consummation of each of these offerings is not contingent on any other offering.</w:t>
      </w:r>
    </w:p>
    <w:p>
      <w:pPr>
        <w:spacing w:after="0" w:line="79" w:lineRule="exact"/>
        <w:rPr>
          <w:sz w:val="20"/>
          <w:szCs w:val="20"/>
          <w:color w:val="auto"/>
        </w:rPr>
      </w:pPr>
    </w:p>
    <w:p>
      <w:pPr>
        <w:sectPr>
          <w:pgSz w:w="11900" w:h="16838" w:orient="portrait"/>
          <w:cols w:equalWidth="0" w:num="2">
            <w:col w:w="4780" w:space="720"/>
            <w:col w:w="5080"/>
          </w:cols>
          <w:pgMar w:left="880" w:top="418"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Sole Bookrunner: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J.P. Morgan Securities LLC</w:t>
      </w:r>
    </w:p>
    <w:p>
      <w:pPr>
        <w:spacing w:after="0" w:line="128" w:lineRule="exact"/>
        <w:rPr>
          <w:sz w:val="20"/>
          <w:szCs w:val="20"/>
          <w:color w:val="auto"/>
        </w:rPr>
      </w:pPr>
    </w:p>
    <w:p>
      <w:pPr>
        <w:sectPr>
          <w:pgSz w:w="11900" w:h="16838" w:orient="portrait"/>
          <w:cols w:equalWidth="0" w:num="2">
            <w:col w:w="4780" w:space="720"/>
            <w:col w:w="5080"/>
          </w:cols>
          <w:pgMar w:left="880" w:top="418"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BBVA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BNY Mellon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CaixaBank,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One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CIBC World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Danske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Fifth Third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Intesa Sanpaolo IMI Securities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nabSecurities,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Natixis Securities Americas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NatWest Markets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Rabo Securities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Chartered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Westpac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Veterans Group, PBC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AmeriVet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Apto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Bancroft Capital,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Blaylock Van,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CastleOak Securities,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Drexel Hamilton,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Falcon Square Capital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Guzman &amp;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Independence Point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MFR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Multi-Bank Securities, Inc.</w:t>
      </w:r>
    </w:p>
    <w:p>
      <w:pPr>
        <w:sectPr>
          <w:pgSz w:w="11900" w:h="16838" w:orient="portrait"/>
          <w:cols w:equalWidth="0" w:num="2">
            <w:col w:w="4780" w:space="720"/>
            <w:col w:w="5080"/>
          </w:cols>
          <w:pgMar w:left="880" w:top="418" w:right="439"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Penserra Securities LLC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 Seelaus &amp; Co., LLC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Roberts &amp; Ryan Investments, Inc.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Samuel A. Ramirez &amp; Company, Inc.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Siebert Williams Shank &amp; Co., LLC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Telsey Advisory Group LLC</w:t>
      </w:r>
    </w:p>
    <w:p>
      <w:pPr>
        <w:spacing w:after="0" w:line="22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Certain of the underwriters are not U.S. registered broker-dealers, and will not effect any offers or sales of any notes in the United States unless it is through one or more U.S. registered broker-dealers as permitted by the regulations of the Financial Industry Regulatory Authority, Inc.</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Settlement Period: The closing will occur on October 22, 2024 which will be more than one U.S. business day after the date of this pricing term sheet. Rule 15c6-1 under the Securities Exchange Act of 1934 generally requires that securities trades in the secondary market settle in one business day, unless the parties to a trade expressly agree otherwise.</w:t>
      </w:r>
    </w:p>
    <w:p>
      <w:pPr>
        <w:spacing w:after="0" w:line="17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JPMorgan Chase &amp; Co. has filed a registration statement (including a prospectus, as supplemented by a prospectus supplement) with the Securities and Exchange Commission, or SEC, for the offering to which this term sheet relates. Before you invest, you should read the prospectus in that registration statement, the prospectus supplement and any other documents relating to this offering that JPMorgan Chase &amp; Co. has filed with the SEC for more complete information about JPMorgan Chase &amp; Co. and this offering. You may get these documents without cost by visiting EDGAR on the SEC Web site at www.sec.gov. Alternatively, the issuer, any underwriter or any dealer participating in the offering will arrange to send you the prospectus if you request it by calling collect 1-212-834-4533.</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sectPr>
      <w:pgSz w:w="11900" w:h="16838" w:orient="portrait"/>
      <w:cols w:equalWidth="0" w:num="1">
        <w:col w:w="11020"/>
      </w:cols>
      <w:pgMar w:left="440" w:top="41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2024-10-16T10:05:50Z</dcterms:created>
  <dcterms:modified xsi:type="dcterms:W3CDTF">2024-10-16T10:05:50Z</dcterms:modified>
</cp:coreProperties>
</file>