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35"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spacing w:after="0" w:line="166" w:lineRule="exact"/>
        <w:rPr>
          <w:sz w:val="24"/>
          <w:szCs w:val="24"/>
          <w:color w:val="auto"/>
        </w:rPr>
      </w:pPr>
    </w:p>
    <w:p>
      <w:pPr>
        <w:ind w:left="3240"/>
        <w:spacing w:after="0"/>
        <w:rPr>
          <w:sz w:val="20"/>
          <w:szCs w:val="20"/>
          <w:color w:val="auto"/>
        </w:rPr>
      </w:pPr>
      <w:r>
        <w:rPr>
          <w:rFonts w:ascii="Courier New" w:cs="Courier New" w:eastAsia="Courier New" w:hAnsi="Courier New"/>
          <w:sz w:val="15"/>
          <w:szCs w:val="15"/>
          <w:color w:val="auto"/>
        </w:rPr>
        <w:t>FORM 10-Q</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4"/>
          <w:szCs w:val="14"/>
          <w:color w:val="auto"/>
        </w:rPr>
        <w:t>QUARTERLY REPORT UNDER SECTION 13 OR 15(d)</w:t>
      </w:r>
    </w:p>
    <w:p>
      <w:pPr>
        <w:spacing w:after="0" w:line="3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OF THE SECURITIES EXCHANGE ACT OF 1934</w:t>
      </w:r>
    </w:p>
    <w:p>
      <w:pPr>
        <w:sectPr>
          <w:pgSz w:w="11900" w:h="16838" w:orient="portrait"/>
          <w:cols w:equalWidth="0" w:num="1">
            <w:col w:w="10239"/>
          </w:cols>
          <w:pgMar w:left="220" w:top="710" w:right="1440" w:bottom="0" w:gutter="0" w:footer="0" w:header="0"/>
        </w:sectPr>
      </w:pPr>
    </w:p>
    <w:p>
      <w:pPr>
        <w:spacing w:after="0" w:line="200" w:lineRule="exact"/>
        <w:rPr>
          <w:sz w:val="24"/>
          <w:szCs w:val="24"/>
          <w:color w:val="auto"/>
        </w:rPr>
      </w:pPr>
    </w:p>
    <w:p>
      <w:pPr>
        <w:spacing w:after="0" w:line="277" w:lineRule="exact"/>
        <w:rPr>
          <w:sz w:val="24"/>
          <w:szCs w:val="24"/>
          <w:color w:val="auto"/>
        </w:rPr>
      </w:pPr>
    </w:p>
    <w:p>
      <w:pPr>
        <w:jc w:val="right"/>
        <w:ind w:right="320"/>
        <w:spacing w:after="0" w:line="344" w:lineRule="auto"/>
        <w:rPr>
          <w:sz w:val="20"/>
          <w:szCs w:val="20"/>
          <w:color w:val="auto"/>
        </w:rPr>
      </w:pPr>
      <w:r>
        <w:rPr>
          <w:rFonts w:ascii="Courier New" w:cs="Courier New" w:eastAsia="Courier New" w:hAnsi="Courier New"/>
          <w:sz w:val="15"/>
          <w:szCs w:val="15"/>
          <w:color w:val="auto"/>
        </w:rPr>
        <w:t>For the Quarter Ended June 30, 1996 -------------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7" w:lineRule="exact"/>
        <w:rPr>
          <w:sz w:val="24"/>
          <w:szCs w:val="24"/>
          <w:color w:val="auto"/>
        </w:rPr>
      </w:pPr>
    </w:p>
    <w:p>
      <w:pPr>
        <w:jc w:val="right"/>
        <w:ind w:right="3579"/>
        <w:spacing w:after="0"/>
        <w:rPr>
          <w:sz w:val="20"/>
          <w:szCs w:val="20"/>
          <w:color w:val="auto"/>
        </w:rPr>
      </w:pPr>
      <w:r>
        <w:rPr>
          <w:rFonts w:ascii="Courier New" w:cs="Courier New" w:eastAsia="Courier New" w:hAnsi="Courier New"/>
          <w:sz w:val="14"/>
          <w:szCs w:val="14"/>
          <w:color w:val="auto"/>
        </w:rPr>
        <w:t>Commission file number 1-5805</w:t>
      </w:r>
    </w:p>
    <w:p>
      <w:pPr>
        <w:spacing w:after="0" w:line="36" w:lineRule="exact"/>
        <w:rPr>
          <w:sz w:val="24"/>
          <w:szCs w:val="24"/>
          <w:color w:val="auto"/>
        </w:rPr>
      </w:pPr>
    </w:p>
    <w:p>
      <w:pPr>
        <w:jc w:val="right"/>
        <w:ind w:right="3579"/>
        <w:spacing w:after="0"/>
        <w:rPr>
          <w:sz w:val="20"/>
          <w:szCs w:val="20"/>
          <w:color w:val="auto"/>
        </w:rPr>
      </w:pPr>
      <w:r>
        <w:rPr>
          <w:rFonts w:ascii="Courier New" w:cs="Courier New" w:eastAsia="Courier New" w:hAnsi="Courier New"/>
          <w:sz w:val="15"/>
          <w:szCs w:val="15"/>
          <w:color w:val="auto"/>
        </w:rPr>
        <w:t>------</w:t>
      </w:r>
    </w:p>
    <w:p>
      <w:pPr>
        <w:spacing w:after="0" w:line="322" w:lineRule="exact"/>
        <w:rPr>
          <w:sz w:val="24"/>
          <w:szCs w:val="24"/>
          <w:color w:val="auto"/>
        </w:rPr>
      </w:pPr>
    </w:p>
    <w:p>
      <w:pPr>
        <w:sectPr>
          <w:pgSz w:w="11900" w:h="16838" w:orient="portrait"/>
          <w:cols w:equalWidth="0" w:num="2">
            <w:col w:w="3400" w:space="720"/>
            <w:col w:w="6119"/>
          </w:cols>
          <w:pgMar w:left="220" w:top="710" w:right="1440" w:bottom="0" w:gutter="0" w:footer="0" w:header="0"/>
          <w:type w:val="continuous"/>
        </w:sectPr>
      </w:pPr>
    </w:p>
    <w:p>
      <w:pPr>
        <w:spacing w:after="0" w:line="154"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CHASE MANHATTAN CORPORATION</w:t>
      </w:r>
    </w:p>
    <w:p>
      <w:pPr>
        <w:spacing w:after="0" w:line="24"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710"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Delaware</w:t>
      </w:r>
    </w:p>
    <w:p>
      <w:pPr>
        <w:spacing w:after="0" w:line="23"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10"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13-2624428</w:t>
      </w:r>
    </w:p>
    <w:p>
      <w:pPr>
        <w:spacing w:after="0" w:line="2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(I.R.S. Employer</w:t>
      </w:r>
    </w:p>
    <w:p>
      <w:pPr>
        <w:ind w:left="80"/>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2">
            <w:col w:w="3760" w:space="720"/>
            <w:col w:w="5759"/>
          </w:cols>
          <w:pgMar w:left="220" w:top="710" w:right="1440" w:bottom="0" w:gutter="0" w:footer="0" w:header="0"/>
          <w:type w:val="continuous"/>
        </w:sectPr>
      </w:pPr>
    </w:p>
    <w:p>
      <w:pPr>
        <w:spacing w:after="0" w:line="288" w:lineRule="exact"/>
        <w:rPr>
          <w:sz w:val="24"/>
          <w:szCs w:val="24"/>
          <w:color w:val="auto"/>
        </w:rPr>
      </w:pPr>
    </w:p>
    <w:p>
      <w:pPr>
        <w:ind w:right="520"/>
        <w:spacing w:after="0" w:line="385" w:lineRule="auto"/>
        <w:rPr>
          <w:sz w:val="20"/>
          <w:szCs w:val="20"/>
          <w:color w:val="auto"/>
        </w:rPr>
      </w:pPr>
      <w:r>
        <w:rPr>
          <w:rFonts w:ascii="Courier New" w:cs="Courier New" w:eastAsia="Courier New" w:hAnsi="Courier New"/>
          <w:sz w:val="14"/>
          <w:szCs w:val="14"/>
          <w:color w:val="auto"/>
        </w:rPr>
        <w:t>270 Park Avenue, New York, New York (Address of principal executive offices)</w:t>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ind w:left="160"/>
        <w:spacing w:after="0"/>
        <w:rPr>
          <w:sz w:val="20"/>
          <w:szCs w:val="20"/>
          <w:color w:val="auto"/>
        </w:rPr>
      </w:pPr>
      <w:r>
        <w:rPr>
          <w:rFonts w:ascii="Courier New" w:cs="Courier New" w:eastAsia="Courier New" w:hAnsi="Courier New"/>
          <w:sz w:val="15"/>
          <w:szCs w:val="15"/>
          <w:color w:val="auto"/>
        </w:rPr>
        <w:t>10017</w:t>
      </w: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356" w:lineRule="exact"/>
        <w:rPr>
          <w:sz w:val="24"/>
          <w:szCs w:val="24"/>
          <w:color w:val="auto"/>
        </w:rPr>
      </w:pPr>
    </w:p>
    <w:p>
      <w:pPr>
        <w:sectPr>
          <w:pgSz w:w="11900" w:h="16838" w:orient="portrait"/>
          <w:cols w:equalWidth="0" w:num="2">
            <w:col w:w="4020" w:space="720"/>
            <w:col w:w="5499"/>
          </w:cols>
          <w:pgMar w:left="220" w:top="710" w:right="1440" w:bottom="0" w:gutter="0" w:footer="0" w:header="0"/>
          <w:type w:val="continuous"/>
        </w:sectPr>
      </w:pPr>
    </w:p>
    <w:p>
      <w:pPr>
        <w:spacing w:after="0" w:line="132"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(212) 270-6000</w:t>
      </w:r>
    </w:p>
    <w:p>
      <w:pPr>
        <w:spacing w:after="0" w:line="200" w:lineRule="exact"/>
        <w:rPr>
          <w:sz w:val="24"/>
          <w:szCs w:val="24"/>
          <w:color w:val="auto"/>
        </w:rPr>
      </w:pPr>
    </w:p>
    <w:p>
      <w:pPr>
        <w:sectPr>
          <w:pgSz w:w="11900" w:h="16838" w:orient="portrait"/>
          <w:cols w:equalWidth="0" w:num="2">
            <w:col w:w="4740" w:space="160"/>
            <w:col w:w="5339"/>
          </w:cols>
          <w:pgMar w:left="220" w:top="710" w:right="1440" w:bottom="0" w:gutter="0" w:footer="0" w:header="0"/>
          <w:type w:val="continuous"/>
        </w:sectPr>
      </w:pPr>
    </w:p>
    <w:p>
      <w:pPr>
        <w:spacing w:after="0" w:line="146" w:lineRule="exact"/>
        <w:rPr>
          <w:sz w:val="24"/>
          <w:szCs w:val="24"/>
          <w:color w:val="auto"/>
        </w:rPr>
      </w:pPr>
    </w:p>
    <w:p>
      <w:pPr>
        <w:jc w:val="both"/>
        <w:ind w:right="3239" w:firstLine="525"/>
        <w:spacing w:after="0" w:line="264"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39"/>
          </w:cols>
          <w:pgMar w:left="220" w:top="710" w:right="1440" w:bottom="0" w:gutter="0" w:footer="0" w:header="0"/>
          <w:type w:val="continuous"/>
        </w:sectPr>
      </w:pPr>
    </w:p>
    <w:p>
      <w:pPr>
        <w:spacing w:after="0" w:line="243" w:lineRule="exact"/>
        <w:rPr>
          <w:sz w:val="24"/>
          <w:szCs w:val="24"/>
          <w:color w:val="auto"/>
        </w:rPr>
      </w:pPr>
    </w:p>
    <w:p>
      <w:pPr>
        <w:ind w:left="4740"/>
        <w:spacing w:after="0"/>
        <w:rPr>
          <w:sz w:val="20"/>
          <w:szCs w:val="20"/>
          <w:color w:val="auto"/>
        </w:rPr>
      </w:pPr>
      <w:r>
        <w:rPr>
          <w:rFonts w:ascii="Courier New" w:cs="Courier New" w:eastAsia="Courier New" w:hAnsi="Courier New"/>
          <w:sz w:val="14"/>
          <w:szCs w:val="14"/>
          <w:color w:val="auto"/>
        </w:rPr>
        <w:t>Yes.X..</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w:t>
      </w:r>
    </w:p>
    <w:p>
      <w:pPr>
        <w:spacing w:after="0" w:line="200" w:lineRule="exact"/>
        <w:rPr>
          <w:sz w:val="24"/>
          <w:szCs w:val="24"/>
          <w:color w:val="auto"/>
        </w:rPr>
      </w:pPr>
    </w:p>
    <w:p>
      <w:pPr>
        <w:sectPr>
          <w:pgSz w:w="11900" w:h="16838" w:orient="portrait"/>
          <w:cols w:equalWidth="0" w:num="2">
            <w:col w:w="5340" w:space="360"/>
            <w:col w:w="4539"/>
          </w:cols>
          <w:pgMar w:left="220" w:top="710" w:right="1440" w:bottom="0" w:gutter="0" w:footer="0" w:header="0"/>
          <w:type w:val="continuous"/>
        </w:sectPr>
      </w:pPr>
    </w:p>
    <w:p>
      <w:pPr>
        <w:spacing w:after="0" w:line="146" w:lineRule="exact"/>
        <w:rPr>
          <w:sz w:val="24"/>
          <w:szCs w:val="24"/>
          <w:color w:val="auto"/>
        </w:rPr>
      </w:pPr>
    </w:p>
    <w:p>
      <w:pPr>
        <w:spacing w:after="0"/>
        <w:tabs>
          <w:tab w:leader="none" w:pos="5760" w:val="left"/>
        </w:tabs>
        <w:rPr>
          <w:sz w:val="20"/>
          <w:szCs w:val="20"/>
          <w:color w:val="auto"/>
        </w:rPr>
      </w:pPr>
      <w:r>
        <w:rPr>
          <w:rFonts w:ascii="Courier New" w:cs="Courier New" w:eastAsia="Courier New" w:hAnsi="Courier New"/>
          <w:sz w:val="15"/>
          <w:szCs w:val="15"/>
          <w:color w:val="auto"/>
        </w:rPr>
        <w:t>Common Stock, $1 Par Value</w:t>
      </w:r>
      <w:r>
        <w:rPr>
          <w:sz w:val="20"/>
          <w:szCs w:val="20"/>
          <w:color w:val="auto"/>
        </w:rPr>
        <w:tab/>
      </w:r>
      <w:r>
        <w:rPr>
          <w:rFonts w:ascii="Courier New" w:cs="Courier New" w:eastAsia="Courier New" w:hAnsi="Courier New"/>
          <w:sz w:val="14"/>
          <w:szCs w:val="14"/>
          <w:color w:val="auto"/>
        </w:rPr>
        <w:t>436,251,530</w:t>
      </w:r>
    </w:p>
    <w:p>
      <w:pPr>
        <w:sectPr>
          <w:pgSz w:w="11900" w:h="16838" w:orient="portrait"/>
          <w:cols w:equalWidth="0" w:num="1">
            <w:col w:w="10239"/>
          </w:cols>
          <w:pgMar w:left="220" w:top="710" w:right="1440" w:bottom="0" w:gutter="0" w:footer="0" w:header="0"/>
          <w:type w:val="continuous"/>
        </w:sectPr>
      </w:pPr>
    </w:p>
    <w:p>
      <w:pPr>
        <w:spacing w:after="0" w:line="23" w:lineRule="exact"/>
        <w:rPr>
          <w:sz w:val="24"/>
          <w:szCs w:val="24"/>
          <w:color w:val="auto"/>
        </w:rPr>
      </w:pPr>
    </w:p>
    <w:p>
      <w:pPr>
        <w:ind w:left="180" w:hanging="170"/>
        <w:spacing w:after="0"/>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319"/>
        <w:spacing w:after="0" w:line="30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outstanding of each of the issuer's classes of common stock on July 31, 1996.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8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4080" w:type="dxa"/>
            <w:vAlign w:val="bottom"/>
          </w:tcPr>
          <w:p>
            <w:pPr>
              <w:spacing w:after="0"/>
              <w:rPr>
                <w:sz w:val="20"/>
                <w:szCs w:val="20"/>
                <w:color w:val="auto"/>
              </w:rPr>
            </w:pPr>
            <w:r>
              <w:rPr>
                <w:rFonts w:ascii="Courier New" w:cs="Courier New" w:eastAsia="Courier New" w:hAnsi="Courier New"/>
                <w:sz w:val="15"/>
                <w:szCs w:val="15"/>
                <w:color w:val="auto"/>
              </w:rPr>
              <w:t>FORM 10-Q INDEX</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4"/>
        </w:trPr>
        <w:tc>
          <w:tcPr>
            <w:tcW w:w="88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6000" w:type="dxa"/>
            <w:vAlign w:val="bottom"/>
            <w:gridSpan w:val="2"/>
            <w:vMerge w:val="restart"/>
          </w:tcPr>
          <w:p>
            <w:pPr>
              <w:ind w:left="620"/>
              <w:spacing w:after="0"/>
              <w:rPr>
                <w:sz w:val="20"/>
                <w:szCs w:val="20"/>
                <w:color w:val="auto"/>
              </w:rPr>
            </w:pPr>
            <w:r>
              <w:rPr>
                <w:rFonts w:ascii="Courier New" w:cs="Courier New" w:eastAsia="Courier New" w:hAnsi="Courier New"/>
                <w:sz w:val="15"/>
                <w:szCs w:val="15"/>
                <w:color w:val="auto"/>
              </w:rPr>
              <w:t>Financial Statements - The Chase Manhattan Corporation</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c>
          <w:tcPr>
            <w:tcW w:w="0" w:type="dxa"/>
            <w:vAlign w:val="bottom"/>
          </w:tcPr>
          <w:p>
            <w:pPr>
              <w:spacing w:after="0"/>
              <w:rPr>
                <w:sz w:val="1"/>
                <w:szCs w:val="1"/>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1</w:t>
            </w:r>
          </w:p>
        </w:tc>
        <w:tc>
          <w:tcPr>
            <w:tcW w:w="600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880" w:type="dxa"/>
            <w:vAlign w:val="bottom"/>
          </w:tcPr>
          <w:p>
            <w:pPr>
              <w:spacing w:after="0"/>
              <w:rPr>
                <w:sz w:val="21"/>
                <w:szCs w:val="21"/>
                <w:color w:val="auto"/>
              </w:rPr>
            </w:pPr>
          </w:p>
        </w:tc>
        <w:tc>
          <w:tcPr>
            <w:tcW w:w="600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and Subsidiaries:</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880" w:type="dxa"/>
            <w:vAlign w:val="bottom"/>
          </w:tcPr>
          <w:p>
            <w:pPr>
              <w:spacing w:after="0"/>
              <w:rPr>
                <w:sz w:val="24"/>
                <w:szCs w:val="24"/>
                <w:color w:val="auto"/>
              </w:rPr>
            </w:pPr>
          </w:p>
        </w:tc>
        <w:tc>
          <w:tcPr>
            <w:tcW w:w="1920" w:type="dxa"/>
            <w:vAlign w:val="bottom"/>
          </w:tcPr>
          <w:p>
            <w:pPr>
              <w:ind w:left="880"/>
              <w:spacing w:after="0"/>
              <w:rPr>
                <w:sz w:val="20"/>
                <w:szCs w:val="20"/>
                <w:color w:val="auto"/>
              </w:rPr>
            </w:pPr>
            <w:r>
              <w:rPr>
                <w:rFonts w:ascii="Courier New" w:cs="Courier New" w:eastAsia="Courier New" w:hAnsi="Courier New"/>
                <w:sz w:val="15"/>
                <w:szCs w:val="15"/>
                <w:color w:val="auto"/>
                <w:w w:val="94"/>
              </w:rPr>
              <w:t>Consolidated</w:t>
            </w:r>
          </w:p>
        </w:tc>
        <w:tc>
          <w:tcPr>
            <w:tcW w:w="4080" w:type="dxa"/>
            <w:vAlign w:val="bottom"/>
          </w:tcPr>
          <w:p>
            <w:pPr>
              <w:ind w:left="100"/>
              <w:spacing w:after="0"/>
              <w:rPr>
                <w:sz w:val="20"/>
                <w:szCs w:val="20"/>
                <w:color w:val="auto"/>
              </w:rPr>
            </w:pPr>
            <w:r>
              <w:rPr>
                <w:rFonts w:ascii="Courier New" w:cs="Courier New" w:eastAsia="Courier New" w:hAnsi="Courier New"/>
                <w:sz w:val="15"/>
                <w:szCs w:val="15"/>
                <w:color w:val="auto"/>
              </w:rPr>
              <w:t>Balance Sheet at June 30, 1996 and</w:t>
            </w:r>
          </w:p>
        </w:tc>
        <w:tc>
          <w:tcPr>
            <w:tcW w:w="7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245"/>
        </w:trPr>
        <w:tc>
          <w:tcPr>
            <w:tcW w:w="880" w:type="dxa"/>
            <w:vAlign w:val="bottom"/>
          </w:tcPr>
          <w:p>
            <w:pPr>
              <w:spacing w:after="0"/>
              <w:rPr>
                <w:sz w:val="21"/>
                <w:szCs w:val="21"/>
                <w:color w:val="auto"/>
              </w:rPr>
            </w:pPr>
          </w:p>
        </w:tc>
        <w:tc>
          <w:tcPr>
            <w:tcW w:w="1920" w:type="dxa"/>
            <w:vAlign w:val="bottom"/>
          </w:tcPr>
          <w:p>
            <w:pPr>
              <w:ind w:left="880"/>
              <w:spacing w:after="0"/>
              <w:rPr>
                <w:sz w:val="20"/>
                <w:szCs w:val="20"/>
                <w:color w:val="auto"/>
              </w:rPr>
            </w:pPr>
            <w:r>
              <w:rPr>
                <w:rFonts w:ascii="Courier New" w:cs="Courier New" w:eastAsia="Courier New" w:hAnsi="Courier New"/>
                <w:sz w:val="15"/>
                <w:szCs w:val="15"/>
                <w:color w:val="auto"/>
                <w:w w:val="94"/>
              </w:rPr>
              <w:t>December 31,</w:t>
            </w:r>
          </w:p>
        </w:tc>
        <w:tc>
          <w:tcPr>
            <w:tcW w:w="4080" w:type="dxa"/>
            <w:vAlign w:val="bottom"/>
          </w:tcPr>
          <w:p>
            <w:pPr>
              <w:ind w:left="100"/>
              <w:spacing w:after="0"/>
              <w:rPr>
                <w:sz w:val="20"/>
                <w:szCs w:val="20"/>
                <w:color w:val="auto"/>
              </w:rPr>
            </w:pPr>
            <w:r>
              <w:rPr>
                <w:rFonts w:ascii="Courier New" w:cs="Courier New" w:eastAsia="Courier New" w:hAnsi="Courier New"/>
                <w:sz w:val="15"/>
                <w:szCs w:val="15"/>
                <w:color w:val="auto"/>
              </w:rPr>
              <w:t>1995.</w:t>
            </w: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880" w:type="dxa"/>
            <w:vAlign w:val="bottom"/>
          </w:tcPr>
          <w:p>
            <w:pPr>
              <w:spacing w:after="0"/>
              <w:rPr>
                <w:sz w:val="22"/>
                <w:szCs w:val="22"/>
                <w:color w:val="auto"/>
              </w:rPr>
            </w:pPr>
          </w:p>
        </w:tc>
        <w:tc>
          <w:tcPr>
            <w:tcW w:w="1920" w:type="dxa"/>
            <w:vAlign w:val="bottom"/>
          </w:tcPr>
          <w:p>
            <w:pPr>
              <w:ind w:left="880"/>
              <w:spacing w:after="0"/>
              <w:rPr>
                <w:sz w:val="20"/>
                <w:szCs w:val="20"/>
                <w:color w:val="auto"/>
              </w:rPr>
            </w:pPr>
            <w:r>
              <w:rPr>
                <w:rFonts w:ascii="Courier New" w:cs="Courier New" w:eastAsia="Courier New" w:hAnsi="Courier New"/>
                <w:sz w:val="15"/>
                <w:szCs w:val="15"/>
                <w:color w:val="auto"/>
                <w:w w:val="94"/>
              </w:rPr>
              <w:t>Consolidated</w:t>
            </w:r>
          </w:p>
        </w:tc>
        <w:tc>
          <w:tcPr>
            <w:tcW w:w="4080" w:type="dxa"/>
            <w:vAlign w:val="bottom"/>
          </w:tcPr>
          <w:p>
            <w:pPr>
              <w:ind w:left="100"/>
              <w:spacing w:after="0"/>
              <w:rPr>
                <w:sz w:val="20"/>
                <w:szCs w:val="20"/>
                <w:color w:val="auto"/>
              </w:rPr>
            </w:pPr>
            <w:r>
              <w:rPr>
                <w:rFonts w:ascii="Courier New" w:cs="Courier New" w:eastAsia="Courier New" w:hAnsi="Courier New"/>
                <w:sz w:val="15"/>
                <w:szCs w:val="15"/>
                <w:color w:val="auto"/>
              </w:rPr>
              <w:t>Statement of Income for the three months</w:t>
            </w:r>
          </w:p>
        </w:tc>
        <w:tc>
          <w:tcPr>
            <w:tcW w:w="7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245"/>
        </w:trPr>
        <w:tc>
          <w:tcPr>
            <w:tcW w:w="880" w:type="dxa"/>
            <w:vAlign w:val="bottom"/>
          </w:tcPr>
          <w:p>
            <w:pPr>
              <w:spacing w:after="0"/>
              <w:rPr>
                <w:sz w:val="21"/>
                <w:szCs w:val="21"/>
                <w:color w:val="auto"/>
              </w:rPr>
            </w:pPr>
          </w:p>
        </w:tc>
        <w:tc>
          <w:tcPr>
            <w:tcW w:w="600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ended June 30, 1996 and June 30, 1995.</w:t>
            </w: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880" w:type="dxa"/>
            <w:vAlign w:val="bottom"/>
          </w:tcPr>
          <w:p>
            <w:pPr>
              <w:spacing w:after="0"/>
              <w:rPr>
                <w:sz w:val="22"/>
                <w:szCs w:val="22"/>
                <w:color w:val="auto"/>
              </w:rPr>
            </w:pPr>
          </w:p>
        </w:tc>
        <w:tc>
          <w:tcPr>
            <w:tcW w:w="1920" w:type="dxa"/>
            <w:vAlign w:val="bottom"/>
          </w:tcPr>
          <w:p>
            <w:pPr>
              <w:ind w:left="880"/>
              <w:spacing w:after="0"/>
              <w:rPr>
                <w:sz w:val="20"/>
                <w:szCs w:val="20"/>
                <w:color w:val="auto"/>
              </w:rPr>
            </w:pPr>
            <w:r>
              <w:rPr>
                <w:rFonts w:ascii="Courier New" w:cs="Courier New" w:eastAsia="Courier New" w:hAnsi="Courier New"/>
                <w:sz w:val="15"/>
                <w:szCs w:val="15"/>
                <w:color w:val="auto"/>
                <w:w w:val="94"/>
              </w:rPr>
              <w:t>Consolidated</w:t>
            </w:r>
          </w:p>
        </w:tc>
        <w:tc>
          <w:tcPr>
            <w:tcW w:w="4080" w:type="dxa"/>
            <w:vAlign w:val="bottom"/>
          </w:tcPr>
          <w:p>
            <w:pPr>
              <w:ind w:left="100"/>
              <w:spacing w:after="0"/>
              <w:rPr>
                <w:sz w:val="20"/>
                <w:szCs w:val="20"/>
                <w:color w:val="auto"/>
              </w:rPr>
            </w:pPr>
            <w:r>
              <w:rPr>
                <w:rFonts w:ascii="Courier New" w:cs="Courier New" w:eastAsia="Courier New" w:hAnsi="Courier New"/>
                <w:sz w:val="15"/>
                <w:szCs w:val="15"/>
                <w:color w:val="auto"/>
                <w:w w:val="99"/>
              </w:rPr>
              <w:t>Statement of Income for the six months ended</w:t>
            </w:r>
          </w:p>
        </w:tc>
        <w:tc>
          <w:tcPr>
            <w:tcW w:w="7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245"/>
        </w:trPr>
        <w:tc>
          <w:tcPr>
            <w:tcW w:w="880" w:type="dxa"/>
            <w:vAlign w:val="bottom"/>
          </w:tcPr>
          <w:p>
            <w:pPr>
              <w:spacing w:after="0"/>
              <w:rPr>
                <w:sz w:val="21"/>
                <w:szCs w:val="21"/>
                <w:color w:val="auto"/>
              </w:rPr>
            </w:pPr>
          </w:p>
        </w:tc>
        <w:tc>
          <w:tcPr>
            <w:tcW w:w="600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June 30, 1996 and June 30, 1995.</w:t>
            </w: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880" w:type="dxa"/>
            <w:vAlign w:val="bottom"/>
          </w:tcPr>
          <w:p>
            <w:pPr>
              <w:spacing w:after="0"/>
              <w:rPr>
                <w:sz w:val="22"/>
                <w:szCs w:val="22"/>
                <w:color w:val="auto"/>
              </w:rPr>
            </w:pPr>
          </w:p>
        </w:tc>
        <w:tc>
          <w:tcPr>
            <w:tcW w:w="1920" w:type="dxa"/>
            <w:vAlign w:val="bottom"/>
          </w:tcPr>
          <w:p>
            <w:pPr>
              <w:ind w:left="880"/>
              <w:spacing w:after="0"/>
              <w:rPr>
                <w:sz w:val="20"/>
                <w:szCs w:val="20"/>
                <w:color w:val="auto"/>
              </w:rPr>
            </w:pPr>
            <w:r>
              <w:rPr>
                <w:rFonts w:ascii="Courier New" w:cs="Courier New" w:eastAsia="Courier New" w:hAnsi="Courier New"/>
                <w:sz w:val="15"/>
                <w:szCs w:val="15"/>
                <w:color w:val="auto"/>
                <w:w w:val="94"/>
              </w:rPr>
              <w:t>Consolidated</w:t>
            </w:r>
          </w:p>
        </w:tc>
        <w:tc>
          <w:tcPr>
            <w:tcW w:w="4080" w:type="dxa"/>
            <w:vAlign w:val="bottom"/>
          </w:tcPr>
          <w:p>
            <w:pPr>
              <w:ind w:left="100"/>
              <w:spacing w:after="0"/>
              <w:rPr>
                <w:sz w:val="20"/>
                <w:szCs w:val="20"/>
                <w:color w:val="auto"/>
              </w:rPr>
            </w:pPr>
            <w:r>
              <w:rPr>
                <w:rFonts w:ascii="Courier New" w:cs="Courier New" w:eastAsia="Courier New" w:hAnsi="Courier New"/>
                <w:sz w:val="15"/>
                <w:szCs w:val="15"/>
                <w:color w:val="auto"/>
                <w:w w:val="99"/>
              </w:rPr>
              <w:t>Statement of Changes in Stockholders' Equity</w:t>
            </w:r>
          </w:p>
        </w:tc>
        <w:tc>
          <w:tcPr>
            <w:tcW w:w="7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245"/>
        </w:trPr>
        <w:tc>
          <w:tcPr>
            <w:tcW w:w="880" w:type="dxa"/>
            <w:vAlign w:val="bottom"/>
          </w:tcPr>
          <w:p>
            <w:pPr>
              <w:spacing w:after="0"/>
              <w:rPr>
                <w:sz w:val="21"/>
                <w:szCs w:val="21"/>
                <w:color w:val="auto"/>
              </w:rPr>
            </w:pPr>
          </w:p>
        </w:tc>
        <w:tc>
          <w:tcPr>
            <w:tcW w:w="6000" w:type="dxa"/>
            <w:vAlign w:val="bottom"/>
            <w:gridSpan w:val="2"/>
          </w:tcPr>
          <w:p>
            <w:pPr>
              <w:ind w:left="880"/>
              <w:spacing w:after="0"/>
              <w:rPr>
                <w:sz w:val="20"/>
                <w:szCs w:val="20"/>
                <w:color w:val="auto"/>
              </w:rPr>
            </w:pPr>
            <w:r>
              <w:rPr>
                <w:rFonts w:ascii="Courier New" w:cs="Courier New" w:eastAsia="Courier New" w:hAnsi="Courier New"/>
                <w:sz w:val="15"/>
                <w:szCs w:val="15"/>
                <w:color w:val="auto"/>
                <w:w w:val="99"/>
              </w:rPr>
              <w:t>for the six months ended June 30, 1996 and June 30, 1995.</w:t>
            </w: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880" w:type="dxa"/>
            <w:vAlign w:val="bottom"/>
          </w:tcPr>
          <w:p>
            <w:pPr>
              <w:spacing w:after="0"/>
              <w:rPr>
                <w:sz w:val="22"/>
                <w:szCs w:val="22"/>
                <w:color w:val="auto"/>
              </w:rPr>
            </w:pPr>
          </w:p>
        </w:tc>
        <w:tc>
          <w:tcPr>
            <w:tcW w:w="1920" w:type="dxa"/>
            <w:vAlign w:val="bottom"/>
          </w:tcPr>
          <w:p>
            <w:pPr>
              <w:ind w:left="880"/>
              <w:spacing w:after="0"/>
              <w:rPr>
                <w:sz w:val="20"/>
                <w:szCs w:val="20"/>
                <w:color w:val="auto"/>
              </w:rPr>
            </w:pPr>
            <w:r>
              <w:rPr>
                <w:rFonts w:ascii="Courier New" w:cs="Courier New" w:eastAsia="Courier New" w:hAnsi="Courier New"/>
                <w:sz w:val="15"/>
                <w:szCs w:val="15"/>
                <w:color w:val="auto"/>
                <w:w w:val="94"/>
              </w:rPr>
              <w:t>Consolidated</w:t>
            </w:r>
          </w:p>
        </w:tc>
        <w:tc>
          <w:tcPr>
            <w:tcW w:w="4080" w:type="dxa"/>
            <w:vAlign w:val="bottom"/>
          </w:tcPr>
          <w:p>
            <w:pPr>
              <w:ind w:left="100"/>
              <w:spacing w:after="0"/>
              <w:rPr>
                <w:sz w:val="20"/>
                <w:szCs w:val="20"/>
                <w:color w:val="auto"/>
              </w:rPr>
            </w:pPr>
            <w:r>
              <w:rPr>
                <w:rFonts w:ascii="Courier New" w:cs="Courier New" w:eastAsia="Courier New" w:hAnsi="Courier New"/>
                <w:sz w:val="15"/>
                <w:szCs w:val="15"/>
                <w:color w:val="auto"/>
              </w:rPr>
              <w:t>Statement of Cash Flows for the six months</w:t>
            </w:r>
          </w:p>
        </w:tc>
        <w:tc>
          <w:tcPr>
            <w:tcW w:w="7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245"/>
        </w:trPr>
        <w:tc>
          <w:tcPr>
            <w:tcW w:w="880" w:type="dxa"/>
            <w:vAlign w:val="bottom"/>
          </w:tcPr>
          <w:p>
            <w:pPr>
              <w:spacing w:after="0"/>
              <w:rPr>
                <w:sz w:val="21"/>
                <w:szCs w:val="21"/>
                <w:color w:val="auto"/>
              </w:rPr>
            </w:pPr>
          </w:p>
        </w:tc>
        <w:tc>
          <w:tcPr>
            <w:tcW w:w="600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ended June 30, 1996 and June 30, 1995.</w:t>
            </w: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880" w:type="dxa"/>
            <w:vAlign w:val="bottom"/>
          </w:tcPr>
          <w:p>
            <w:pPr>
              <w:spacing w:after="0"/>
              <w:rPr>
                <w:sz w:val="24"/>
                <w:szCs w:val="24"/>
                <w:color w:val="auto"/>
              </w:rPr>
            </w:pPr>
          </w:p>
        </w:tc>
        <w:tc>
          <w:tcPr>
            <w:tcW w:w="600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Notes to Financial Statements.</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8-15</w:t>
            </w:r>
          </w:p>
        </w:tc>
        <w:tc>
          <w:tcPr>
            <w:tcW w:w="0" w:type="dxa"/>
            <w:vAlign w:val="bottom"/>
          </w:tcPr>
          <w:p>
            <w:pPr>
              <w:spacing w:after="0"/>
              <w:rPr>
                <w:sz w:val="1"/>
                <w:szCs w:val="1"/>
                <w:color w:val="auto"/>
              </w:rPr>
            </w:pPr>
          </w:p>
        </w:tc>
      </w:tr>
      <w:tr>
        <w:trPr>
          <w:trHeight w:val="427"/>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600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9"/>
              </w:rPr>
              <w:t>Management's Discussion and Analysis of Financial Condition and</w:t>
            </w:r>
          </w:p>
        </w:tc>
        <w:tc>
          <w:tcPr>
            <w:tcW w:w="7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16-47</w:t>
            </w:r>
          </w:p>
        </w:tc>
        <w:tc>
          <w:tcPr>
            <w:tcW w:w="0" w:type="dxa"/>
            <w:vAlign w:val="bottom"/>
          </w:tcPr>
          <w:p>
            <w:pPr>
              <w:spacing w:after="0"/>
              <w:rPr>
                <w:sz w:val="1"/>
                <w:szCs w:val="1"/>
                <w:color w:val="auto"/>
              </w:rPr>
            </w:pPr>
          </w:p>
        </w:tc>
      </w:tr>
      <w:tr>
        <w:trPr>
          <w:trHeight w:val="245"/>
        </w:trPr>
        <w:tc>
          <w:tcPr>
            <w:tcW w:w="880" w:type="dxa"/>
            <w:vAlign w:val="bottom"/>
          </w:tcPr>
          <w:p>
            <w:pPr>
              <w:spacing w:after="0"/>
              <w:rPr>
                <w:sz w:val="21"/>
                <w:szCs w:val="21"/>
                <w:color w:val="auto"/>
              </w:rPr>
            </w:pPr>
          </w:p>
        </w:tc>
        <w:tc>
          <w:tcPr>
            <w:tcW w:w="60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Results of Operations.</w:t>
            </w: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Part II</w:t>
      </w:r>
    </w:p>
    <w:p>
      <w:pPr>
        <w:sectPr>
          <w:pgSz w:w="11900" w:h="16838" w:orient="portrait"/>
          <w:cols w:equalWidth="0" w:num="1">
            <w:col w:w="10239"/>
          </w:cols>
          <w:pgMar w:left="220" w:top="710"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45"/>
        </w:trPr>
        <w:tc>
          <w:tcPr>
            <w:tcW w:w="1020" w:type="dxa"/>
            <w:vAlign w:val="bottom"/>
            <w:gridSpan w:val="2"/>
          </w:tcPr>
          <w:p>
            <w:pPr>
              <w:spacing w:after="0"/>
              <w:rPr>
                <w:sz w:val="20"/>
                <w:szCs w:val="20"/>
                <w:color w:val="auto"/>
              </w:rPr>
            </w:pPr>
            <w:r>
              <w:rPr>
                <w:rFonts w:ascii="Courier New" w:cs="Courier New" w:eastAsia="Courier New" w:hAnsi="Courier New"/>
                <w:sz w:val="15"/>
                <w:szCs w:val="15"/>
                <w:color w:val="auto"/>
              </w:rPr>
              <w:t>Item 1</w:t>
            </w:r>
          </w:p>
        </w:tc>
        <w:tc>
          <w:tcPr>
            <w:tcW w:w="5600" w:type="dxa"/>
            <w:vAlign w:val="bottom"/>
          </w:tcPr>
          <w:p>
            <w:pPr>
              <w:ind w:left="480"/>
              <w:spacing w:after="0"/>
              <w:rPr>
                <w:sz w:val="20"/>
                <w:szCs w:val="20"/>
                <w:color w:val="auto"/>
              </w:rPr>
            </w:pPr>
            <w:r>
              <w:rPr>
                <w:rFonts w:ascii="Courier New" w:cs="Courier New" w:eastAsia="Courier New" w:hAnsi="Courier New"/>
                <w:sz w:val="15"/>
                <w:szCs w:val="15"/>
                <w:color w:val="auto"/>
              </w:rPr>
              <w:t>Legal Proceedings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336"/>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w:t>
            </w:r>
          </w:p>
        </w:tc>
        <w:tc>
          <w:tcPr>
            <w:tcW w:w="5600" w:type="dxa"/>
            <w:vAlign w:val="bottom"/>
          </w:tcPr>
          <w:p>
            <w:pPr>
              <w:ind w:left="480"/>
              <w:spacing w:after="0"/>
              <w:rPr>
                <w:sz w:val="20"/>
                <w:szCs w:val="20"/>
                <w:color w:val="auto"/>
              </w:rPr>
            </w:pPr>
            <w:r>
              <w:rPr>
                <w:rFonts w:ascii="Courier New" w:cs="Courier New" w:eastAsia="Courier New" w:hAnsi="Courier New"/>
                <w:sz w:val="15"/>
                <w:szCs w:val="15"/>
                <w:color w:val="auto"/>
              </w:rPr>
              <w:t>Submission of Matters to a Vote of Security Holders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336"/>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w:t>
            </w:r>
          </w:p>
        </w:tc>
        <w:tc>
          <w:tcPr>
            <w:tcW w:w="5600" w:type="dxa"/>
            <w:vAlign w:val="bottom"/>
          </w:tcPr>
          <w:p>
            <w:pPr>
              <w:ind w:left="480"/>
              <w:spacing w:after="0"/>
              <w:rPr>
                <w:sz w:val="20"/>
                <w:szCs w:val="20"/>
                <w:color w:val="auto"/>
              </w:rPr>
            </w:pPr>
            <w:r>
              <w:rPr>
                <w:rFonts w:ascii="Courier New" w:cs="Courier New" w:eastAsia="Courier New" w:hAnsi="Courier New"/>
                <w:sz w:val="15"/>
                <w:szCs w:val="15"/>
                <w:color w:val="auto"/>
              </w:rPr>
              <w:t>Exhibits and Reports on Form 8-K.</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505"/>
        </w:trPr>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0" w:type="dxa"/>
            <w:vAlign w:val="bottom"/>
          </w:tcPr>
          <w:p>
            <w:pPr>
              <w:jc w:val="right"/>
              <w:ind w:right="2947"/>
              <w:spacing w:after="0"/>
              <w:rPr>
                <w:sz w:val="20"/>
                <w:szCs w:val="20"/>
                <w:color w:val="auto"/>
              </w:rPr>
            </w:pPr>
            <w:r>
              <w:rPr>
                <w:rFonts w:ascii="Courier New" w:cs="Courier New" w:eastAsia="Courier New" w:hAnsi="Courier New"/>
                <w:sz w:val="15"/>
                <w:szCs w:val="15"/>
                <w:color w:val="auto"/>
              </w:rPr>
              <w:t>-2-</w:t>
            </w:r>
          </w:p>
        </w:tc>
        <w:tc>
          <w:tcPr>
            <w:tcW w:w="820" w:type="dxa"/>
            <w:vAlign w:val="bottom"/>
          </w:tcPr>
          <w:p>
            <w:pPr>
              <w:spacing w:after="0"/>
              <w:rPr>
                <w:sz w:val="24"/>
                <w:szCs w:val="24"/>
                <w:color w:val="auto"/>
              </w:rPr>
            </w:pPr>
          </w:p>
        </w:tc>
      </w:tr>
    </w:tbl>
    <w:p>
      <w:pPr>
        <w:sectPr>
          <w:pgSz w:w="11900" w:h="16838" w:orient="portrait"/>
          <w:cols w:equalWidth="0" w:num="1">
            <w:col w:w="10239"/>
          </w:cols>
          <w:pgMar w:left="220" w:top="115"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Part I</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w:t>
      </w:r>
    </w:p>
    <w:p>
      <w:pPr>
        <w:spacing w:after="0" w:line="139"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8220" w:type="dxa"/>
            <w:vAlign w:val="bottom"/>
            <w:gridSpan w:val="3"/>
          </w:tcPr>
          <w:p>
            <w:pPr>
              <w:jc w:val="center"/>
              <w:ind w:left="2027"/>
              <w:spacing w:after="0"/>
              <w:rPr>
                <w:sz w:val="20"/>
                <w:szCs w:val="20"/>
                <w:color w:val="auto"/>
              </w:rPr>
            </w:pPr>
            <w:r>
              <w:rPr>
                <w:rFonts w:ascii="Courier New" w:cs="Courier New" w:eastAsia="Courier New" w:hAnsi="Courier New"/>
                <w:sz w:val="15"/>
                <w:szCs w:val="15"/>
                <w:color w:val="auto"/>
                <w:w w:val="97"/>
              </w:rPr>
              <w:t>THE CHASE MANHATTAN CORPORATION and Subsidiaries</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680" w:type="dxa"/>
            <w:vAlign w:val="bottom"/>
          </w:tcPr>
          <w:p>
            <w:pPr>
              <w:jc w:val="center"/>
              <w:ind w:left="3547"/>
              <w:spacing w:after="0" w:line="168" w:lineRule="exact"/>
              <w:rPr>
                <w:sz w:val="20"/>
                <w:szCs w:val="20"/>
                <w:color w:val="auto"/>
              </w:rPr>
            </w:pPr>
            <w:r>
              <w:rPr>
                <w:rFonts w:ascii="Courier New" w:cs="Courier New" w:eastAsia="Courier New" w:hAnsi="Courier New"/>
                <w:sz w:val="15"/>
                <w:szCs w:val="15"/>
                <w:color w:val="auto"/>
                <w:w w:val="96"/>
              </w:rPr>
              <w:t>CONSOLIDATED BALANCE SHEET</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6680" w:type="dxa"/>
            <w:vAlign w:val="bottom"/>
          </w:tcPr>
          <w:p>
            <w:pPr>
              <w:jc w:val="center"/>
              <w:ind w:left="3567"/>
              <w:spacing w:after="0"/>
              <w:rPr>
                <w:sz w:val="20"/>
                <w:szCs w:val="20"/>
                <w:color w:val="auto"/>
              </w:rPr>
            </w:pPr>
            <w:r>
              <w:rPr>
                <w:rFonts w:ascii="Courier New" w:cs="Courier New" w:eastAsia="Courier New" w:hAnsi="Courier New"/>
                <w:sz w:val="15"/>
                <w:szCs w:val="15"/>
                <w:color w:val="auto"/>
                <w:w w:val="97"/>
              </w:rPr>
              <w:t>(in millions, except share data)</w:t>
            </w:r>
          </w:p>
        </w:tc>
        <w:tc>
          <w:tcPr>
            <w:tcW w:w="300" w:type="dxa"/>
            <w:vAlign w:val="bottom"/>
          </w:tcPr>
          <w:p>
            <w:pPr>
              <w:spacing w:after="0"/>
              <w:rPr>
                <w:sz w:val="21"/>
                <w:szCs w:val="21"/>
                <w:color w:val="auto"/>
              </w:rPr>
            </w:pPr>
          </w:p>
        </w:tc>
        <w:tc>
          <w:tcPr>
            <w:tcW w:w="12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June 30,</w:t>
            </w:r>
          </w:p>
        </w:tc>
        <w:tc>
          <w:tcPr>
            <w:tcW w:w="156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91"/>
        </w:trPr>
        <w:tc>
          <w:tcPr>
            <w:tcW w:w="6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6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c>
          <w:tcPr>
            <w:tcW w:w="7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45"/>
        </w:trPr>
        <w:tc>
          <w:tcPr>
            <w:tcW w:w="6680" w:type="dxa"/>
            <w:vAlign w:val="bottom"/>
            <w:vMerge w:val="restart"/>
          </w:tcPr>
          <w:p>
            <w:pPr>
              <w:spacing w:after="0"/>
              <w:rPr>
                <w:sz w:val="20"/>
                <w:szCs w:val="20"/>
                <w:color w:val="auto"/>
              </w:rPr>
            </w:pPr>
            <w:r>
              <w:rPr>
                <w:rFonts w:ascii="Courier New" w:cs="Courier New" w:eastAsia="Courier New" w:hAnsi="Courier New"/>
                <w:sz w:val="15"/>
                <w:szCs w:val="15"/>
                <w:color w:val="auto"/>
              </w:rPr>
              <w:t>ASSETS</w:t>
            </w:r>
          </w:p>
        </w:tc>
        <w:tc>
          <w:tcPr>
            <w:tcW w:w="15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6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6680" w:type="dxa"/>
            <w:vAlign w:val="bottom"/>
          </w:tcPr>
          <w:p>
            <w:pPr>
              <w:spacing w:after="0"/>
              <w:rPr>
                <w:sz w:val="20"/>
                <w:szCs w:val="20"/>
                <w:color w:val="auto"/>
              </w:rPr>
            </w:pPr>
            <w:r>
              <w:rPr>
                <w:rFonts w:ascii="Courier New" w:cs="Courier New" w:eastAsia="Courier New" w:hAnsi="Courier New"/>
                <w:sz w:val="15"/>
                <w:szCs w:val="15"/>
                <w:color w:val="auto"/>
              </w:rPr>
              <w:t>Cash and Due from Banks</w:t>
            </w:r>
          </w:p>
        </w:tc>
        <w:tc>
          <w:tcPr>
            <w:tcW w:w="3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13,291</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14,794</w:t>
            </w:r>
          </w:p>
        </w:tc>
        <w:tc>
          <w:tcPr>
            <w:tcW w:w="0" w:type="dxa"/>
            <w:vAlign w:val="bottom"/>
          </w:tcPr>
          <w:p>
            <w:pPr>
              <w:spacing w:after="0"/>
              <w:rPr>
                <w:sz w:val="1"/>
                <w:szCs w:val="1"/>
                <w:color w:val="auto"/>
              </w:rPr>
            </w:pPr>
          </w:p>
        </w:tc>
      </w:tr>
      <w:tr>
        <w:trPr>
          <w:trHeight w:val="168"/>
        </w:trPr>
        <w:tc>
          <w:tcPr>
            <w:tcW w:w="668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Deposits with Banks</w:t>
            </w:r>
          </w:p>
        </w:tc>
        <w:tc>
          <w:tcPr>
            <w:tcW w:w="30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5,805</w:t>
            </w:r>
          </w:p>
        </w:tc>
        <w:tc>
          <w:tcPr>
            <w:tcW w:w="7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8,468</w:t>
            </w:r>
          </w:p>
        </w:tc>
        <w:tc>
          <w:tcPr>
            <w:tcW w:w="0" w:type="dxa"/>
            <w:vAlign w:val="bottom"/>
          </w:tcPr>
          <w:p>
            <w:pPr>
              <w:spacing w:after="0"/>
              <w:rPr>
                <w:sz w:val="1"/>
                <w:szCs w:val="1"/>
                <w:color w:val="auto"/>
              </w:rPr>
            </w:pPr>
          </w:p>
        </w:tc>
      </w:tr>
      <w:tr>
        <w:trPr>
          <w:trHeight w:val="168"/>
        </w:trPr>
        <w:tc>
          <w:tcPr>
            <w:tcW w:w="668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Sold and Securities</w:t>
            </w:r>
          </w:p>
        </w:tc>
        <w:tc>
          <w:tcPr>
            <w:tcW w:w="300" w:type="dxa"/>
            <w:vAlign w:val="bottom"/>
          </w:tcPr>
          <w:p>
            <w:pPr>
              <w:spacing w:after="0"/>
              <w:rPr>
                <w:sz w:val="14"/>
                <w:szCs w:val="14"/>
                <w:color w:val="auto"/>
              </w:rPr>
            </w:pPr>
          </w:p>
        </w:tc>
        <w:tc>
          <w:tcPr>
            <w:tcW w:w="124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33,039</w:t>
            </w:r>
          </w:p>
        </w:tc>
        <w:tc>
          <w:tcPr>
            <w:tcW w:w="740" w:type="dxa"/>
            <w:vAlign w:val="bottom"/>
          </w:tcPr>
          <w:p>
            <w:pPr>
              <w:spacing w:after="0"/>
              <w:rPr>
                <w:sz w:val="14"/>
                <w:szCs w:val="14"/>
                <w:color w:val="auto"/>
              </w:rPr>
            </w:pP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17,461</w:t>
            </w:r>
          </w:p>
        </w:tc>
        <w:tc>
          <w:tcPr>
            <w:tcW w:w="0" w:type="dxa"/>
            <w:vAlign w:val="bottom"/>
          </w:tcPr>
          <w:p>
            <w:pPr>
              <w:spacing w:after="0"/>
              <w:rPr>
                <w:sz w:val="1"/>
                <w:szCs w:val="1"/>
                <w:color w:val="auto"/>
              </w:rPr>
            </w:pPr>
          </w:p>
        </w:tc>
      </w:tr>
      <w:tr>
        <w:trPr>
          <w:trHeight w:val="168"/>
        </w:trPr>
        <w:tc>
          <w:tcPr>
            <w:tcW w:w="66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Purchased Under Resale Agreements</w:t>
            </w:r>
          </w:p>
        </w:tc>
        <w:tc>
          <w:tcPr>
            <w:tcW w:w="3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68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 Assets:</w:t>
            </w:r>
          </w:p>
        </w:tc>
        <w:tc>
          <w:tcPr>
            <w:tcW w:w="300" w:type="dxa"/>
            <w:vAlign w:val="bottom"/>
          </w:tcPr>
          <w:p>
            <w:pPr>
              <w:spacing w:after="0"/>
              <w:rPr>
                <w:sz w:val="14"/>
                <w:szCs w:val="14"/>
                <w:color w:val="auto"/>
              </w:rPr>
            </w:pPr>
          </w:p>
        </w:tc>
        <w:tc>
          <w:tcPr>
            <w:tcW w:w="124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25,297</w:t>
            </w:r>
          </w:p>
        </w:tc>
        <w:tc>
          <w:tcPr>
            <w:tcW w:w="740" w:type="dxa"/>
            <w:vAlign w:val="bottom"/>
          </w:tcPr>
          <w:p>
            <w:pPr>
              <w:spacing w:after="0"/>
              <w:rPr>
                <w:sz w:val="14"/>
                <w:szCs w:val="14"/>
                <w:color w:val="auto"/>
              </w:rPr>
            </w:pP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26,212</w:t>
            </w:r>
          </w:p>
        </w:tc>
        <w:tc>
          <w:tcPr>
            <w:tcW w:w="0" w:type="dxa"/>
            <w:vAlign w:val="bottom"/>
          </w:tcPr>
          <w:p>
            <w:pPr>
              <w:spacing w:after="0"/>
              <w:rPr>
                <w:sz w:val="1"/>
                <w:szCs w:val="1"/>
                <w:color w:val="auto"/>
              </w:rPr>
            </w:pPr>
          </w:p>
        </w:tc>
      </w:tr>
      <w:tr>
        <w:trPr>
          <w:trHeight w:val="168"/>
        </w:trPr>
        <w:tc>
          <w:tcPr>
            <w:tcW w:w="66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Debt and Equity Instruments</w:t>
            </w:r>
          </w:p>
        </w:tc>
        <w:tc>
          <w:tcPr>
            <w:tcW w:w="3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6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Risk Management Instruments</w:t>
            </w:r>
          </w:p>
        </w:tc>
        <w:tc>
          <w:tcPr>
            <w:tcW w:w="30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26,414</w:t>
            </w:r>
          </w:p>
        </w:tc>
        <w:tc>
          <w:tcPr>
            <w:tcW w:w="7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25,825</w:t>
            </w:r>
          </w:p>
        </w:tc>
        <w:tc>
          <w:tcPr>
            <w:tcW w:w="0" w:type="dxa"/>
            <w:vAlign w:val="bottom"/>
          </w:tcPr>
          <w:p>
            <w:pPr>
              <w:spacing w:after="0"/>
              <w:rPr>
                <w:sz w:val="1"/>
                <w:szCs w:val="1"/>
                <w:color w:val="auto"/>
              </w:rPr>
            </w:pPr>
          </w:p>
        </w:tc>
      </w:tr>
      <w:tr>
        <w:trPr>
          <w:trHeight w:val="168"/>
        </w:trPr>
        <w:tc>
          <w:tcPr>
            <w:tcW w:w="668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w:t>
            </w:r>
          </w:p>
        </w:tc>
        <w:tc>
          <w:tcPr>
            <w:tcW w:w="300" w:type="dxa"/>
            <w:vAlign w:val="bottom"/>
          </w:tcPr>
          <w:p>
            <w:pPr>
              <w:spacing w:after="0"/>
              <w:rPr>
                <w:sz w:val="14"/>
                <w:szCs w:val="14"/>
                <w:color w:val="auto"/>
              </w:rPr>
            </w:pPr>
          </w:p>
        </w:tc>
        <w:tc>
          <w:tcPr>
            <w:tcW w:w="124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37,855</w:t>
            </w:r>
          </w:p>
        </w:tc>
        <w:tc>
          <w:tcPr>
            <w:tcW w:w="740" w:type="dxa"/>
            <w:vAlign w:val="bottom"/>
          </w:tcPr>
          <w:p>
            <w:pPr>
              <w:spacing w:after="0"/>
              <w:rPr>
                <w:sz w:val="14"/>
                <w:szCs w:val="14"/>
                <w:color w:val="auto"/>
              </w:rPr>
            </w:pP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37,141</w:t>
            </w:r>
          </w:p>
        </w:tc>
        <w:tc>
          <w:tcPr>
            <w:tcW w:w="0" w:type="dxa"/>
            <w:vAlign w:val="bottom"/>
          </w:tcPr>
          <w:p>
            <w:pPr>
              <w:spacing w:after="0"/>
              <w:rPr>
                <w:sz w:val="1"/>
                <w:szCs w:val="1"/>
                <w:color w:val="auto"/>
              </w:rPr>
            </w:pPr>
          </w:p>
        </w:tc>
      </w:tr>
      <w:tr>
        <w:trPr>
          <w:trHeight w:val="168"/>
        </w:trPr>
        <w:tc>
          <w:tcPr>
            <w:tcW w:w="66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Available-for-Sale</w:t>
            </w:r>
          </w:p>
        </w:tc>
        <w:tc>
          <w:tcPr>
            <w:tcW w:w="3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6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Held-to-Maturity (Fair Value: $4,080 and $4,659)</w:t>
            </w:r>
          </w:p>
        </w:tc>
        <w:tc>
          <w:tcPr>
            <w:tcW w:w="30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4,125</w:t>
            </w:r>
          </w:p>
        </w:tc>
        <w:tc>
          <w:tcPr>
            <w:tcW w:w="7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4,628</w:t>
            </w:r>
          </w:p>
        </w:tc>
        <w:tc>
          <w:tcPr>
            <w:tcW w:w="0" w:type="dxa"/>
            <w:vAlign w:val="bottom"/>
          </w:tcPr>
          <w:p>
            <w:pPr>
              <w:spacing w:after="0"/>
              <w:rPr>
                <w:sz w:val="1"/>
                <w:szCs w:val="1"/>
                <w:color w:val="auto"/>
              </w:rPr>
            </w:pPr>
          </w:p>
        </w:tc>
      </w:tr>
      <w:tr>
        <w:trPr>
          <w:trHeight w:val="168"/>
        </w:trPr>
        <w:tc>
          <w:tcPr>
            <w:tcW w:w="668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 (Net of Unearned Income: $1,052 and $1,073)</w:t>
            </w:r>
          </w:p>
        </w:tc>
        <w:tc>
          <w:tcPr>
            <w:tcW w:w="30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151,274</w:t>
            </w:r>
          </w:p>
        </w:tc>
        <w:tc>
          <w:tcPr>
            <w:tcW w:w="7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150,207</w:t>
            </w:r>
          </w:p>
        </w:tc>
        <w:tc>
          <w:tcPr>
            <w:tcW w:w="0" w:type="dxa"/>
            <w:vAlign w:val="bottom"/>
          </w:tcPr>
          <w:p>
            <w:pPr>
              <w:spacing w:after="0"/>
              <w:rPr>
                <w:sz w:val="1"/>
                <w:szCs w:val="1"/>
                <w:color w:val="auto"/>
              </w:rPr>
            </w:pPr>
          </w:p>
        </w:tc>
      </w:tr>
      <w:tr>
        <w:trPr>
          <w:trHeight w:val="168"/>
        </w:trPr>
        <w:tc>
          <w:tcPr>
            <w:tcW w:w="6680" w:type="dxa"/>
            <w:vAlign w:val="bottom"/>
          </w:tcPr>
          <w:p>
            <w:pPr>
              <w:spacing w:after="0" w:line="168" w:lineRule="exact"/>
              <w:rPr>
                <w:sz w:val="20"/>
                <w:szCs w:val="20"/>
                <w:color w:val="auto"/>
              </w:rPr>
            </w:pPr>
            <w:r>
              <w:rPr>
                <w:rFonts w:ascii="Courier New" w:cs="Courier New" w:eastAsia="Courier New" w:hAnsi="Courier New"/>
                <w:sz w:val="15"/>
                <w:szCs w:val="15"/>
                <w:color w:val="auto"/>
              </w:rPr>
              <w:t>Allowance for Credit Losses</w:t>
            </w:r>
          </w:p>
        </w:tc>
        <w:tc>
          <w:tcPr>
            <w:tcW w:w="30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(3,692)</w:t>
            </w:r>
          </w:p>
        </w:tc>
        <w:tc>
          <w:tcPr>
            <w:tcW w:w="7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(3,784)</w:t>
            </w:r>
          </w:p>
        </w:tc>
        <w:tc>
          <w:tcPr>
            <w:tcW w:w="0" w:type="dxa"/>
            <w:vAlign w:val="bottom"/>
          </w:tcPr>
          <w:p>
            <w:pPr>
              <w:spacing w:after="0"/>
              <w:rPr>
                <w:sz w:val="1"/>
                <w:szCs w:val="1"/>
                <w:color w:val="auto"/>
              </w:rPr>
            </w:pPr>
          </w:p>
        </w:tc>
      </w:tr>
      <w:tr>
        <w:trPr>
          <w:trHeight w:val="168"/>
        </w:trPr>
        <w:tc>
          <w:tcPr>
            <w:tcW w:w="6680" w:type="dxa"/>
            <w:vAlign w:val="bottom"/>
          </w:tcPr>
          <w:p>
            <w:pPr>
              <w:spacing w:after="0" w:line="168" w:lineRule="exact"/>
              <w:rPr>
                <w:sz w:val="20"/>
                <w:szCs w:val="20"/>
                <w:color w:val="auto"/>
              </w:rPr>
            </w:pPr>
            <w:r>
              <w:rPr>
                <w:rFonts w:ascii="Courier New" w:cs="Courier New" w:eastAsia="Courier New" w:hAnsi="Courier New"/>
                <w:sz w:val="15"/>
                <w:szCs w:val="15"/>
                <w:color w:val="auto"/>
              </w:rPr>
              <w:t>Premises and Equipment</w:t>
            </w:r>
          </w:p>
        </w:tc>
        <w:tc>
          <w:tcPr>
            <w:tcW w:w="30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3,667</w:t>
            </w:r>
          </w:p>
        </w:tc>
        <w:tc>
          <w:tcPr>
            <w:tcW w:w="7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3,757</w:t>
            </w:r>
          </w:p>
        </w:tc>
        <w:tc>
          <w:tcPr>
            <w:tcW w:w="0" w:type="dxa"/>
            <w:vAlign w:val="bottom"/>
          </w:tcPr>
          <w:p>
            <w:pPr>
              <w:spacing w:after="0"/>
              <w:rPr>
                <w:sz w:val="1"/>
                <w:szCs w:val="1"/>
                <w:color w:val="auto"/>
              </w:rPr>
            </w:pPr>
          </w:p>
        </w:tc>
      </w:tr>
      <w:tr>
        <w:trPr>
          <w:trHeight w:val="168"/>
        </w:trPr>
        <w:tc>
          <w:tcPr>
            <w:tcW w:w="6680" w:type="dxa"/>
            <w:vAlign w:val="bottom"/>
          </w:tcPr>
          <w:p>
            <w:pPr>
              <w:spacing w:after="0" w:line="168" w:lineRule="exact"/>
              <w:rPr>
                <w:sz w:val="20"/>
                <w:szCs w:val="20"/>
                <w:color w:val="auto"/>
              </w:rPr>
            </w:pPr>
            <w:r>
              <w:rPr>
                <w:rFonts w:ascii="Courier New" w:cs="Courier New" w:eastAsia="Courier New" w:hAnsi="Courier New"/>
                <w:sz w:val="15"/>
                <w:szCs w:val="15"/>
                <w:color w:val="auto"/>
              </w:rPr>
              <w:t>Due from Customers on Acceptances</w:t>
            </w:r>
          </w:p>
        </w:tc>
        <w:tc>
          <w:tcPr>
            <w:tcW w:w="30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2,438</w:t>
            </w:r>
          </w:p>
        </w:tc>
        <w:tc>
          <w:tcPr>
            <w:tcW w:w="7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1,896</w:t>
            </w:r>
          </w:p>
        </w:tc>
        <w:tc>
          <w:tcPr>
            <w:tcW w:w="0" w:type="dxa"/>
            <w:vAlign w:val="bottom"/>
          </w:tcPr>
          <w:p>
            <w:pPr>
              <w:spacing w:after="0"/>
              <w:rPr>
                <w:sz w:val="1"/>
                <w:szCs w:val="1"/>
                <w:color w:val="auto"/>
              </w:rPr>
            </w:pPr>
          </w:p>
        </w:tc>
      </w:tr>
      <w:tr>
        <w:trPr>
          <w:trHeight w:val="168"/>
        </w:trPr>
        <w:tc>
          <w:tcPr>
            <w:tcW w:w="668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Interest Receivable</w:t>
            </w:r>
          </w:p>
        </w:tc>
        <w:tc>
          <w:tcPr>
            <w:tcW w:w="30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2,534</w:t>
            </w:r>
          </w:p>
        </w:tc>
        <w:tc>
          <w:tcPr>
            <w:tcW w:w="7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2,541</w:t>
            </w:r>
          </w:p>
        </w:tc>
        <w:tc>
          <w:tcPr>
            <w:tcW w:w="0" w:type="dxa"/>
            <w:vAlign w:val="bottom"/>
          </w:tcPr>
          <w:p>
            <w:pPr>
              <w:spacing w:after="0"/>
              <w:rPr>
                <w:sz w:val="1"/>
                <w:szCs w:val="1"/>
                <w:color w:val="auto"/>
              </w:rPr>
            </w:pPr>
          </w:p>
        </w:tc>
      </w:tr>
      <w:tr>
        <w:trPr>
          <w:trHeight w:val="168"/>
        </w:trPr>
        <w:tc>
          <w:tcPr>
            <w:tcW w:w="66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30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19,714</w:t>
            </w:r>
          </w:p>
        </w:tc>
        <w:tc>
          <w:tcPr>
            <w:tcW w:w="7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14,843</w:t>
            </w:r>
          </w:p>
        </w:tc>
        <w:tc>
          <w:tcPr>
            <w:tcW w:w="0" w:type="dxa"/>
            <w:vAlign w:val="bottom"/>
          </w:tcPr>
          <w:p>
            <w:pPr>
              <w:spacing w:after="0"/>
              <w:rPr>
                <w:sz w:val="1"/>
                <w:szCs w:val="1"/>
                <w:color w:val="auto"/>
              </w:rPr>
            </w:pPr>
          </w:p>
        </w:tc>
      </w:tr>
      <w:tr>
        <w:trPr>
          <w:trHeight w:val="168"/>
        </w:trPr>
        <w:tc>
          <w:tcPr>
            <w:tcW w:w="6680" w:type="dxa"/>
            <w:vAlign w:val="bottom"/>
            <w:vMerge w:val="restart"/>
          </w:tcPr>
          <w:p>
            <w:pPr>
              <w:ind w:left="780"/>
              <w:spacing w:after="0"/>
              <w:rPr>
                <w:sz w:val="20"/>
                <w:szCs w:val="20"/>
                <w:color w:val="auto"/>
              </w:rPr>
            </w:pPr>
            <w:r>
              <w:rPr>
                <w:rFonts w:ascii="Courier New" w:cs="Courier New" w:eastAsia="Courier New" w:hAnsi="Courier New"/>
                <w:sz w:val="15"/>
                <w:szCs w:val="15"/>
                <w:color w:val="auto"/>
              </w:rPr>
              <w:t>TOTAL ASSETS</w:t>
            </w:r>
          </w:p>
        </w:tc>
        <w:tc>
          <w:tcPr>
            <w:tcW w:w="15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680" w:type="dxa"/>
            <w:vAlign w:val="bottom"/>
            <w:vMerge w:val="continue"/>
          </w:tcPr>
          <w:p>
            <w:pPr>
              <w:spacing w:after="0"/>
              <w:rPr>
                <w:sz w:val="14"/>
                <w:szCs w:val="14"/>
                <w:color w:val="auto"/>
              </w:rPr>
            </w:pPr>
          </w:p>
        </w:tc>
        <w:tc>
          <w:tcPr>
            <w:tcW w:w="3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321,761</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303,989</w:t>
            </w:r>
          </w:p>
        </w:tc>
        <w:tc>
          <w:tcPr>
            <w:tcW w:w="0" w:type="dxa"/>
            <w:vAlign w:val="bottom"/>
          </w:tcPr>
          <w:p>
            <w:pPr>
              <w:spacing w:after="0"/>
              <w:rPr>
                <w:sz w:val="1"/>
                <w:szCs w:val="1"/>
                <w:color w:val="auto"/>
              </w:rPr>
            </w:pPr>
          </w:p>
        </w:tc>
      </w:tr>
      <w:tr>
        <w:trPr>
          <w:trHeight w:val="245"/>
        </w:trPr>
        <w:tc>
          <w:tcPr>
            <w:tcW w:w="6680" w:type="dxa"/>
            <w:vAlign w:val="bottom"/>
            <w:vMerge w:val="restart"/>
          </w:tcPr>
          <w:p>
            <w:pPr>
              <w:spacing w:after="0"/>
              <w:rPr>
                <w:sz w:val="20"/>
                <w:szCs w:val="20"/>
                <w:color w:val="auto"/>
              </w:rPr>
            </w:pPr>
            <w:r>
              <w:rPr>
                <w:rFonts w:ascii="Courier New" w:cs="Courier New" w:eastAsia="Courier New" w:hAnsi="Courier New"/>
                <w:sz w:val="15"/>
                <w:szCs w:val="15"/>
                <w:color w:val="auto"/>
              </w:rPr>
              <w:t>LIABILITIES</w:t>
            </w:r>
          </w:p>
        </w:tc>
        <w:tc>
          <w:tcPr>
            <w:tcW w:w="15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66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668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Deposits:</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6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Domestic:</w:t>
            </w:r>
          </w:p>
        </w:tc>
        <w:tc>
          <w:tcPr>
            <w:tcW w:w="3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34,274</w:t>
            </w: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35,414</w:t>
            </w:r>
          </w:p>
        </w:tc>
        <w:tc>
          <w:tcPr>
            <w:tcW w:w="0" w:type="dxa"/>
            <w:vAlign w:val="bottom"/>
          </w:tcPr>
          <w:p>
            <w:pPr>
              <w:spacing w:after="0"/>
              <w:rPr>
                <w:sz w:val="1"/>
                <w:szCs w:val="1"/>
                <w:color w:val="auto"/>
              </w:rPr>
            </w:pPr>
          </w:p>
        </w:tc>
      </w:tr>
      <w:tr>
        <w:trPr>
          <w:trHeight w:val="168"/>
        </w:trPr>
        <w:tc>
          <w:tcPr>
            <w:tcW w:w="668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Noninterest-Bearing</w:t>
            </w:r>
          </w:p>
        </w:tc>
        <w:tc>
          <w:tcPr>
            <w:tcW w:w="30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68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Interest-Bearing</w:t>
            </w:r>
          </w:p>
        </w:tc>
        <w:tc>
          <w:tcPr>
            <w:tcW w:w="30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68,368</w:t>
            </w:r>
          </w:p>
        </w:tc>
        <w:tc>
          <w:tcPr>
            <w:tcW w:w="7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64,640</w:t>
            </w:r>
          </w:p>
        </w:tc>
        <w:tc>
          <w:tcPr>
            <w:tcW w:w="0" w:type="dxa"/>
            <w:vAlign w:val="bottom"/>
          </w:tcPr>
          <w:p>
            <w:pPr>
              <w:spacing w:after="0"/>
              <w:rPr>
                <w:sz w:val="1"/>
                <w:szCs w:val="1"/>
                <w:color w:val="auto"/>
              </w:rPr>
            </w:pPr>
          </w:p>
        </w:tc>
      </w:tr>
      <w:tr>
        <w:trPr>
          <w:trHeight w:val="168"/>
        </w:trPr>
        <w:tc>
          <w:tcPr>
            <w:tcW w:w="66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Foreign:</w:t>
            </w:r>
          </w:p>
        </w:tc>
        <w:tc>
          <w:tcPr>
            <w:tcW w:w="300" w:type="dxa"/>
            <w:vAlign w:val="bottom"/>
          </w:tcPr>
          <w:p>
            <w:pPr>
              <w:spacing w:after="0"/>
              <w:rPr>
                <w:sz w:val="14"/>
                <w:szCs w:val="14"/>
                <w:color w:val="auto"/>
              </w:rPr>
            </w:pPr>
          </w:p>
        </w:tc>
        <w:tc>
          <w:tcPr>
            <w:tcW w:w="124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3,599</w:t>
            </w:r>
          </w:p>
        </w:tc>
        <w:tc>
          <w:tcPr>
            <w:tcW w:w="740" w:type="dxa"/>
            <w:vAlign w:val="bottom"/>
          </w:tcPr>
          <w:p>
            <w:pPr>
              <w:spacing w:after="0"/>
              <w:rPr>
                <w:sz w:val="14"/>
                <w:szCs w:val="14"/>
                <w:color w:val="auto"/>
              </w:rPr>
            </w:pP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3,702</w:t>
            </w:r>
          </w:p>
        </w:tc>
        <w:tc>
          <w:tcPr>
            <w:tcW w:w="0" w:type="dxa"/>
            <w:vAlign w:val="bottom"/>
          </w:tcPr>
          <w:p>
            <w:pPr>
              <w:spacing w:after="0"/>
              <w:rPr>
                <w:sz w:val="1"/>
                <w:szCs w:val="1"/>
                <w:color w:val="auto"/>
              </w:rPr>
            </w:pPr>
          </w:p>
        </w:tc>
      </w:tr>
      <w:tr>
        <w:trPr>
          <w:trHeight w:val="168"/>
        </w:trPr>
        <w:tc>
          <w:tcPr>
            <w:tcW w:w="668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Noninterest-Bearing</w:t>
            </w:r>
          </w:p>
        </w:tc>
        <w:tc>
          <w:tcPr>
            <w:tcW w:w="3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68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Interest-Bearing</w:t>
            </w:r>
          </w:p>
        </w:tc>
        <w:tc>
          <w:tcPr>
            <w:tcW w:w="30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62,102</w:t>
            </w:r>
          </w:p>
        </w:tc>
        <w:tc>
          <w:tcPr>
            <w:tcW w:w="7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67,778</w:t>
            </w:r>
          </w:p>
        </w:tc>
        <w:tc>
          <w:tcPr>
            <w:tcW w:w="0" w:type="dxa"/>
            <w:vAlign w:val="bottom"/>
          </w:tcPr>
          <w:p>
            <w:pPr>
              <w:spacing w:after="0"/>
              <w:rPr>
                <w:sz w:val="1"/>
                <w:szCs w:val="1"/>
                <w:color w:val="auto"/>
              </w:rPr>
            </w:pPr>
          </w:p>
        </w:tc>
      </w:tr>
      <w:tr>
        <w:trPr>
          <w:trHeight w:val="168"/>
        </w:trPr>
        <w:tc>
          <w:tcPr>
            <w:tcW w:w="6680" w:type="dxa"/>
            <w:vAlign w:val="bottom"/>
            <w:vMerge w:val="restart"/>
          </w:tcPr>
          <w:p>
            <w:pPr>
              <w:ind w:left="420"/>
              <w:spacing w:after="0"/>
              <w:rPr>
                <w:sz w:val="20"/>
                <w:szCs w:val="20"/>
                <w:color w:val="auto"/>
              </w:rPr>
            </w:pPr>
            <w:r>
              <w:rPr>
                <w:rFonts w:ascii="Courier New" w:cs="Courier New" w:eastAsia="Courier New" w:hAnsi="Courier New"/>
                <w:sz w:val="15"/>
                <w:szCs w:val="15"/>
                <w:color w:val="auto"/>
              </w:rPr>
              <w:t>Total Deposits</w:t>
            </w:r>
          </w:p>
        </w:tc>
        <w:tc>
          <w:tcPr>
            <w:tcW w:w="15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6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168,343</w:t>
            </w:r>
          </w:p>
        </w:tc>
        <w:tc>
          <w:tcPr>
            <w:tcW w:w="7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171,534</w:t>
            </w:r>
          </w:p>
        </w:tc>
        <w:tc>
          <w:tcPr>
            <w:tcW w:w="0" w:type="dxa"/>
            <w:vAlign w:val="bottom"/>
          </w:tcPr>
          <w:p>
            <w:pPr>
              <w:spacing w:after="0"/>
              <w:rPr>
                <w:sz w:val="1"/>
                <w:szCs w:val="1"/>
                <w:color w:val="auto"/>
              </w:rPr>
            </w:pPr>
          </w:p>
        </w:tc>
      </w:tr>
      <w:tr>
        <w:trPr>
          <w:trHeight w:val="168"/>
        </w:trPr>
        <w:tc>
          <w:tcPr>
            <w:tcW w:w="668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Purchased and Securities</w:t>
            </w:r>
          </w:p>
        </w:tc>
        <w:tc>
          <w:tcPr>
            <w:tcW w:w="300" w:type="dxa"/>
            <w:vAlign w:val="bottom"/>
          </w:tcPr>
          <w:p>
            <w:pPr>
              <w:spacing w:after="0"/>
              <w:rPr>
                <w:sz w:val="14"/>
                <w:szCs w:val="14"/>
                <w:color w:val="auto"/>
              </w:rPr>
            </w:pPr>
          </w:p>
        </w:tc>
        <w:tc>
          <w:tcPr>
            <w:tcW w:w="124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54,584</w:t>
            </w:r>
          </w:p>
        </w:tc>
        <w:tc>
          <w:tcPr>
            <w:tcW w:w="740" w:type="dxa"/>
            <w:vAlign w:val="bottom"/>
          </w:tcPr>
          <w:p>
            <w:pPr>
              <w:spacing w:after="0"/>
              <w:rPr>
                <w:sz w:val="14"/>
                <w:szCs w:val="14"/>
                <w:color w:val="auto"/>
              </w:rPr>
            </w:pP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37,263</w:t>
            </w:r>
          </w:p>
        </w:tc>
        <w:tc>
          <w:tcPr>
            <w:tcW w:w="0" w:type="dxa"/>
            <w:vAlign w:val="bottom"/>
          </w:tcPr>
          <w:p>
            <w:pPr>
              <w:spacing w:after="0"/>
              <w:rPr>
                <w:sz w:val="1"/>
                <w:szCs w:val="1"/>
                <w:color w:val="auto"/>
              </w:rPr>
            </w:pPr>
          </w:p>
        </w:tc>
      </w:tr>
      <w:tr>
        <w:trPr>
          <w:trHeight w:val="168"/>
        </w:trPr>
        <w:tc>
          <w:tcPr>
            <w:tcW w:w="66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Sold Under Repurchase Agreements</w:t>
            </w:r>
          </w:p>
        </w:tc>
        <w:tc>
          <w:tcPr>
            <w:tcW w:w="3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6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Borrowed Funds</w:t>
            </w:r>
          </w:p>
        </w:tc>
        <w:tc>
          <w:tcPr>
            <w:tcW w:w="30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13,881</w:t>
            </w:r>
          </w:p>
        </w:tc>
        <w:tc>
          <w:tcPr>
            <w:tcW w:w="7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13,936</w:t>
            </w:r>
          </w:p>
        </w:tc>
        <w:tc>
          <w:tcPr>
            <w:tcW w:w="0" w:type="dxa"/>
            <w:vAlign w:val="bottom"/>
          </w:tcPr>
          <w:p>
            <w:pPr>
              <w:spacing w:after="0"/>
              <w:rPr>
                <w:sz w:val="1"/>
                <w:szCs w:val="1"/>
                <w:color w:val="auto"/>
              </w:rPr>
            </w:pPr>
          </w:p>
        </w:tc>
      </w:tr>
      <w:tr>
        <w:trPr>
          <w:trHeight w:val="168"/>
        </w:trPr>
        <w:tc>
          <w:tcPr>
            <w:tcW w:w="6680" w:type="dxa"/>
            <w:vAlign w:val="bottom"/>
          </w:tcPr>
          <w:p>
            <w:pPr>
              <w:spacing w:after="0" w:line="168" w:lineRule="exact"/>
              <w:rPr>
                <w:sz w:val="20"/>
                <w:szCs w:val="20"/>
                <w:color w:val="auto"/>
              </w:rPr>
            </w:pPr>
            <w:r>
              <w:rPr>
                <w:rFonts w:ascii="Courier New" w:cs="Courier New" w:eastAsia="Courier New" w:hAnsi="Courier New"/>
                <w:sz w:val="15"/>
                <w:szCs w:val="15"/>
                <w:color w:val="auto"/>
              </w:rPr>
              <w:t>Acceptances Outstanding</w:t>
            </w:r>
          </w:p>
        </w:tc>
        <w:tc>
          <w:tcPr>
            <w:tcW w:w="30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2,445</w:t>
            </w:r>
          </w:p>
        </w:tc>
        <w:tc>
          <w:tcPr>
            <w:tcW w:w="7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1,915</w:t>
            </w:r>
          </w:p>
        </w:tc>
        <w:tc>
          <w:tcPr>
            <w:tcW w:w="0" w:type="dxa"/>
            <w:vAlign w:val="bottom"/>
          </w:tcPr>
          <w:p>
            <w:pPr>
              <w:spacing w:after="0"/>
              <w:rPr>
                <w:sz w:val="1"/>
                <w:szCs w:val="1"/>
                <w:color w:val="auto"/>
              </w:rPr>
            </w:pPr>
          </w:p>
        </w:tc>
      </w:tr>
      <w:tr>
        <w:trPr>
          <w:trHeight w:val="168"/>
        </w:trPr>
        <w:tc>
          <w:tcPr>
            <w:tcW w:w="668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 Liabilities</w:t>
            </w:r>
          </w:p>
        </w:tc>
        <w:tc>
          <w:tcPr>
            <w:tcW w:w="30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36,186</w:t>
            </w:r>
          </w:p>
        </w:tc>
        <w:tc>
          <w:tcPr>
            <w:tcW w:w="7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34,341</w:t>
            </w:r>
          </w:p>
        </w:tc>
        <w:tc>
          <w:tcPr>
            <w:tcW w:w="0" w:type="dxa"/>
            <w:vAlign w:val="bottom"/>
          </w:tcPr>
          <w:p>
            <w:pPr>
              <w:spacing w:after="0"/>
              <w:rPr>
                <w:sz w:val="1"/>
                <w:szCs w:val="1"/>
                <w:color w:val="auto"/>
              </w:rPr>
            </w:pPr>
          </w:p>
        </w:tc>
      </w:tr>
      <w:tr>
        <w:trPr>
          <w:trHeight w:val="168"/>
        </w:trPr>
        <w:tc>
          <w:tcPr>
            <w:tcW w:w="668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 Accrued Expenses and Other Liabilities</w:t>
            </w:r>
          </w:p>
        </w:tc>
        <w:tc>
          <w:tcPr>
            <w:tcW w:w="30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13,212</w:t>
            </w:r>
          </w:p>
        </w:tc>
        <w:tc>
          <w:tcPr>
            <w:tcW w:w="7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11,339</w:t>
            </w:r>
          </w:p>
        </w:tc>
        <w:tc>
          <w:tcPr>
            <w:tcW w:w="0" w:type="dxa"/>
            <w:vAlign w:val="bottom"/>
          </w:tcPr>
          <w:p>
            <w:pPr>
              <w:spacing w:after="0"/>
              <w:rPr>
                <w:sz w:val="1"/>
                <w:szCs w:val="1"/>
                <w:color w:val="auto"/>
              </w:rPr>
            </w:pPr>
          </w:p>
        </w:tc>
      </w:tr>
      <w:tr>
        <w:trPr>
          <w:trHeight w:val="168"/>
        </w:trPr>
        <w:tc>
          <w:tcPr>
            <w:tcW w:w="668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30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12,770</w:t>
            </w:r>
          </w:p>
        </w:tc>
        <w:tc>
          <w:tcPr>
            <w:tcW w:w="7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12,825</w:t>
            </w:r>
          </w:p>
        </w:tc>
        <w:tc>
          <w:tcPr>
            <w:tcW w:w="0" w:type="dxa"/>
            <w:vAlign w:val="bottom"/>
          </w:tcPr>
          <w:p>
            <w:pPr>
              <w:spacing w:after="0"/>
              <w:rPr>
                <w:sz w:val="1"/>
                <w:szCs w:val="1"/>
                <w:color w:val="auto"/>
              </w:rPr>
            </w:pPr>
          </w:p>
        </w:tc>
      </w:tr>
      <w:tr>
        <w:trPr>
          <w:trHeight w:val="168"/>
        </w:trPr>
        <w:tc>
          <w:tcPr>
            <w:tcW w:w="6680" w:type="dxa"/>
            <w:vAlign w:val="bottom"/>
            <w:vMerge w:val="restart"/>
          </w:tcPr>
          <w:p>
            <w:pPr>
              <w:ind w:left="780"/>
              <w:spacing w:after="0"/>
              <w:rPr>
                <w:sz w:val="20"/>
                <w:szCs w:val="20"/>
                <w:color w:val="auto"/>
              </w:rPr>
            </w:pPr>
            <w:r>
              <w:rPr>
                <w:rFonts w:ascii="Courier New" w:cs="Courier New" w:eastAsia="Courier New" w:hAnsi="Courier New"/>
                <w:sz w:val="15"/>
                <w:szCs w:val="15"/>
                <w:color w:val="auto"/>
              </w:rPr>
              <w:t>TOTAL LIABILITIES</w:t>
            </w:r>
          </w:p>
        </w:tc>
        <w:tc>
          <w:tcPr>
            <w:tcW w:w="15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6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301,421</w:t>
            </w:r>
          </w:p>
        </w:tc>
        <w:tc>
          <w:tcPr>
            <w:tcW w:w="7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283,153</w:t>
            </w:r>
          </w:p>
        </w:tc>
        <w:tc>
          <w:tcPr>
            <w:tcW w:w="0" w:type="dxa"/>
            <w:vAlign w:val="bottom"/>
          </w:tcPr>
          <w:p>
            <w:pPr>
              <w:spacing w:after="0"/>
              <w:rPr>
                <w:sz w:val="1"/>
                <w:szCs w:val="1"/>
                <w:color w:val="auto"/>
              </w:rPr>
            </w:pPr>
          </w:p>
        </w:tc>
      </w:tr>
      <w:tr>
        <w:trPr>
          <w:trHeight w:val="245"/>
        </w:trPr>
        <w:tc>
          <w:tcPr>
            <w:tcW w:w="6680" w:type="dxa"/>
            <w:vAlign w:val="bottom"/>
            <w:vMerge w:val="restart"/>
          </w:tcPr>
          <w:p>
            <w:pPr>
              <w:spacing w:after="0"/>
              <w:rPr>
                <w:sz w:val="20"/>
                <w:szCs w:val="20"/>
                <w:color w:val="auto"/>
              </w:rPr>
            </w:pPr>
            <w:r>
              <w:rPr>
                <w:rFonts w:ascii="Courier New" w:cs="Courier New" w:eastAsia="Courier New" w:hAnsi="Courier New"/>
                <w:sz w:val="15"/>
                <w:szCs w:val="15"/>
                <w:color w:val="auto"/>
              </w:rPr>
              <w:t>COMMITMENTS AND CONTINGENCIES (See Note 9)</w:t>
            </w:r>
          </w:p>
        </w:tc>
        <w:tc>
          <w:tcPr>
            <w:tcW w:w="15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6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66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300" w:type="dxa"/>
            <w:vAlign w:val="bottom"/>
          </w:tcPr>
          <w:p>
            <w:pPr>
              <w:spacing w:after="0"/>
              <w:rPr>
                <w:sz w:val="22"/>
                <w:szCs w:val="22"/>
                <w:color w:val="auto"/>
              </w:rPr>
            </w:pPr>
          </w:p>
        </w:tc>
        <w:tc>
          <w:tcPr>
            <w:tcW w:w="124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2,650</w:t>
            </w:r>
          </w:p>
        </w:tc>
        <w:tc>
          <w:tcPr>
            <w:tcW w:w="740" w:type="dxa"/>
            <w:vAlign w:val="bottom"/>
          </w:tcPr>
          <w:p>
            <w:pPr>
              <w:spacing w:after="0"/>
              <w:rPr>
                <w:sz w:val="22"/>
                <w:szCs w:val="22"/>
                <w:color w:val="auto"/>
              </w:rPr>
            </w:pP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2,650</w:t>
            </w:r>
          </w:p>
        </w:tc>
        <w:tc>
          <w:tcPr>
            <w:tcW w:w="0" w:type="dxa"/>
            <w:vAlign w:val="bottom"/>
          </w:tcPr>
          <w:p>
            <w:pPr>
              <w:spacing w:after="0"/>
              <w:rPr>
                <w:sz w:val="1"/>
                <w:szCs w:val="1"/>
                <w:color w:val="auto"/>
              </w:rPr>
            </w:pPr>
          </w:p>
        </w:tc>
      </w:tr>
      <w:tr>
        <w:trPr>
          <w:trHeight w:val="168"/>
        </w:trPr>
        <w:tc>
          <w:tcPr>
            <w:tcW w:w="668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w:t>
            </w:r>
          </w:p>
        </w:tc>
        <w:tc>
          <w:tcPr>
            <w:tcW w:w="3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6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(Issued 438,166,749 and 457,587,675 Shares)</w:t>
            </w:r>
          </w:p>
        </w:tc>
        <w:tc>
          <w:tcPr>
            <w:tcW w:w="30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438</w:t>
            </w:r>
          </w:p>
        </w:tc>
        <w:tc>
          <w:tcPr>
            <w:tcW w:w="7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458</w:t>
            </w:r>
          </w:p>
        </w:tc>
        <w:tc>
          <w:tcPr>
            <w:tcW w:w="0" w:type="dxa"/>
            <w:vAlign w:val="bottom"/>
          </w:tcPr>
          <w:p>
            <w:pPr>
              <w:spacing w:after="0"/>
              <w:rPr>
                <w:sz w:val="1"/>
                <w:szCs w:val="1"/>
                <w:color w:val="auto"/>
              </w:rPr>
            </w:pPr>
          </w:p>
        </w:tc>
      </w:tr>
      <w:tr>
        <w:trPr>
          <w:trHeight w:val="168"/>
        </w:trPr>
        <w:tc>
          <w:tcPr>
            <w:tcW w:w="668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Surplus</w:t>
            </w:r>
          </w:p>
        </w:tc>
        <w:tc>
          <w:tcPr>
            <w:tcW w:w="30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10,432</w:t>
            </w:r>
          </w:p>
        </w:tc>
        <w:tc>
          <w:tcPr>
            <w:tcW w:w="7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11,075</w:t>
            </w:r>
          </w:p>
        </w:tc>
        <w:tc>
          <w:tcPr>
            <w:tcW w:w="0" w:type="dxa"/>
            <w:vAlign w:val="bottom"/>
          </w:tcPr>
          <w:p>
            <w:pPr>
              <w:spacing w:after="0"/>
              <w:rPr>
                <w:sz w:val="1"/>
                <w:szCs w:val="1"/>
                <w:color w:val="auto"/>
              </w:rPr>
            </w:pPr>
          </w:p>
        </w:tc>
      </w:tr>
      <w:tr>
        <w:trPr>
          <w:trHeight w:val="168"/>
        </w:trPr>
        <w:tc>
          <w:tcPr>
            <w:tcW w:w="668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Retained Earnings</w:t>
            </w:r>
          </w:p>
        </w:tc>
        <w:tc>
          <w:tcPr>
            <w:tcW w:w="30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7,534</w:t>
            </w:r>
          </w:p>
        </w:tc>
        <w:tc>
          <w:tcPr>
            <w:tcW w:w="7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7,997</w:t>
            </w:r>
          </w:p>
        </w:tc>
        <w:tc>
          <w:tcPr>
            <w:tcW w:w="0" w:type="dxa"/>
            <w:vAlign w:val="bottom"/>
          </w:tcPr>
          <w:p>
            <w:pPr>
              <w:spacing w:after="0"/>
              <w:rPr>
                <w:sz w:val="1"/>
                <w:szCs w:val="1"/>
                <w:color w:val="auto"/>
              </w:rPr>
            </w:pPr>
          </w:p>
        </w:tc>
      </w:tr>
      <w:tr>
        <w:trPr>
          <w:trHeight w:val="168"/>
        </w:trPr>
        <w:tc>
          <w:tcPr>
            <w:tcW w:w="66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Unrealized Loss on Securities Available-for-Sale, Net of Taxes</w:t>
            </w:r>
          </w:p>
        </w:tc>
        <w:tc>
          <w:tcPr>
            <w:tcW w:w="30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(640)</w:t>
            </w:r>
          </w:p>
        </w:tc>
        <w:tc>
          <w:tcPr>
            <w:tcW w:w="7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(237)</w:t>
            </w:r>
          </w:p>
        </w:tc>
        <w:tc>
          <w:tcPr>
            <w:tcW w:w="0" w:type="dxa"/>
            <w:vAlign w:val="bottom"/>
          </w:tcPr>
          <w:p>
            <w:pPr>
              <w:spacing w:after="0"/>
              <w:rPr>
                <w:sz w:val="1"/>
                <w:szCs w:val="1"/>
                <w:color w:val="auto"/>
              </w:rPr>
            </w:pPr>
          </w:p>
        </w:tc>
      </w:tr>
      <w:tr>
        <w:trPr>
          <w:trHeight w:val="168"/>
        </w:trPr>
        <w:tc>
          <w:tcPr>
            <w:tcW w:w="6680" w:type="dxa"/>
            <w:vAlign w:val="bottom"/>
          </w:tcPr>
          <w:p>
            <w:pPr>
              <w:spacing w:after="0" w:line="168" w:lineRule="exact"/>
              <w:rPr>
                <w:sz w:val="20"/>
                <w:szCs w:val="20"/>
                <w:color w:val="auto"/>
              </w:rPr>
            </w:pPr>
            <w:r>
              <w:rPr>
                <w:rFonts w:ascii="Courier New" w:cs="Courier New" w:eastAsia="Courier New" w:hAnsi="Courier New"/>
                <w:sz w:val="15"/>
                <w:szCs w:val="15"/>
                <w:color w:val="auto"/>
              </w:rPr>
              <w:t>Treasury Stock, at Cost (1,112,101 and 22,583,225 Shares)</w:t>
            </w:r>
          </w:p>
        </w:tc>
        <w:tc>
          <w:tcPr>
            <w:tcW w:w="30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(74)</w:t>
            </w:r>
          </w:p>
        </w:tc>
        <w:tc>
          <w:tcPr>
            <w:tcW w:w="7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(1,107)</w:t>
            </w:r>
          </w:p>
        </w:tc>
        <w:tc>
          <w:tcPr>
            <w:tcW w:w="0" w:type="dxa"/>
            <w:vAlign w:val="bottom"/>
          </w:tcPr>
          <w:p>
            <w:pPr>
              <w:spacing w:after="0"/>
              <w:rPr>
                <w:sz w:val="1"/>
                <w:szCs w:val="1"/>
                <w:color w:val="auto"/>
              </w:rPr>
            </w:pPr>
          </w:p>
        </w:tc>
      </w:tr>
      <w:tr>
        <w:trPr>
          <w:trHeight w:val="168"/>
        </w:trPr>
        <w:tc>
          <w:tcPr>
            <w:tcW w:w="6680" w:type="dxa"/>
            <w:vAlign w:val="bottom"/>
            <w:vMerge w:val="restart"/>
          </w:tcPr>
          <w:p>
            <w:pPr>
              <w:ind w:left="780"/>
              <w:spacing w:after="0"/>
              <w:rPr>
                <w:sz w:val="20"/>
                <w:szCs w:val="20"/>
                <w:color w:val="auto"/>
              </w:rPr>
            </w:pPr>
            <w:r>
              <w:rPr>
                <w:rFonts w:ascii="Courier New" w:cs="Courier New" w:eastAsia="Courier New" w:hAnsi="Courier New"/>
                <w:sz w:val="15"/>
                <w:szCs w:val="15"/>
                <w:color w:val="auto"/>
              </w:rPr>
              <w:t>TOTAL STOCKHOLDERS' EQUITY</w:t>
            </w:r>
          </w:p>
        </w:tc>
        <w:tc>
          <w:tcPr>
            <w:tcW w:w="15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6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20,340</w:t>
            </w:r>
          </w:p>
        </w:tc>
        <w:tc>
          <w:tcPr>
            <w:tcW w:w="7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20,836</w:t>
            </w:r>
          </w:p>
        </w:tc>
        <w:tc>
          <w:tcPr>
            <w:tcW w:w="0" w:type="dxa"/>
            <w:vAlign w:val="bottom"/>
          </w:tcPr>
          <w:p>
            <w:pPr>
              <w:spacing w:after="0"/>
              <w:rPr>
                <w:sz w:val="1"/>
                <w:szCs w:val="1"/>
                <w:color w:val="auto"/>
              </w:rPr>
            </w:pPr>
          </w:p>
        </w:tc>
      </w:tr>
      <w:tr>
        <w:trPr>
          <w:trHeight w:val="168"/>
        </w:trPr>
        <w:tc>
          <w:tcPr>
            <w:tcW w:w="6680" w:type="dxa"/>
            <w:vAlign w:val="bottom"/>
            <w:vMerge w:val="restart"/>
          </w:tcPr>
          <w:p>
            <w:pPr>
              <w:ind w:left="78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5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680" w:type="dxa"/>
            <w:vAlign w:val="bottom"/>
            <w:vMerge w:val="continue"/>
          </w:tcPr>
          <w:p>
            <w:pPr>
              <w:spacing w:after="0"/>
              <w:rPr>
                <w:sz w:val="14"/>
                <w:szCs w:val="14"/>
                <w:color w:val="auto"/>
              </w:rPr>
            </w:pPr>
          </w:p>
        </w:tc>
        <w:tc>
          <w:tcPr>
            <w:tcW w:w="3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321,761</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303,989</w:t>
            </w:r>
          </w:p>
        </w:tc>
        <w:tc>
          <w:tcPr>
            <w:tcW w:w="0" w:type="dxa"/>
            <w:vAlign w:val="bottom"/>
          </w:tcPr>
          <w:p>
            <w:pPr>
              <w:spacing w:after="0"/>
              <w:rPr>
                <w:sz w:val="1"/>
                <w:szCs w:val="1"/>
                <w:color w:val="auto"/>
              </w:rPr>
            </w:pPr>
          </w:p>
        </w:tc>
      </w:tr>
      <w:tr>
        <w:trPr>
          <w:trHeight w:val="245"/>
        </w:trPr>
        <w:tc>
          <w:tcPr>
            <w:tcW w:w="6680" w:type="dxa"/>
            <w:vAlign w:val="bottom"/>
          </w:tcPr>
          <w:p>
            <w:pPr>
              <w:spacing w:after="0"/>
              <w:rPr>
                <w:sz w:val="21"/>
                <w:szCs w:val="21"/>
                <w:color w:val="auto"/>
              </w:rPr>
            </w:pPr>
          </w:p>
        </w:tc>
        <w:tc>
          <w:tcPr>
            <w:tcW w:w="15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5"/>
          <w:szCs w:val="15"/>
          <w:color w:val="auto"/>
        </w:rPr>
        <w:t>The Notes to Financial</w:t>
      </w:r>
      <w:r>
        <w:rPr>
          <w:sz w:val="20"/>
          <w:szCs w:val="20"/>
          <w:color w:val="auto"/>
        </w:rPr>
        <w:tab/>
      </w:r>
      <w:r>
        <w:rPr>
          <w:rFonts w:ascii="Courier New" w:cs="Courier New" w:eastAsia="Courier New" w:hAnsi="Courier New"/>
          <w:sz w:val="14"/>
          <w:szCs w:val="14"/>
          <w:color w:val="auto"/>
        </w:rPr>
        <w:t>Statements are an integral part of these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766"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Part I</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(continued)</w:t>
      </w:r>
    </w:p>
    <w:p>
      <w:pPr>
        <w:spacing w:after="0" w:line="140" w:lineRule="exact"/>
        <w:rPr>
          <w:sz w:val="20"/>
          <w:szCs w:val="20"/>
          <w:color w:val="auto"/>
        </w:rPr>
      </w:pPr>
    </w:p>
    <w:p>
      <w:pPr>
        <w:jc w:val="center"/>
        <w:ind w:right="-619"/>
        <w:spacing w:after="0"/>
        <w:rPr>
          <w:sz w:val="20"/>
          <w:szCs w:val="20"/>
          <w:color w:val="auto"/>
        </w:rPr>
      </w:pPr>
      <w:r>
        <w:rPr>
          <w:rFonts w:ascii="Courier New" w:cs="Courier New" w:eastAsia="Courier New" w:hAnsi="Courier New"/>
          <w:sz w:val="15"/>
          <w:szCs w:val="15"/>
          <w:color w:val="auto"/>
        </w:rPr>
        <w:t>THE CHASE MANHATTAN CORPORATION and Subsidiaries</w:t>
      </w:r>
    </w:p>
    <w:p>
      <w:pPr>
        <w:spacing w:after="0" w:line="23" w:lineRule="exact"/>
        <w:rPr>
          <w:sz w:val="20"/>
          <w:szCs w:val="20"/>
          <w:color w:val="auto"/>
        </w:rPr>
      </w:pPr>
    </w:p>
    <w:p>
      <w:pPr>
        <w:jc w:val="center"/>
        <w:ind w:right="-619"/>
        <w:spacing w:after="0"/>
        <w:rPr>
          <w:sz w:val="20"/>
          <w:szCs w:val="20"/>
          <w:color w:val="auto"/>
        </w:rPr>
      </w:pPr>
      <w:r>
        <w:rPr>
          <w:rFonts w:ascii="Courier New" w:cs="Courier New" w:eastAsia="Courier New" w:hAnsi="Courier New"/>
          <w:sz w:val="15"/>
          <w:szCs w:val="15"/>
          <w:color w:val="auto"/>
        </w:rPr>
        <w:t>CONSOLIDATED STATEMENT OF INCOME</w:t>
      </w:r>
    </w:p>
    <w:p>
      <w:pPr>
        <w:ind w:left="4560"/>
        <w:spacing w:after="0" w:line="237" w:lineRule="auto"/>
        <w:rPr>
          <w:sz w:val="20"/>
          <w:szCs w:val="20"/>
          <w:color w:val="auto"/>
        </w:rPr>
      </w:pPr>
      <w:r>
        <w:rPr>
          <w:rFonts w:ascii="Courier New" w:cs="Courier New" w:eastAsia="Courier New" w:hAnsi="Courier New"/>
          <w:sz w:val="15"/>
          <w:szCs w:val="15"/>
          <w:color w:val="auto"/>
        </w:rPr>
        <w:t>Three Months Ended June 30,</w:t>
      </w:r>
    </w:p>
    <w:p>
      <w:pPr>
        <w:ind w:left="4120"/>
        <w:spacing w:after="0"/>
        <w:rPr>
          <w:sz w:val="20"/>
          <w:szCs w:val="20"/>
          <w:color w:val="auto"/>
        </w:rPr>
      </w:pPr>
      <w:r>
        <w:rPr>
          <w:rFonts w:ascii="Courier New" w:cs="Courier New" w:eastAsia="Courier New" w:hAnsi="Courier New"/>
          <w:sz w:val="15"/>
          <w:szCs w:val="15"/>
          <w:color w:val="auto"/>
        </w:rPr>
        <w:t>(in millions, except per share data)</w:t>
      </w:r>
    </w:p>
    <w:p>
      <w:pPr>
        <w:spacing w:after="0" w:line="139"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55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45"/>
        </w:trPr>
        <w:tc>
          <w:tcPr>
            <w:tcW w:w="5500" w:type="dxa"/>
            <w:vAlign w:val="bottom"/>
            <w:vMerge w:val="restart"/>
          </w:tcPr>
          <w:p>
            <w:pPr>
              <w:spacing w:after="0"/>
              <w:rPr>
                <w:sz w:val="20"/>
                <w:szCs w:val="20"/>
                <w:color w:val="auto"/>
              </w:rPr>
            </w:pPr>
            <w:r>
              <w:rPr>
                <w:rFonts w:ascii="Courier New" w:cs="Courier New" w:eastAsia="Courier New" w:hAnsi="Courier New"/>
                <w:sz w:val="15"/>
                <w:szCs w:val="15"/>
                <w:color w:val="auto"/>
              </w:rPr>
              <w:t>INTEREST INCOME</w:t>
            </w:r>
          </w:p>
        </w:tc>
        <w:tc>
          <w:tcPr>
            <w:tcW w:w="316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500" w:type="dxa"/>
            <w:vAlign w:val="bottom"/>
            <w:vMerge w:val="continue"/>
          </w:tcPr>
          <w:p>
            <w:pPr>
              <w:spacing w:after="0"/>
              <w:rPr>
                <w:sz w:val="14"/>
                <w:szCs w:val="14"/>
                <w:color w:val="auto"/>
              </w:rPr>
            </w:pPr>
          </w:p>
        </w:tc>
        <w:tc>
          <w:tcPr>
            <w:tcW w:w="1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5500" w:type="dxa"/>
            <w:vAlign w:val="bottom"/>
          </w:tcPr>
          <w:p>
            <w:pPr>
              <w:spacing w:after="0"/>
              <w:rPr>
                <w:sz w:val="20"/>
                <w:szCs w:val="20"/>
                <w:color w:val="auto"/>
              </w:rPr>
            </w:pPr>
            <w:r>
              <w:rPr>
                <w:rFonts w:ascii="Courier New" w:cs="Courier New" w:eastAsia="Courier New" w:hAnsi="Courier New"/>
                <w:sz w:val="15"/>
                <w:szCs w:val="15"/>
                <w:color w:val="auto"/>
              </w:rPr>
              <w:t>Loans</w:t>
            </w:r>
          </w:p>
        </w:tc>
        <w:tc>
          <w:tcPr>
            <w:tcW w:w="1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3,028</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3,241</w:t>
            </w: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w:t>
            </w:r>
          </w:p>
        </w:tc>
        <w:tc>
          <w:tcPr>
            <w:tcW w:w="1720" w:type="dxa"/>
            <w:vAlign w:val="bottom"/>
          </w:tcPr>
          <w:p>
            <w:pPr>
              <w:spacing w:after="0"/>
              <w:rPr>
                <w:sz w:val="14"/>
                <w:szCs w:val="14"/>
                <w:color w:val="auto"/>
              </w:rPr>
            </w:pPr>
          </w:p>
        </w:tc>
        <w:tc>
          <w:tcPr>
            <w:tcW w:w="1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685</w:t>
            </w:r>
          </w:p>
        </w:tc>
        <w:tc>
          <w:tcPr>
            <w:tcW w:w="9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616</w:t>
            </w: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 Assets</w:t>
            </w:r>
          </w:p>
        </w:tc>
        <w:tc>
          <w:tcPr>
            <w:tcW w:w="1720" w:type="dxa"/>
            <w:vAlign w:val="bottom"/>
          </w:tcPr>
          <w:p>
            <w:pPr>
              <w:spacing w:after="0"/>
              <w:rPr>
                <w:sz w:val="14"/>
                <w:szCs w:val="14"/>
                <w:color w:val="auto"/>
              </w:rPr>
            </w:pPr>
          </w:p>
        </w:tc>
        <w:tc>
          <w:tcPr>
            <w:tcW w:w="1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406</w:t>
            </w:r>
          </w:p>
        </w:tc>
        <w:tc>
          <w:tcPr>
            <w:tcW w:w="9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343</w:t>
            </w: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Sold and Securities</w:t>
            </w:r>
          </w:p>
        </w:tc>
        <w:tc>
          <w:tcPr>
            <w:tcW w:w="1720" w:type="dxa"/>
            <w:vAlign w:val="bottom"/>
          </w:tcPr>
          <w:p>
            <w:pPr>
              <w:spacing w:after="0"/>
              <w:rPr>
                <w:sz w:val="14"/>
                <w:szCs w:val="14"/>
                <w:color w:val="auto"/>
              </w:rPr>
            </w:pPr>
          </w:p>
        </w:tc>
        <w:tc>
          <w:tcPr>
            <w:tcW w:w="1440" w:type="dxa"/>
            <w:vAlign w:val="bottom"/>
            <w:vMerge w:val="restart"/>
          </w:tcPr>
          <w:p>
            <w:pPr>
              <w:jc w:val="right"/>
              <w:ind w:right="807"/>
              <w:spacing w:after="0"/>
              <w:rPr>
                <w:sz w:val="20"/>
                <w:szCs w:val="20"/>
                <w:color w:val="auto"/>
              </w:rPr>
            </w:pPr>
            <w:r>
              <w:rPr>
                <w:rFonts w:ascii="Courier New" w:cs="Courier New" w:eastAsia="Courier New" w:hAnsi="Courier New"/>
                <w:sz w:val="15"/>
                <w:szCs w:val="15"/>
                <w:color w:val="auto"/>
              </w:rPr>
              <w:t>514</w:t>
            </w:r>
          </w:p>
        </w:tc>
        <w:tc>
          <w:tcPr>
            <w:tcW w:w="960" w:type="dxa"/>
            <w:vAlign w:val="bottom"/>
          </w:tcPr>
          <w:p>
            <w:pPr>
              <w:spacing w:after="0"/>
              <w:rPr>
                <w:sz w:val="14"/>
                <w:szCs w:val="14"/>
                <w:color w:val="auto"/>
              </w:rPr>
            </w:pPr>
          </w:p>
        </w:tc>
        <w:tc>
          <w:tcPr>
            <w:tcW w:w="6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482</w:t>
            </w:r>
          </w:p>
        </w:tc>
        <w:tc>
          <w:tcPr>
            <w:tcW w:w="0" w:type="dxa"/>
            <w:vAlign w:val="bottom"/>
          </w:tcPr>
          <w:p>
            <w:pPr>
              <w:spacing w:after="0"/>
              <w:rPr>
                <w:sz w:val="1"/>
                <w:szCs w:val="1"/>
                <w:color w:val="auto"/>
              </w:rPr>
            </w:pPr>
          </w:p>
        </w:tc>
      </w:tr>
      <w:tr>
        <w:trPr>
          <w:trHeight w:val="168"/>
        </w:trPr>
        <w:tc>
          <w:tcPr>
            <w:tcW w:w="55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Purchased Under Resale Agreements</w:t>
            </w:r>
          </w:p>
        </w:tc>
        <w:tc>
          <w:tcPr>
            <w:tcW w:w="172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Deposits with Banks</w:t>
            </w:r>
          </w:p>
        </w:tc>
        <w:tc>
          <w:tcPr>
            <w:tcW w:w="1720" w:type="dxa"/>
            <w:vAlign w:val="bottom"/>
          </w:tcPr>
          <w:p>
            <w:pPr>
              <w:spacing w:after="0"/>
              <w:rPr>
                <w:sz w:val="14"/>
                <w:szCs w:val="14"/>
                <w:color w:val="auto"/>
              </w:rPr>
            </w:pPr>
          </w:p>
        </w:tc>
        <w:tc>
          <w:tcPr>
            <w:tcW w:w="1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156</w:t>
            </w:r>
          </w:p>
        </w:tc>
        <w:tc>
          <w:tcPr>
            <w:tcW w:w="9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218</w:t>
            </w:r>
          </w:p>
        </w:tc>
        <w:tc>
          <w:tcPr>
            <w:tcW w:w="0" w:type="dxa"/>
            <w:vAlign w:val="bottom"/>
          </w:tcPr>
          <w:p>
            <w:pPr>
              <w:spacing w:after="0"/>
              <w:rPr>
                <w:sz w:val="1"/>
                <w:szCs w:val="1"/>
                <w:color w:val="auto"/>
              </w:rPr>
            </w:pPr>
          </w:p>
        </w:tc>
      </w:tr>
      <w:tr>
        <w:trPr>
          <w:trHeight w:val="168"/>
        </w:trPr>
        <w:tc>
          <w:tcPr>
            <w:tcW w:w="55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Interest Income</w:t>
            </w:r>
          </w:p>
        </w:tc>
        <w:tc>
          <w:tcPr>
            <w:tcW w:w="316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500" w:type="dxa"/>
            <w:vAlign w:val="bottom"/>
            <w:vMerge w:val="continue"/>
          </w:tcPr>
          <w:p>
            <w:pPr>
              <w:spacing w:after="0"/>
              <w:rPr>
                <w:sz w:val="14"/>
                <w:szCs w:val="14"/>
                <w:color w:val="auto"/>
              </w:rPr>
            </w:pPr>
          </w:p>
        </w:tc>
        <w:tc>
          <w:tcPr>
            <w:tcW w:w="1720" w:type="dxa"/>
            <w:vAlign w:val="bottom"/>
          </w:tcPr>
          <w:p>
            <w:pPr>
              <w:spacing w:after="0"/>
              <w:rPr>
                <w:sz w:val="14"/>
                <w:szCs w:val="14"/>
                <w:color w:val="auto"/>
              </w:rPr>
            </w:pPr>
          </w:p>
        </w:tc>
        <w:tc>
          <w:tcPr>
            <w:tcW w:w="1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4,789</w:t>
            </w:r>
          </w:p>
        </w:tc>
        <w:tc>
          <w:tcPr>
            <w:tcW w:w="9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4,900</w:t>
            </w:r>
          </w:p>
        </w:tc>
        <w:tc>
          <w:tcPr>
            <w:tcW w:w="0" w:type="dxa"/>
            <w:vAlign w:val="bottom"/>
          </w:tcPr>
          <w:p>
            <w:pPr>
              <w:spacing w:after="0"/>
              <w:rPr>
                <w:sz w:val="1"/>
                <w:szCs w:val="1"/>
                <w:color w:val="auto"/>
              </w:rPr>
            </w:pPr>
          </w:p>
        </w:tc>
      </w:tr>
      <w:tr>
        <w:trPr>
          <w:trHeight w:val="245"/>
        </w:trPr>
        <w:tc>
          <w:tcPr>
            <w:tcW w:w="5500" w:type="dxa"/>
            <w:vAlign w:val="bottom"/>
            <w:vMerge w:val="restart"/>
          </w:tcPr>
          <w:p>
            <w:pPr>
              <w:spacing w:after="0"/>
              <w:rPr>
                <w:sz w:val="20"/>
                <w:szCs w:val="20"/>
                <w:color w:val="auto"/>
              </w:rPr>
            </w:pPr>
            <w:r>
              <w:rPr>
                <w:rFonts w:ascii="Courier New" w:cs="Courier New" w:eastAsia="Courier New" w:hAnsi="Courier New"/>
                <w:sz w:val="15"/>
                <w:szCs w:val="15"/>
                <w:color w:val="auto"/>
              </w:rPr>
              <w:t>INTEREST EXPENSE</w:t>
            </w:r>
          </w:p>
        </w:tc>
        <w:tc>
          <w:tcPr>
            <w:tcW w:w="316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50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1440" w:type="dxa"/>
            <w:vAlign w:val="bottom"/>
            <w:vMerge w:val="restart"/>
          </w:tcPr>
          <w:p>
            <w:pPr>
              <w:jc w:val="right"/>
              <w:ind w:right="807"/>
              <w:spacing w:after="0"/>
              <w:rPr>
                <w:sz w:val="20"/>
                <w:szCs w:val="20"/>
                <w:color w:val="auto"/>
              </w:rPr>
            </w:pPr>
            <w:r>
              <w:rPr>
                <w:rFonts w:ascii="Courier New" w:cs="Courier New" w:eastAsia="Courier New" w:hAnsi="Courier New"/>
                <w:sz w:val="15"/>
                <w:szCs w:val="15"/>
                <w:color w:val="auto"/>
              </w:rPr>
              <w:t>1,458</w:t>
            </w:r>
          </w:p>
        </w:tc>
        <w:tc>
          <w:tcPr>
            <w:tcW w:w="960" w:type="dxa"/>
            <w:vAlign w:val="bottom"/>
          </w:tcPr>
          <w:p>
            <w:pPr>
              <w:spacing w:after="0"/>
              <w:rPr>
                <w:sz w:val="7"/>
                <w:szCs w:val="7"/>
                <w:color w:val="auto"/>
              </w:rPr>
            </w:pPr>
          </w:p>
        </w:tc>
        <w:tc>
          <w:tcPr>
            <w:tcW w:w="6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1,596</w:t>
            </w: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Deposits</w:t>
            </w:r>
          </w:p>
        </w:tc>
        <w:tc>
          <w:tcPr>
            <w:tcW w:w="172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Short-Term and Other Borrowings</w:t>
            </w:r>
          </w:p>
        </w:tc>
        <w:tc>
          <w:tcPr>
            <w:tcW w:w="1720" w:type="dxa"/>
            <w:vAlign w:val="bottom"/>
          </w:tcPr>
          <w:p>
            <w:pPr>
              <w:spacing w:after="0"/>
              <w:rPr>
                <w:sz w:val="14"/>
                <w:szCs w:val="14"/>
                <w:color w:val="auto"/>
              </w:rPr>
            </w:pPr>
          </w:p>
        </w:tc>
        <w:tc>
          <w:tcPr>
            <w:tcW w:w="1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1,087</w:t>
            </w:r>
          </w:p>
        </w:tc>
        <w:tc>
          <w:tcPr>
            <w:tcW w:w="9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1,038</w:t>
            </w: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1720" w:type="dxa"/>
            <w:vAlign w:val="bottom"/>
          </w:tcPr>
          <w:p>
            <w:pPr>
              <w:spacing w:after="0"/>
              <w:rPr>
                <w:sz w:val="14"/>
                <w:szCs w:val="14"/>
                <w:color w:val="auto"/>
              </w:rPr>
            </w:pPr>
          </w:p>
        </w:tc>
        <w:tc>
          <w:tcPr>
            <w:tcW w:w="1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221</w:t>
            </w:r>
          </w:p>
        </w:tc>
        <w:tc>
          <w:tcPr>
            <w:tcW w:w="9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238</w:t>
            </w:r>
          </w:p>
        </w:tc>
        <w:tc>
          <w:tcPr>
            <w:tcW w:w="0" w:type="dxa"/>
            <w:vAlign w:val="bottom"/>
          </w:tcPr>
          <w:p>
            <w:pPr>
              <w:spacing w:after="0"/>
              <w:rPr>
                <w:sz w:val="1"/>
                <w:szCs w:val="1"/>
                <w:color w:val="auto"/>
              </w:rPr>
            </w:pPr>
          </w:p>
        </w:tc>
      </w:tr>
      <w:tr>
        <w:trPr>
          <w:trHeight w:val="168"/>
        </w:trPr>
        <w:tc>
          <w:tcPr>
            <w:tcW w:w="55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Interest Expense</w:t>
            </w:r>
          </w:p>
        </w:tc>
        <w:tc>
          <w:tcPr>
            <w:tcW w:w="316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500" w:type="dxa"/>
            <w:vAlign w:val="bottom"/>
            <w:vMerge w:val="continue"/>
          </w:tcPr>
          <w:p>
            <w:pPr>
              <w:spacing w:after="0"/>
              <w:rPr>
                <w:sz w:val="14"/>
                <w:szCs w:val="14"/>
                <w:color w:val="auto"/>
              </w:rPr>
            </w:pPr>
          </w:p>
        </w:tc>
        <w:tc>
          <w:tcPr>
            <w:tcW w:w="1720" w:type="dxa"/>
            <w:vAlign w:val="bottom"/>
          </w:tcPr>
          <w:p>
            <w:pPr>
              <w:spacing w:after="0"/>
              <w:rPr>
                <w:sz w:val="14"/>
                <w:szCs w:val="14"/>
                <w:color w:val="auto"/>
              </w:rPr>
            </w:pPr>
          </w:p>
        </w:tc>
        <w:tc>
          <w:tcPr>
            <w:tcW w:w="1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2,766</w:t>
            </w:r>
          </w:p>
        </w:tc>
        <w:tc>
          <w:tcPr>
            <w:tcW w:w="9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2,872</w:t>
            </w:r>
          </w:p>
        </w:tc>
        <w:tc>
          <w:tcPr>
            <w:tcW w:w="0" w:type="dxa"/>
            <w:vAlign w:val="bottom"/>
          </w:tcPr>
          <w:p>
            <w:pPr>
              <w:spacing w:after="0"/>
              <w:rPr>
                <w:sz w:val="1"/>
                <w:szCs w:val="1"/>
                <w:color w:val="auto"/>
              </w:rPr>
            </w:pPr>
          </w:p>
        </w:tc>
      </w:tr>
      <w:tr>
        <w:trPr>
          <w:trHeight w:val="168"/>
        </w:trPr>
        <w:tc>
          <w:tcPr>
            <w:tcW w:w="5500" w:type="dxa"/>
            <w:vAlign w:val="bottom"/>
            <w:vMerge w:val="restart"/>
          </w:tcPr>
          <w:p>
            <w:pPr>
              <w:spacing w:after="0"/>
              <w:rPr>
                <w:sz w:val="20"/>
                <w:szCs w:val="20"/>
                <w:color w:val="auto"/>
              </w:rPr>
            </w:pPr>
            <w:r>
              <w:rPr>
                <w:rFonts w:ascii="Courier New" w:cs="Courier New" w:eastAsia="Courier New" w:hAnsi="Courier New"/>
                <w:sz w:val="15"/>
                <w:szCs w:val="15"/>
                <w:color w:val="auto"/>
              </w:rPr>
              <w:t>NET INTEREST INCOME</w:t>
            </w:r>
          </w:p>
        </w:tc>
        <w:tc>
          <w:tcPr>
            <w:tcW w:w="316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500" w:type="dxa"/>
            <w:vAlign w:val="bottom"/>
            <w:vMerge w:val="continue"/>
          </w:tcPr>
          <w:p>
            <w:pPr>
              <w:spacing w:after="0"/>
              <w:rPr>
                <w:sz w:val="14"/>
                <w:szCs w:val="14"/>
                <w:color w:val="auto"/>
              </w:rPr>
            </w:pPr>
          </w:p>
        </w:tc>
        <w:tc>
          <w:tcPr>
            <w:tcW w:w="1720" w:type="dxa"/>
            <w:vAlign w:val="bottom"/>
          </w:tcPr>
          <w:p>
            <w:pPr>
              <w:spacing w:after="0"/>
              <w:rPr>
                <w:sz w:val="14"/>
                <w:szCs w:val="14"/>
                <w:color w:val="auto"/>
              </w:rPr>
            </w:pPr>
          </w:p>
        </w:tc>
        <w:tc>
          <w:tcPr>
            <w:tcW w:w="1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2,023</w:t>
            </w:r>
          </w:p>
        </w:tc>
        <w:tc>
          <w:tcPr>
            <w:tcW w:w="9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2,028</w:t>
            </w: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Losses</w:t>
            </w:r>
          </w:p>
        </w:tc>
        <w:tc>
          <w:tcPr>
            <w:tcW w:w="1720" w:type="dxa"/>
            <w:vAlign w:val="bottom"/>
          </w:tcPr>
          <w:p>
            <w:pPr>
              <w:spacing w:after="0"/>
              <w:rPr>
                <w:sz w:val="14"/>
                <w:szCs w:val="14"/>
                <w:color w:val="auto"/>
              </w:rPr>
            </w:pPr>
          </w:p>
        </w:tc>
        <w:tc>
          <w:tcPr>
            <w:tcW w:w="1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250</w:t>
            </w:r>
          </w:p>
        </w:tc>
        <w:tc>
          <w:tcPr>
            <w:tcW w:w="9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195</w:t>
            </w:r>
          </w:p>
        </w:tc>
        <w:tc>
          <w:tcPr>
            <w:tcW w:w="0" w:type="dxa"/>
            <w:vAlign w:val="bottom"/>
          </w:tcPr>
          <w:p>
            <w:pPr>
              <w:spacing w:after="0"/>
              <w:rPr>
                <w:sz w:val="1"/>
                <w:szCs w:val="1"/>
                <w:color w:val="auto"/>
              </w:rPr>
            </w:pPr>
          </w:p>
        </w:tc>
      </w:tr>
      <w:tr>
        <w:trPr>
          <w:trHeight w:val="168"/>
        </w:trPr>
        <w:tc>
          <w:tcPr>
            <w:tcW w:w="5500" w:type="dxa"/>
            <w:vAlign w:val="bottom"/>
            <w:vMerge w:val="restart"/>
          </w:tcPr>
          <w:p>
            <w:pPr>
              <w:spacing w:after="0"/>
              <w:rPr>
                <w:sz w:val="20"/>
                <w:szCs w:val="20"/>
                <w:color w:val="auto"/>
              </w:rPr>
            </w:pPr>
            <w:r>
              <w:rPr>
                <w:rFonts w:ascii="Courier New" w:cs="Courier New" w:eastAsia="Courier New" w:hAnsi="Courier New"/>
                <w:sz w:val="15"/>
                <w:szCs w:val="15"/>
                <w:color w:val="auto"/>
              </w:rPr>
              <w:t>NET INTEREST INCOME AFTER PROVISION FOR LOSSES</w:t>
            </w:r>
          </w:p>
        </w:tc>
        <w:tc>
          <w:tcPr>
            <w:tcW w:w="316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500" w:type="dxa"/>
            <w:vAlign w:val="bottom"/>
            <w:vMerge w:val="continue"/>
          </w:tcPr>
          <w:p>
            <w:pPr>
              <w:spacing w:after="0"/>
              <w:rPr>
                <w:sz w:val="14"/>
                <w:szCs w:val="14"/>
                <w:color w:val="auto"/>
              </w:rPr>
            </w:pPr>
          </w:p>
        </w:tc>
        <w:tc>
          <w:tcPr>
            <w:tcW w:w="1720" w:type="dxa"/>
            <w:vAlign w:val="bottom"/>
          </w:tcPr>
          <w:p>
            <w:pPr>
              <w:spacing w:after="0"/>
              <w:rPr>
                <w:sz w:val="14"/>
                <w:szCs w:val="14"/>
                <w:color w:val="auto"/>
              </w:rPr>
            </w:pPr>
          </w:p>
        </w:tc>
        <w:tc>
          <w:tcPr>
            <w:tcW w:w="1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1,773</w:t>
            </w:r>
          </w:p>
        </w:tc>
        <w:tc>
          <w:tcPr>
            <w:tcW w:w="9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1,833</w:t>
            </w:r>
          </w:p>
        </w:tc>
        <w:tc>
          <w:tcPr>
            <w:tcW w:w="0" w:type="dxa"/>
            <w:vAlign w:val="bottom"/>
          </w:tcPr>
          <w:p>
            <w:pPr>
              <w:spacing w:after="0"/>
              <w:rPr>
                <w:sz w:val="1"/>
                <w:szCs w:val="1"/>
                <w:color w:val="auto"/>
              </w:rPr>
            </w:pPr>
          </w:p>
        </w:tc>
      </w:tr>
      <w:tr>
        <w:trPr>
          <w:trHeight w:val="245"/>
        </w:trPr>
        <w:tc>
          <w:tcPr>
            <w:tcW w:w="5500" w:type="dxa"/>
            <w:vAlign w:val="bottom"/>
            <w:vMerge w:val="restart"/>
          </w:tcPr>
          <w:p>
            <w:pPr>
              <w:spacing w:after="0"/>
              <w:rPr>
                <w:sz w:val="20"/>
                <w:szCs w:val="20"/>
                <w:color w:val="auto"/>
              </w:rPr>
            </w:pPr>
            <w:r>
              <w:rPr>
                <w:rFonts w:ascii="Courier New" w:cs="Courier New" w:eastAsia="Courier New" w:hAnsi="Courier New"/>
                <w:sz w:val="15"/>
                <w:szCs w:val="15"/>
                <w:color w:val="auto"/>
              </w:rPr>
              <w:t>NONINTEREST REVENUE</w:t>
            </w:r>
          </w:p>
        </w:tc>
        <w:tc>
          <w:tcPr>
            <w:tcW w:w="316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50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1440" w:type="dxa"/>
            <w:vAlign w:val="bottom"/>
            <w:vMerge w:val="restart"/>
          </w:tcPr>
          <w:p>
            <w:pPr>
              <w:jc w:val="right"/>
              <w:ind w:right="807"/>
              <w:spacing w:after="0"/>
              <w:rPr>
                <w:sz w:val="20"/>
                <w:szCs w:val="20"/>
                <w:color w:val="auto"/>
              </w:rPr>
            </w:pPr>
            <w:r>
              <w:rPr>
                <w:rFonts w:ascii="Courier New" w:cs="Courier New" w:eastAsia="Courier New" w:hAnsi="Courier New"/>
                <w:sz w:val="15"/>
                <w:szCs w:val="15"/>
                <w:color w:val="auto"/>
              </w:rPr>
              <w:t>258</w:t>
            </w:r>
          </w:p>
        </w:tc>
        <w:tc>
          <w:tcPr>
            <w:tcW w:w="960" w:type="dxa"/>
            <w:vAlign w:val="bottom"/>
          </w:tcPr>
          <w:p>
            <w:pPr>
              <w:spacing w:after="0"/>
              <w:rPr>
                <w:sz w:val="7"/>
                <w:szCs w:val="7"/>
                <w:color w:val="auto"/>
              </w:rPr>
            </w:pPr>
          </w:p>
        </w:tc>
        <w:tc>
          <w:tcPr>
            <w:tcW w:w="6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197</w:t>
            </w: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Finance and Syndication Fees</w:t>
            </w:r>
          </w:p>
        </w:tc>
        <w:tc>
          <w:tcPr>
            <w:tcW w:w="172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Trust and Investment Management Fees</w:t>
            </w:r>
          </w:p>
        </w:tc>
        <w:tc>
          <w:tcPr>
            <w:tcW w:w="1720" w:type="dxa"/>
            <w:vAlign w:val="bottom"/>
          </w:tcPr>
          <w:p>
            <w:pPr>
              <w:spacing w:after="0"/>
              <w:rPr>
                <w:sz w:val="14"/>
                <w:szCs w:val="14"/>
                <w:color w:val="auto"/>
              </w:rPr>
            </w:pPr>
          </w:p>
        </w:tc>
        <w:tc>
          <w:tcPr>
            <w:tcW w:w="1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302</w:t>
            </w:r>
          </w:p>
        </w:tc>
        <w:tc>
          <w:tcPr>
            <w:tcW w:w="9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243</w:t>
            </w: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Credit Card Revenue</w:t>
            </w:r>
          </w:p>
        </w:tc>
        <w:tc>
          <w:tcPr>
            <w:tcW w:w="1720" w:type="dxa"/>
            <w:vAlign w:val="bottom"/>
          </w:tcPr>
          <w:p>
            <w:pPr>
              <w:spacing w:after="0"/>
              <w:rPr>
                <w:sz w:val="14"/>
                <w:szCs w:val="14"/>
                <w:color w:val="auto"/>
              </w:rPr>
            </w:pPr>
          </w:p>
        </w:tc>
        <w:tc>
          <w:tcPr>
            <w:tcW w:w="1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233</w:t>
            </w:r>
          </w:p>
        </w:tc>
        <w:tc>
          <w:tcPr>
            <w:tcW w:w="9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196</w:t>
            </w: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Charges on Deposit Accounts</w:t>
            </w:r>
          </w:p>
        </w:tc>
        <w:tc>
          <w:tcPr>
            <w:tcW w:w="1720" w:type="dxa"/>
            <w:vAlign w:val="bottom"/>
          </w:tcPr>
          <w:p>
            <w:pPr>
              <w:spacing w:after="0"/>
              <w:rPr>
                <w:sz w:val="14"/>
                <w:szCs w:val="14"/>
                <w:color w:val="auto"/>
              </w:rPr>
            </w:pPr>
          </w:p>
        </w:tc>
        <w:tc>
          <w:tcPr>
            <w:tcW w:w="1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100</w:t>
            </w:r>
          </w:p>
        </w:tc>
        <w:tc>
          <w:tcPr>
            <w:tcW w:w="9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w:t>
            </w: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Fees for Other Financial Services</w:t>
            </w:r>
          </w:p>
        </w:tc>
        <w:tc>
          <w:tcPr>
            <w:tcW w:w="1720" w:type="dxa"/>
            <w:vAlign w:val="bottom"/>
          </w:tcPr>
          <w:p>
            <w:pPr>
              <w:spacing w:after="0"/>
              <w:rPr>
                <w:sz w:val="14"/>
                <w:szCs w:val="14"/>
                <w:color w:val="auto"/>
              </w:rPr>
            </w:pPr>
          </w:p>
        </w:tc>
        <w:tc>
          <w:tcPr>
            <w:tcW w:w="1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381</w:t>
            </w:r>
          </w:p>
        </w:tc>
        <w:tc>
          <w:tcPr>
            <w:tcW w:w="9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353</w:t>
            </w: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 Revenue</w:t>
            </w:r>
          </w:p>
        </w:tc>
        <w:tc>
          <w:tcPr>
            <w:tcW w:w="1720" w:type="dxa"/>
            <w:vAlign w:val="bottom"/>
          </w:tcPr>
          <w:p>
            <w:pPr>
              <w:spacing w:after="0"/>
              <w:rPr>
                <w:sz w:val="14"/>
                <w:szCs w:val="14"/>
                <w:color w:val="auto"/>
              </w:rPr>
            </w:pPr>
          </w:p>
        </w:tc>
        <w:tc>
          <w:tcPr>
            <w:tcW w:w="1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379</w:t>
            </w:r>
          </w:p>
        </w:tc>
        <w:tc>
          <w:tcPr>
            <w:tcW w:w="9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301</w:t>
            </w: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Gains</w:t>
            </w:r>
          </w:p>
        </w:tc>
        <w:tc>
          <w:tcPr>
            <w:tcW w:w="1720" w:type="dxa"/>
            <w:vAlign w:val="bottom"/>
          </w:tcPr>
          <w:p>
            <w:pPr>
              <w:spacing w:after="0"/>
              <w:rPr>
                <w:sz w:val="14"/>
                <w:szCs w:val="14"/>
                <w:color w:val="auto"/>
              </w:rPr>
            </w:pPr>
          </w:p>
        </w:tc>
        <w:tc>
          <w:tcPr>
            <w:tcW w:w="1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24</w:t>
            </w:r>
          </w:p>
        </w:tc>
        <w:tc>
          <w:tcPr>
            <w:tcW w:w="9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w:t>
            </w: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Revenue</w:t>
            </w:r>
          </w:p>
        </w:tc>
        <w:tc>
          <w:tcPr>
            <w:tcW w:w="1720" w:type="dxa"/>
            <w:vAlign w:val="bottom"/>
          </w:tcPr>
          <w:p>
            <w:pPr>
              <w:spacing w:after="0"/>
              <w:rPr>
                <w:sz w:val="14"/>
                <w:szCs w:val="14"/>
                <w:color w:val="auto"/>
              </w:rPr>
            </w:pPr>
          </w:p>
        </w:tc>
        <w:tc>
          <w:tcPr>
            <w:tcW w:w="1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254</w:t>
            </w:r>
          </w:p>
        </w:tc>
        <w:tc>
          <w:tcPr>
            <w:tcW w:w="9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257</w:t>
            </w:r>
          </w:p>
        </w:tc>
        <w:tc>
          <w:tcPr>
            <w:tcW w:w="0" w:type="dxa"/>
            <w:vAlign w:val="bottom"/>
          </w:tcPr>
          <w:p>
            <w:pPr>
              <w:spacing w:after="0"/>
              <w:rPr>
                <w:sz w:val="1"/>
                <w:szCs w:val="1"/>
                <w:color w:val="auto"/>
              </w:rPr>
            </w:pPr>
          </w:p>
        </w:tc>
      </w:tr>
      <w:tr>
        <w:trPr>
          <w:trHeight w:val="168"/>
        </w:trPr>
        <w:tc>
          <w:tcPr>
            <w:tcW w:w="55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Noninterest Revenue</w:t>
            </w:r>
          </w:p>
        </w:tc>
        <w:tc>
          <w:tcPr>
            <w:tcW w:w="316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500" w:type="dxa"/>
            <w:vAlign w:val="bottom"/>
            <w:vMerge w:val="continue"/>
          </w:tcPr>
          <w:p>
            <w:pPr>
              <w:spacing w:after="0"/>
              <w:rPr>
                <w:sz w:val="14"/>
                <w:szCs w:val="14"/>
                <w:color w:val="auto"/>
              </w:rPr>
            </w:pPr>
          </w:p>
        </w:tc>
        <w:tc>
          <w:tcPr>
            <w:tcW w:w="1720" w:type="dxa"/>
            <w:vAlign w:val="bottom"/>
          </w:tcPr>
          <w:p>
            <w:pPr>
              <w:spacing w:after="0"/>
              <w:rPr>
                <w:sz w:val="14"/>
                <w:szCs w:val="14"/>
                <w:color w:val="auto"/>
              </w:rPr>
            </w:pPr>
          </w:p>
        </w:tc>
        <w:tc>
          <w:tcPr>
            <w:tcW w:w="1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1,931</w:t>
            </w:r>
          </w:p>
        </w:tc>
        <w:tc>
          <w:tcPr>
            <w:tcW w:w="9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1,726</w:t>
            </w:r>
          </w:p>
        </w:tc>
        <w:tc>
          <w:tcPr>
            <w:tcW w:w="0" w:type="dxa"/>
            <w:vAlign w:val="bottom"/>
          </w:tcPr>
          <w:p>
            <w:pPr>
              <w:spacing w:after="0"/>
              <w:rPr>
                <w:sz w:val="1"/>
                <w:szCs w:val="1"/>
                <w:color w:val="auto"/>
              </w:rPr>
            </w:pPr>
          </w:p>
        </w:tc>
      </w:tr>
      <w:tr>
        <w:trPr>
          <w:trHeight w:val="245"/>
        </w:trPr>
        <w:tc>
          <w:tcPr>
            <w:tcW w:w="5500" w:type="dxa"/>
            <w:vAlign w:val="bottom"/>
            <w:vMerge w:val="restart"/>
          </w:tcPr>
          <w:p>
            <w:pPr>
              <w:spacing w:after="0"/>
              <w:rPr>
                <w:sz w:val="20"/>
                <w:szCs w:val="20"/>
                <w:color w:val="auto"/>
              </w:rPr>
            </w:pPr>
            <w:r>
              <w:rPr>
                <w:rFonts w:ascii="Courier New" w:cs="Courier New" w:eastAsia="Courier New" w:hAnsi="Courier New"/>
                <w:sz w:val="15"/>
                <w:szCs w:val="15"/>
                <w:color w:val="auto"/>
              </w:rPr>
              <w:t>NONINTEREST EXPENSE</w:t>
            </w:r>
          </w:p>
        </w:tc>
        <w:tc>
          <w:tcPr>
            <w:tcW w:w="316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50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1440" w:type="dxa"/>
            <w:vAlign w:val="bottom"/>
            <w:vMerge w:val="restart"/>
          </w:tcPr>
          <w:p>
            <w:pPr>
              <w:jc w:val="right"/>
              <w:ind w:right="807"/>
              <w:spacing w:after="0"/>
              <w:rPr>
                <w:sz w:val="20"/>
                <w:szCs w:val="20"/>
                <w:color w:val="auto"/>
              </w:rPr>
            </w:pPr>
            <w:r>
              <w:rPr>
                <w:rFonts w:ascii="Courier New" w:cs="Courier New" w:eastAsia="Courier New" w:hAnsi="Courier New"/>
                <w:sz w:val="15"/>
                <w:szCs w:val="15"/>
                <w:color w:val="auto"/>
              </w:rPr>
              <w:t>1,046</w:t>
            </w:r>
          </w:p>
        </w:tc>
        <w:tc>
          <w:tcPr>
            <w:tcW w:w="960" w:type="dxa"/>
            <w:vAlign w:val="bottom"/>
          </w:tcPr>
          <w:p>
            <w:pPr>
              <w:spacing w:after="0"/>
              <w:rPr>
                <w:sz w:val="7"/>
                <w:szCs w:val="7"/>
                <w:color w:val="auto"/>
              </w:rPr>
            </w:pPr>
          </w:p>
        </w:tc>
        <w:tc>
          <w:tcPr>
            <w:tcW w:w="6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1,007</w:t>
            </w: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Salaries</w:t>
            </w:r>
          </w:p>
        </w:tc>
        <w:tc>
          <w:tcPr>
            <w:tcW w:w="172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Benefits</w:t>
            </w:r>
          </w:p>
        </w:tc>
        <w:tc>
          <w:tcPr>
            <w:tcW w:w="1720" w:type="dxa"/>
            <w:vAlign w:val="bottom"/>
          </w:tcPr>
          <w:p>
            <w:pPr>
              <w:spacing w:after="0"/>
              <w:rPr>
                <w:sz w:val="14"/>
                <w:szCs w:val="14"/>
                <w:color w:val="auto"/>
              </w:rPr>
            </w:pPr>
          </w:p>
        </w:tc>
        <w:tc>
          <w:tcPr>
            <w:tcW w:w="1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225</w:t>
            </w:r>
          </w:p>
        </w:tc>
        <w:tc>
          <w:tcPr>
            <w:tcW w:w="9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246</w:t>
            </w: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Occupancy Expense</w:t>
            </w:r>
          </w:p>
        </w:tc>
        <w:tc>
          <w:tcPr>
            <w:tcW w:w="1720" w:type="dxa"/>
            <w:vAlign w:val="bottom"/>
          </w:tcPr>
          <w:p>
            <w:pPr>
              <w:spacing w:after="0"/>
              <w:rPr>
                <w:sz w:val="14"/>
                <w:szCs w:val="14"/>
                <w:color w:val="auto"/>
              </w:rPr>
            </w:pPr>
          </w:p>
        </w:tc>
        <w:tc>
          <w:tcPr>
            <w:tcW w:w="1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207</w:t>
            </w:r>
          </w:p>
        </w:tc>
        <w:tc>
          <w:tcPr>
            <w:tcW w:w="9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218</w:t>
            </w: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 Expense</w:t>
            </w:r>
          </w:p>
        </w:tc>
        <w:tc>
          <w:tcPr>
            <w:tcW w:w="1720" w:type="dxa"/>
            <w:vAlign w:val="bottom"/>
          </w:tcPr>
          <w:p>
            <w:pPr>
              <w:spacing w:after="0"/>
              <w:rPr>
                <w:sz w:val="14"/>
                <w:szCs w:val="14"/>
                <w:color w:val="auto"/>
              </w:rPr>
            </w:pPr>
          </w:p>
        </w:tc>
        <w:tc>
          <w:tcPr>
            <w:tcW w:w="1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181</w:t>
            </w:r>
          </w:p>
        </w:tc>
        <w:tc>
          <w:tcPr>
            <w:tcW w:w="9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193</w:t>
            </w: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Foreclosed Property Expense</w:t>
            </w:r>
          </w:p>
        </w:tc>
        <w:tc>
          <w:tcPr>
            <w:tcW w:w="1720" w:type="dxa"/>
            <w:vAlign w:val="bottom"/>
          </w:tcPr>
          <w:p>
            <w:pPr>
              <w:spacing w:after="0"/>
              <w:rPr>
                <w:sz w:val="14"/>
                <w:szCs w:val="14"/>
                <w:color w:val="auto"/>
              </w:rPr>
            </w:pPr>
          </w:p>
        </w:tc>
        <w:tc>
          <w:tcPr>
            <w:tcW w:w="14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(8)</w:t>
            </w:r>
          </w:p>
        </w:tc>
        <w:tc>
          <w:tcPr>
            <w:tcW w:w="9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Charge and Expenses</w:t>
            </w:r>
          </w:p>
        </w:tc>
        <w:tc>
          <w:tcPr>
            <w:tcW w:w="1720" w:type="dxa"/>
            <w:vAlign w:val="bottom"/>
          </w:tcPr>
          <w:p>
            <w:pPr>
              <w:spacing w:after="0"/>
              <w:rPr>
                <w:sz w:val="14"/>
                <w:szCs w:val="14"/>
                <w:color w:val="auto"/>
              </w:rPr>
            </w:pPr>
          </w:p>
        </w:tc>
        <w:tc>
          <w:tcPr>
            <w:tcW w:w="1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22</w:t>
            </w:r>
          </w:p>
        </w:tc>
        <w:tc>
          <w:tcPr>
            <w:tcW w:w="9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Expense</w:t>
            </w:r>
          </w:p>
        </w:tc>
        <w:tc>
          <w:tcPr>
            <w:tcW w:w="1720" w:type="dxa"/>
            <w:vAlign w:val="bottom"/>
          </w:tcPr>
          <w:p>
            <w:pPr>
              <w:spacing w:after="0"/>
              <w:rPr>
                <w:sz w:val="14"/>
                <w:szCs w:val="14"/>
                <w:color w:val="auto"/>
              </w:rPr>
            </w:pPr>
          </w:p>
        </w:tc>
        <w:tc>
          <w:tcPr>
            <w:tcW w:w="1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651</w:t>
            </w:r>
          </w:p>
        </w:tc>
        <w:tc>
          <w:tcPr>
            <w:tcW w:w="9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708</w:t>
            </w:r>
          </w:p>
        </w:tc>
        <w:tc>
          <w:tcPr>
            <w:tcW w:w="0" w:type="dxa"/>
            <w:vAlign w:val="bottom"/>
          </w:tcPr>
          <w:p>
            <w:pPr>
              <w:spacing w:after="0"/>
              <w:rPr>
                <w:sz w:val="1"/>
                <w:szCs w:val="1"/>
                <w:color w:val="auto"/>
              </w:rPr>
            </w:pPr>
          </w:p>
        </w:tc>
      </w:tr>
      <w:tr>
        <w:trPr>
          <w:trHeight w:val="168"/>
        </w:trPr>
        <w:tc>
          <w:tcPr>
            <w:tcW w:w="55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Noninterest Expense</w:t>
            </w:r>
          </w:p>
        </w:tc>
        <w:tc>
          <w:tcPr>
            <w:tcW w:w="316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500" w:type="dxa"/>
            <w:vAlign w:val="bottom"/>
            <w:vMerge w:val="continue"/>
          </w:tcPr>
          <w:p>
            <w:pPr>
              <w:spacing w:after="0"/>
              <w:rPr>
                <w:sz w:val="14"/>
                <w:szCs w:val="14"/>
                <w:color w:val="auto"/>
              </w:rPr>
            </w:pPr>
          </w:p>
        </w:tc>
        <w:tc>
          <w:tcPr>
            <w:tcW w:w="1720" w:type="dxa"/>
            <w:vAlign w:val="bottom"/>
          </w:tcPr>
          <w:p>
            <w:pPr>
              <w:spacing w:after="0"/>
              <w:rPr>
                <w:sz w:val="14"/>
                <w:szCs w:val="14"/>
                <w:color w:val="auto"/>
              </w:rPr>
            </w:pPr>
          </w:p>
        </w:tc>
        <w:tc>
          <w:tcPr>
            <w:tcW w:w="1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2,324</w:t>
            </w:r>
          </w:p>
        </w:tc>
        <w:tc>
          <w:tcPr>
            <w:tcW w:w="9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2,359</w:t>
            </w:r>
          </w:p>
        </w:tc>
        <w:tc>
          <w:tcPr>
            <w:tcW w:w="0" w:type="dxa"/>
            <w:vAlign w:val="bottom"/>
          </w:tcPr>
          <w:p>
            <w:pPr>
              <w:spacing w:after="0"/>
              <w:rPr>
                <w:sz w:val="1"/>
                <w:szCs w:val="1"/>
                <w:color w:val="auto"/>
              </w:rPr>
            </w:pPr>
          </w:p>
        </w:tc>
      </w:tr>
      <w:tr>
        <w:trPr>
          <w:trHeight w:val="168"/>
        </w:trPr>
        <w:tc>
          <w:tcPr>
            <w:tcW w:w="550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INCOME TAX EXPENSE</w:t>
            </w:r>
          </w:p>
        </w:tc>
        <w:tc>
          <w:tcPr>
            <w:tcW w:w="316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500" w:type="dxa"/>
            <w:vAlign w:val="bottom"/>
            <w:vMerge w:val="continue"/>
          </w:tcPr>
          <w:p>
            <w:pPr>
              <w:spacing w:after="0"/>
              <w:rPr>
                <w:sz w:val="14"/>
                <w:szCs w:val="14"/>
                <w:color w:val="auto"/>
              </w:rPr>
            </w:pPr>
          </w:p>
        </w:tc>
        <w:tc>
          <w:tcPr>
            <w:tcW w:w="1720" w:type="dxa"/>
            <w:vAlign w:val="bottom"/>
          </w:tcPr>
          <w:p>
            <w:pPr>
              <w:spacing w:after="0"/>
              <w:rPr>
                <w:sz w:val="14"/>
                <w:szCs w:val="14"/>
                <w:color w:val="auto"/>
              </w:rPr>
            </w:pPr>
          </w:p>
        </w:tc>
        <w:tc>
          <w:tcPr>
            <w:tcW w:w="1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1,380</w:t>
            </w:r>
          </w:p>
        </w:tc>
        <w:tc>
          <w:tcPr>
            <w:tcW w:w="9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1,200</w:t>
            </w: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Expense</w:t>
            </w:r>
          </w:p>
        </w:tc>
        <w:tc>
          <w:tcPr>
            <w:tcW w:w="1720" w:type="dxa"/>
            <w:vAlign w:val="bottom"/>
          </w:tcPr>
          <w:p>
            <w:pPr>
              <w:spacing w:after="0"/>
              <w:rPr>
                <w:sz w:val="14"/>
                <w:szCs w:val="14"/>
                <w:color w:val="auto"/>
              </w:rPr>
            </w:pPr>
          </w:p>
        </w:tc>
        <w:tc>
          <w:tcPr>
            <w:tcW w:w="1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524</w:t>
            </w:r>
          </w:p>
        </w:tc>
        <w:tc>
          <w:tcPr>
            <w:tcW w:w="9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471</w:t>
            </w:r>
          </w:p>
        </w:tc>
        <w:tc>
          <w:tcPr>
            <w:tcW w:w="0" w:type="dxa"/>
            <w:vAlign w:val="bottom"/>
          </w:tcPr>
          <w:p>
            <w:pPr>
              <w:spacing w:after="0"/>
              <w:rPr>
                <w:sz w:val="1"/>
                <w:szCs w:val="1"/>
                <w:color w:val="auto"/>
              </w:rPr>
            </w:pPr>
          </w:p>
        </w:tc>
      </w:tr>
      <w:tr>
        <w:trPr>
          <w:trHeight w:val="168"/>
        </w:trPr>
        <w:tc>
          <w:tcPr>
            <w:tcW w:w="550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316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500" w:type="dxa"/>
            <w:vAlign w:val="bottom"/>
            <w:vMerge w:val="continue"/>
          </w:tcPr>
          <w:p>
            <w:pPr>
              <w:spacing w:after="0"/>
              <w:rPr>
                <w:sz w:val="14"/>
                <w:szCs w:val="14"/>
                <w:color w:val="auto"/>
              </w:rPr>
            </w:pPr>
          </w:p>
        </w:tc>
        <w:tc>
          <w:tcPr>
            <w:tcW w:w="1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856</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729</w:t>
            </w:r>
          </w:p>
        </w:tc>
        <w:tc>
          <w:tcPr>
            <w:tcW w:w="0" w:type="dxa"/>
            <w:vAlign w:val="bottom"/>
          </w:tcPr>
          <w:p>
            <w:pPr>
              <w:spacing w:after="0"/>
              <w:rPr>
                <w:sz w:val="1"/>
                <w:szCs w:val="1"/>
                <w:color w:val="auto"/>
              </w:rPr>
            </w:pPr>
          </w:p>
        </w:tc>
      </w:tr>
      <w:tr>
        <w:trPr>
          <w:trHeight w:val="168"/>
        </w:trPr>
        <w:tc>
          <w:tcPr>
            <w:tcW w:w="550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APPLICABLE TO COMMON STOCK</w:t>
            </w:r>
          </w:p>
        </w:tc>
        <w:tc>
          <w:tcPr>
            <w:tcW w:w="316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500" w:type="dxa"/>
            <w:vAlign w:val="bottom"/>
            <w:vMerge w:val="continue"/>
          </w:tcPr>
          <w:p>
            <w:pPr>
              <w:spacing w:after="0"/>
              <w:rPr>
                <w:sz w:val="14"/>
                <w:szCs w:val="14"/>
                <w:color w:val="auto"/>
              </w:rPr>
            </w:pPr>
          </w:p>
        </w:tc>
        <w:tc>
          <w:tcPr>
            <w:tcW w:w="1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801</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673</w:t>
            </w:r>
          </w:p>
        </w:tc>
        <w:tc>
          <w:tcPr>
            <w:tcW w:w="0" w:type="dxa"/>
            <w:vAlign w:val="bottom"/>
          </w:tcPr>
          <w:p>
            <w:pPr>
              <w:spacing w:after="0"/>
              <w:rPr>
                <w:sz w:val="1"/>
                <w:szCs w:val="1"/>
                <w:color w:val="auto"/>
              </w:rPr>
            </w:pPr>
          </w:p>
        </w:tc>
      </w:tr>
      <w:tr>
        <w:trPr>
          <w:trHeight w:val="245"/>
        </w:trPr>
        <w:tc>
          <w:tcPr>
            <w:tcW w:w="550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PER COMMON SHARE:</w:t>
            </w:r>
          </w:p>
        </w:tc>
        <w:tc>
          <w:tcPr>
            <w:tcW w:w="316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500" w:type="dxa"/>
            <w:vAlign w:val="bottom"/>
            <w:vMerge w:val="continue"/>
          </w:tcPr>
          <w:p>
            <w:pPr>
              <w:spacing w:after="0"/>
              <w:rPr>
                <w:sz w:val="7"/>
                <w:szCs w:val="7"/>
                <w:color w:val="auto"/>
              </w:rPr>
            </w:pPr>
          </w:p>
        </w:tc>
        <w:tc>
          <w:tcPr>
            <w:tcW w:w="17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vMerge w:val="restart"/>
          </w:tcPr>
          <w:p>
            <w:pPr>
              <w:jc w:val="right"/>
              <w:ind w:right="807"/>
              <w:spacing w:after="0"/>
              <w:rPr>
                <w:sz w:val="20"/>
                <w:szCs w:val="20"/>
                <w:color w:val="auto"/>
              </w:rPr>
            </w:pPr>
            <w:r>
              <w:rPr>
                <w:rFonts w:ascii="Courier New" w:cs="Courier New" w:eastAsia="Courier New" w:hAnsi="Courier New"/>
                <w:sz w:val="15"/>
                <w:szCs w:val="15"/>
                <w:color w:val="auto"/>
              </w:rPr>
              <w:t>1.80</w:t>
            </w:r>
          </w:p>
        </w:tc>
        <w:tc>
          <w:tcPr>
            <w:tcW w:w="9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1.54</w:t>
            </w: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Primary</w:t>
            </w:r>
          </w:p>
        </w:tc>
        <w:tc>
          <w:tcPr>
            <w:tcW w:w="172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00" w:type="dxa"/>
            <w:vAlign w:val="bottom"/>
            <w:vMerge w:val="restart"/>
          </w:tcPr>
          <w:p>
            <w:pPr>
              <w:spacing w:after="0"/>
              <w:rPr>
                <w:sz w:val="20"/>
                <w:szCs w:val="20"/>
                <w:color w:val="auto"/>
              </w:rPr>
            </w:pPr>
            <w:r>
              <w:rPr>
                <w:rFonts w:ascii="Courier New" w:cs="Courier New" w:eastAsia="Courier New" w:hAnsi="Courier New"/>
                <w:sz w:val="15"/>
                <w:szCs w:val="15"/>
                <w:color w:val="auto"/>
              </w:rPr>
              <w:t>Assuming Full Dilution</w:t>
            </w:r>
          </w:p>
        </w:tc>
        <w:tc>
          <w:tcPr>
            <w:tcW w:w="316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500" w:type="dxa"/>
            <w:vAlign w:val="bottom"/>
            <w:vMerge w:val="continue"/>
          </w:tcPr>
          <w:p>
            <w:pPr>
              <w:spacing w:after="0"/>
              <w:rPr>
                <w:sz w:val="14"/>
                <w:szCs w:val="14"/>
                <w:color w:val="auto"/>
              </w:rPr>
            </w:pPr>
          </w:p>
        </w:tc>
        <w:tc>
          <w:tcPr>
            <w:tcW w:w="1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1.79</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w:t>
            </w:r>
          </w:p>
        </w:tc>
        <w:tc>
          <w:tcPr>
            <w:tcW w:w="0" w:type="dxa"/>
            <w:vAlign w:val="bottom"/>
          </w:tcPr>
          <w:p>
            <w:pPr>
              <w:spacing w:after="0"/>
              <w:rPr>
                <w:sz w:val="1"/>
                <w:szCs w:val="1"/>
                <w:color w:val="auto"/>
              </w:rPr>
            </w:pPr>
          </w:p>
        </w:tc>
      </w:tr>
      <w:tr>
        <w:trPr>
          <w:trHeight w:val="245"/>
        </w:trPr>
        <w:tc>
          <w:tcPr>
            <w:tcW w:w="5500" w:type="dxa"/>
            <w:vAlign w:val="bottom"/>
          </w:tcPr>
          <w:p>
            <w:pPr>
              <w:spacing w:after="0"/>
              <w:rPr>
                <w:sz w:val="21"/>
                <w:szCs w:val="21"/>
                <w:color w:val="auto"/>
              </w:rPr>
            </w:pPr>
          </w:p>
        </w:tc>
        <w:tc>
          <w:tcPr>
            <w:tcW w:w="316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jc w:val="center"/>
        <w:ind w:right="3920"/>
        <w:spacing w:after="0"/>
        <w:tabs>
          <w:tab w:leader="none" w:pos="160" w:val="left"/>
          <w:tab w:leader="none" w:pos="160" w:val="left"/>
          <w:tab w:leader="none" w:pos="140" w:val="left"/>
        </w:tabs>
        <w:rPr>
          <w:sz w:val="20"/>
          <w:szCs w:val="20"/>
          <w:color w:val="auto"/>
        </w:rPr>
      </w:pPr>
      <w:r>
        <w:rPr>
          <w:rFonts w:ascii="Courier New" w:cs="Courier New" w:eastAsia="Courier New" w:hAnsi="Courier New"/>
          <w:sz w:val="15"/>
          <w:szCs w:val="15"/>
          <w:color w:val="auto"/>
        </w:rPr>
        <w:t>The Notes to</w:t>
        <w:tab/>
        <w:t>Financial</w:t>
        <w:tab/>
        <w:t>Statements</w:t>
      </w:r>
      <w:r>
        <w:rPr>
          <w:sz w:val="20"/>
          <w:szCs w:val="20"/>
          <w:color w:val="auto"/>
        </w:rPr>
        <w:tab/>
      </w:r>
      <w:r>
        <w:rPr>
          <w:rFonts w:ascii="Courier New" w:cs="Courier New" w:eastAsia="Courier New" w:hAnsi="Courier New"/>
          <w:sz w:val="14"/>
          <w:szCs w:val="14"/>
          <w:color w:val="auto"/>
        </w:rPr>
        <w:t>are an integral part of these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760"/>
          </w:cols>
          <w:pgMar w:left="220" w:top="766" w:right="91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Part I</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(continued)</w:t>
      </w:r>
    </w:p>
    <w:p>
      <w:pPr>
        <w:spacing w:after="0" w:line="140" w:lineRule="exact"/>
        <w:rPr>
          <w:sz w:val="20"/>
          <w:szCs w:val="20"/>
          <w:color w:val="auto"/>
        </w:rPr>
      </w:pPr>
    </w:p>
    <w:p>
      <w:pPr>
        <w:jc w:val="center"/>
        <w:ind w:right="-619"/>
        <w:spacing w:after="0"/>
        <w:rPr>
          <w:sz w:val="20"/>
          <w:szCs w:val="20"/>
          <w:color w:val="auto"/>
        </w:rPr>
      </w:pPr>
      <w:r>
        <w:rPr>
          <w:rFonts w:ascii="Courier New" w:cs="Courier New" w:eastAsia="Courier New" w:hAnsi="Courier New"/>
          <w:sz w:val="15"/>
          <w:szCs w:val="15"/>
          <w:color w:val="auto"/>
        </w:rPr>
        <w:t>THE CHASE MANHATTAN CORPORATION and Subsidiaries</w:t>
      </w:r>
    </w:p>
    <w:p>
      <w:pPr>
        <w:spacing w:after="0" w:line="23" w:lineRule="exact"/>
        <w:rPr>
          <w:sz w:val="20"/>
          <w:szCs w:val="20"/>
          <w:color w:val="auto"/>
        </w:rPr>
      </w:pPr>
    </w:p>
    <w:p>
      <w:pPr>
        <w:jc w:val="center"/>
        <w:ind w:right="-619"/>
        <w:spacing w:after="0"/>
        <w:rPr>
          <w:sz w:val="20"/>
          <w:szCs w:val="20"/>
          <w:color w:val="auto"/>
        </w:rPr>
      </w:pPr>
      <w:r>
        <w:rPr>
          <w:rFonts w:ascii="Courier New" w:cs="Courier New" w:eastAsia="Courier New" w:hAnsi="Courier New"/>
          <w:sz w:val="15"/>
          <w:szCs w:val="15"/>
          <w:color w:val="auto"/>
        </w:rPr>
        <w:t>CONSOLIDATED STATEMENT OF INCOME</w:t>
      </w:r>
    </w:p>
    <w:p>
      <w:pPr>
        <w:ind w:left="4640"/>
        <w:spacing w:after="0" w:line="237" w:lineRule="auto"/>
        <w:rPr>
          <w:sz w:val="20"/>
          <w:szCs w:val="20"/>
          <w:color w:val="auto"/>
        </w:rPr>
      </w:pPr>
      <w:r>
        <w:rPr>
          <w:rFonts w:ascii="Courier New" w:cs="Courier New" w:eastAsia="Courier New" w:hAnsi="Courier New"/>
          <w:sz w:val="15"/>
          <w:szCs w:val="15"/>
          <w:color w:val="auto"/>
        </w:rPr>
        <w:t>Six Months Ended June 30,</w:t>
      </w:r>
    </w:p>
    <w:p>
      <w:pPr>
        <w:ind w:left="4120"/>
        <w:spacing w:after="0"/>
        <w:rPr>
          <w:sz w:val="20"/>
          <w:szCs w:val="20"/>
          <w:color w:val="auto"/>
        </w:rPr>
      </w:pPr>
      <w:r>
        <w:rPr>
          <w:rFonts w:ascii="Courier New" w:cs="Courier New" w:eastAsia="Courier New" w:hAnsi="Courier New"/>
          <w:sz w:val="15"/>
          <w:szCs w:val="15"/>
          <w:color w:val="auto"/>
        </w:rPr>
        <w:t>(in millions, except per share data)</w:t>
      </w:r>
    </w:p>
    <w:p>
      <w:pPr>
        <w:spacing w:after="0" w:line="139"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5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4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spacing w:after="0"/>
              <w:rPr>
                <w:sz w:val="14"/>
                <w:szCs w:val="14"/>
                <w:color w:val="auto"/>
              </w:rPr>
            </w:pPr>
          </w:p>
        </w:tc>
        <w:tc>
          <w:tcPr>
            <w:tcW w:w="6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1995</w:t>
            </w:r>
          </w:p>
        </w:tc>
        <w:tc>
          <w:tcPr>
            <w:tcW w:w="0" w:type="dxa"/>
            <w:vAlign w:val="bottom"/>
          </w:tcPr>
          <w:p>
            <w:pPr>
              <w:spacing w:after="0"/>
              <w:rPr>
                <w:sz w:val="1"/>
                <w:szCs w:val="1"/>
                <w:color w:val="auto"/>
              </w:rPr>
            </w:pPr>
          </w:p>
        </w:tc>
      </w:tr>
      <w:tr>
        <w:trPr>
          <w:trHeight w:val="245"/>
        </w:trPr>
        <w:tc>
          <w:tcPr>
            <w:tcW w:w="5500" w:type="dxa"/>
            <w:vAlign w:val="bottom"/>
            <w:vMerge w:val="restart"/>
          </w:tcPr>
          <w:p>
            <w:pPr>
              <w:spacing w:after="0"/>
              <w:rPr>
                <w:sz w:val="20"/>
                <w:szCs w:val="20"/>
                <w:color w:val="auto"/>
              </w:rPr>
            </w:pPr>
            <w:r>
              <w:rPr>
                <w:rFonts w:ascii="Courier New" w:cs="Courier New" w:eastAsia="Courier New" w:hAnsi="Courier New"/>
                <w:sz w:val="15"/>
                <w:szCs w:val="15"/>
                <w:color w:val="auto"/>
              </w:rPr>
              <w:t>INTEREST INCOME</w:t>
            </w:r>
          </w:p>
        </w:tc>
        <w:tc>
          <w:tcPr>
            <w:tcW w:w="316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50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5500" w:type="dxa"/>
            <w:vAlign w:val="bottom"/>
          </w:tcPr>
          <w:p>
            <w:pPr>
              <w:spacing w:after="0"/>
              <w:rPr>
                <w:sz w:val="20"/>
                <w:szCs w:val="20"/>
                <w:color w:val="auto"/>
              </w:rPr>
            </w:pPr>
            <w:r>
              <w:rPr>
                <w:rFonts w:ascii="Courier New" w:cs="Courier New" w:eastAsia="Courier New" w:hAnsi="Courier New"/>
                <w:sz w:val="15"/>
                <w:szCs w:val="15"/>
                <w:color w:val="auto"/>
              </w:rPr>
              <w:t>Loans</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6,269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6,310</w:t>
            </w: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w:t>
            </w:r>
          </w:p>
        </w:tc>
        <w:tc>
          <w:tcPr>
            <w:tcW w:w="1620" w:type="dxa"/>
            <w:vAlign w:val="bottom"/>
          </w:tcPr>
          <w:p>
            <w:pPr>
              <w:spacing w:after="0"/>
              <w:rPr>
                <w:sz w:val="14"/>
                <w:szCs w:val="14"/>
                <w:color w:val="auto"/>
              </w:rPr>
            </w:pP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1,405</w:t>
            </w:r>
          </w:p>
        </w:tc>
        <w:tc>
          <w:tcPr>
            <w:tcW w:w="9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1,234</w:t>
            </w: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 Assets</w:t>
            </w:r>
          </w:p>
        </w:tc>
        <w:tc>
          <w:tcPr>
            <w:tcW w:w="1620" w:type="dxa"/>
            <w:vAlign w:val="bottom"/>
          </w:tcPr>
          <w:p>
            <w:pPr>
              <w:spacing w:after="0"/>
              <w:rPr>
                <w:sz w:val="14"/>
                <w:szCs w:val="14"/>
                <w:color w:val="auto"/>
              </w:rPr>
            </w:pP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835</w:t>
            </w:r>
          </w:p>
        </w:tc>
        <w:tc>
          <w:tcPr>
            <w:tcW w:w="9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702</w:t>
            </w: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Sold and Securities</w:t>
            </w:r>
          </w:p>
        </w:tc>
        <w:tc>
          <w:tcPr>
            <w:tcW w:w="1620" w:type="dxa"/>
            <w:vAlign w:val="bottom"/>
          </w:tcPr>
          <w:p>
            <w:pPr>
              <w:spacing w:after="0"/>
              <w:rPr>
                <w:sz w:val="14"/>
                <w:szCs w:val="14"/>
                <w:color w:val="auto"/>
              </w:rPr>
            </w:pPr>
          </w:p>
        </w:tc>
        <w:tc>
          <w:tcPr>
            <w:tcW w:w="1540" w:type="dxa"/>
            <w:vAlign w:val="bottom"/>
            <w:vMerge w:val="restart"/>
          </w:tcPr>
          <w:p>
            <w:pPr>
              <w:jc w:val="right"/>
              <w:ind w:right="807"/>
              <w:spacing w:after="0"/>
              <w:rPr>
                <w:sz w:val="20"/>
                <w:szCs w:val="20"/>
                <w:color w:val="auto"/>
              </w:rPr>
            </w:pPr>
            <w:r>
              <w:rPr>
                <w:rFonts w:ascii="Courier New" w:cs="Courier New" w:eastAsia="Courier New" w:hAnsi="Courier New"/>
                <w:sz w:val="15"/>
                <w:szCs w:val="15"/>
                <w:color w:val="auto"/>
              </w:rPr>
              <w:t>1,015</w:t>
            </w:r>
          </w:p>
        </w:tc>
        <w:tc>
          <w:tcPr>
            <w:tcW w:w="920" w:type="dxa"/>
            <w:vAlign w:val="bottom"/>
          </w:tcPr>
          <w:p>
            <w:pPr>
              <w:spacing w:after="0"/>
              <w:rPr>
                <w:sz w:val="14"/>
                <w:szCs w:val="14"/>
                <w:color w:val="auto"/>
              </w:rPr>
            </w:pPr>
          </w:p>
        </w:tc>
        <w:tc>
          <w:tcPr>
            <w:tcW w:w="6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950</w:t>
            </w:r>
          </w:p>
        </w:tc>
        <w:tc>
          <w:tcPr>
            <w:tcW w:w="0" w:type="dxa"/>
            <w:vAlign w:val="bottom"/>
          </w:tcPr>
          <w:p>
            <w:pPr>
              <w:spacing w:after="0"/>
              <w:rPr>
                <w:sz w:val="1"/>
                <w:szCs w:val="1"/>
                <w:color w:val="auto"/>
              </w:rPr>
            </w:pPr>
          </w:p>
        </w:tc>
      </w:tr>
      <w:tr>
        <w:trPr>
          <w:trHeight w:val="168"/>
        </w:trPr>
        <w:tc>
          <w:tcPr>
            <w:tcW w:w="55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Purchased Under Resale Agreements</w:t>
            </w:r>
          </w:p>
        </w:tc>
        <w:tc>
          <w:tcPr>
            <w:tcW w:w="162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Deposits with Banks</w:t>
            </w:r>
          </w:p>
        </w:tc>
        <w:tc>
          <w:tcPr>
            <w:tcW w:w="1620" w:type="dxa"/>
            <w:vAlign w:val="bottom"/>
          </w:tcPr>
          <w:p>
            <w:pPr>
              <w:spacing w:after="0"/>
              <w:rPr>
                <w:sz w:val="14"/>
                <w:szCs w:val="14"/>
                <w:color w:val="auto"/>
              </w:rPr>
            </w:pP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328</w:t>
            </w:r>
          </w:p>
        </w:tc>
        <w:tc>
          <w:tcPr>
            <w:tcW w:w="9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443</w:t>
            </w:r>
          </w:p>
        </w:tc>
        <w:tc>
          <w:tcPr>
            <w:tcW w:w="0" w:type="dxa"/>
            <w:vAlign w:val="bottom"/>
          </w:tcPr>
          <w:p>
            <w:pPr>
              <w:spacing w:after="0"/>
              <w:rPr>
                <w:sz w:val="1"/>
                <w:szCs w:val="1"/>
                <w:color w:val="auto"/>
              </w:rPr>
            </w:pPr>
          </w:p>
        </w:tc>
      </w:tr>
      <w:tr>
        <w:trPr>
          <w:trHeight w:val="168"/>
        </w:trPr>
        <w:tc>
          <w:tcPr>
            <w:tcW w:w="55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Interest Income</w:t>
            </w:r>
          </w:p>
        </w:tc>
        <w:tc>
          <w:tcPr>
            <w:tcW w:w="316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50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9,852</w:t>
            </w:r>
          </w:p>
        </w:tc>
        <w:tc>
          <w:tcPr>
            <w:tcW w:w="9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9,639</w:t>
            </w:r>
          </w:p>
        </w:tc>
        <w:tc>
          <w:tcPr>
            <w:tcW w:w="0" w:type="dxa"/>
            <w:vAlign w:val="bottom"/>
          </w:tcPr>
          <w:p>
            <w:pPr>
              <w:spacing w:after="0"/>
              <w:rPr>
                <w:sz w:val="1"/>
                <w:szCs w:val="1"/>
                <w:color w:val="auto"/>
              </w:rPr>
            </w:pPr>
          </w:p>
        </w:tc>
      </w:tr>
      <w:tr>
        <w:trPr>
          <w:trHeight w:val="245"/>
        </w:trPr>
        <w:tc>
          <w:tcPr>
            <w:tcW w:w="5500" w:type="dxa"/>
            <w:vAlign w:val="bottom"/>
            <w:vMerge w:val="restart"/>
          </w:tcPr>
          <w:p>
            <w:pPr>
              <w:spacing w:after="0"/>
              <w:rPr>
                <w:sz w:val="20"/>
                <w:szCs w:val="20"/>
                <w:color w:val="auto"/>
              </w:rPr>
            </w:pPr>
            <w:r>
              <w:rPr>
                <w:rFonts w:ascii="Courier New" w:cs="Courier New" w:eastAsia="Courier New" w:hAnsi="Courier New"/>
                <w:sz w:val="15"/>
                <w:szCs w:val="15"/>
                <w:color w:val="auto"/>
              </w:rPr>
              <w:t>INTEREST EXPENSE</w:t>
            </w:r>
          </w:p>
        </w:tc>
        <w:tc>
          <w:tcPr>
            <w:tcW w:w="316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50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1540" w:type="dxa"/>
            <w:vAlign w:val="bottom"/>
            <w:vMerge w:val="restart"/>
          </w:tcPr>
          <w:p>
            <w:pPr>
              <w:jc w:val="right"/>
              <w:ind w:right="807"/>
              <w:spacing w:after="0"/>
              <w:rPr>
                <w:sz w:val="20"/>
                <w:szCs w:val="20"/>
                <w:color w:val="auto"/>
              </w:rPr>
            </w:pPr>
            <w:r>
              <w:rPr>
                <w:rFonts w:ascii="Courier New" w:cs="Courier New" w:eastAsia="Courier New" w:hAnsi="Courier New"/>
                <w:sz w:val="15"/>
                <w:szCs w:val="15"/>
                <w:color w:val="auto"/>
              </w:rPr>
              <w:t>3,102</w:t>
            </w:r>
          </w:p>
        </w:tc>
        <w:tc>
          <w:tcPr>
            <w:tcW w:w="920" w:type="dxa"/>
            <w:vAlign w:val="bottom"/>
          </w:tcPr>
          <w:p>
            <w:pPr>
              <w:spacing w:after="0"/>
              <w:rPr>
                <w:sz w:val="7"/>
                <w:szCs w:val="7"/>
                <w:color w:val="auto"/>
              </w:rPr>
            </w:pPr>
          </w:p>
        </w:tc>
        <w:tc>
          <w:tcPr>
            <w:tcW w:w="6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3,096</w:t>
            </w: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Deposits</w:t>
            </w:r>
          </w:p>
        </w:tc>
        <w:tc>
          <w:tcPr>
            <w:tcW w:w="162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Short-Term and Other Borrowings</w:t>
            </w:r>
          </w:p>
        </w:tc>
        <w:tc>
          <w:tcPr>
            <w:tcW w:w="1620" w:type="dxa"/>
            <w:vAlign w:val="bottom"/>
          </w:tcPr>
          <w:p>
            <w:pPr>
              <w:spacing w:after="0"/>
              <w:rPr>
                <w:sz w:val="14"/>
                <w:szCs w:val="14"/>
                <w:color w:val="auto"/>
              </w:rPr>
            </w:pP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2,113</w:t>
            </w:r>
          </w:p>
        </w:tc>
        <w:tc>
          <w:tcPr>
            <w:tcW w:w="9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2,016</w:t>
            </w: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1620" w:type="dxa"/>
            <w:vAlign w:val="bottom"/>
          </w:tcPr>
          <w:p>
            <w:pPr>
              <w:spacing w:after="0"/>
              <w:rPr>
                <w:sz w:val="14"/>
                <w:szCs w:val="14"/>
                <w:color w:val="auto"/>
              </w:rPr>
            </w:pP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448</w:t>
            </w:r>
          </w:p>
        </w:tc>
        <w:tc>
          <w:tcPr>
            <w:tcW w:w="9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472</w:t>
            </w:r>
          </w:p>
        </w:tc>
        <w:tc>
          <w:tcPr>
            <w:tcW w:w="0" w:type="dxa"/>
            <w:vAlign w:val="bottom"/>
          </w:tcPr>
          <w:p>
            <w:pPr>
              <w:spacing w:after="0"/>
              <w:rPr>
                <w:sz w:val="1"/>
                <w:szCs w:val="1"/>
                <w:color w:val="auto"/>
              </w:rPr>
            </w:pPr>
          </w:p>
        </w:tc>
      </w:tr>
      <w:tr>
        <w:trPr>
          <w:trHeight w:val="168"/>
        </w:trPr>
        <w:tc>
          <w:tcPr>
            <w:tcW w:w="55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Interest Expense</w:t>
            </w:r>
          </w:p>
        </w:tc>
        <w:tc>
          <w:tcPr>
            <w:tcW w:w="316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50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5,663</w:t>
            </w:r>
          </w:p>
        </w:tc>
        <w:tc>
          <w:tcPr>
            <w:tcW w:w="9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5,584</w:t>
            </w:r>
          </w:p>
        </w:tc>
        <w:tc>
          <w:tcPr>
            <w:tcW w:w="0" w:type="dxa"/>
            <w:vAlign w:val="bottom"/>
          </w:tcPr>
          <w:p>
            <w:pPr>
              <w:spacing w:after="0"/>
              <w:rPr>
                <w:sz w:val="1"/>
                <w:szCs w:val="1"/>
                <w:color w:val="auto"/>
              </w:rPr>
            </w:pPr>
          </w:p>
        </w:tc>
      </w:tr>
      <w:tr>
        <w:trPr>
          <w:trHeight w:val="168"/>
        </w:trPr>
        <w:tc>
          <w:tcPr>
            <w:tcW w:w="5500" w:type="dxa"/>
            <w:vAlign w:val="bottom"/>
            <w:vMerge w:val="restart"/>
          </w:tcPr>
          <w:p>
            <w:pPr>
              <w:spacing w:after="0"/>
              <w:rPr>
                <w:sz w:val="20"/>
                <w:szCs w:val="20"/>
                <w:color w:val="auto"/>
              </w:rPr>
            </w:pPr>
            <w:r>
              <w:rPr>
                <w:rFonts w:ascii="Courier New" w:cs="Courier New" w:eastAsia="Courier New" w:hAnsi="Courier New"/>
                <w:sz w:val="15"/>
                <w:szCs w:val="15"/>
                <w:color w:val="auto"/>
              </w:rPr>
              <w:t>NET INTEREST INCOME</w:t>
            </w:r>
          </w:p>
        </w:tc>
        <w:tc>
          <w:tcPr>
            <w:tcW w:w="316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50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4,189</w:t>
            </w:r>
          </w:p>
        </w:tc>
        <w:tc>
          <w:tcPr>
            <w:tcW w:w="9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4,055</w:t>
            </w: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Losses</w:t>
            </w:r>
          </w:p>
        </w:tc>
        <w:tc>
          <w:tcPr>
            <w:tcW w:w="1620" w:type="dxa"/>
            <w:vAlign w:val="bottom"/>
          </w:tcPr>
          <w:p>
            <w:pPr>
              <w:spacing w:after="0"/>
              <w:rPr>
                <w:sz w:val="14"/>
                <w:szCs w:val="14"/>
                <w:color w:val="auto"/>
              </w:rPr>
            </w:pP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495</w:t>
            </w:r>
          </w:p>
        </w:tc>
        <w:tc>
          <w:tcPr>
            <w:tcW w:w="9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380</w:t>
            </w:r>
          </w:p>
        </w:tc>
        <w:tc>
          <w:tcPr>
            <w:tcW w:w="0" w:type="dxa"/>
            <w:vAlign w:val="bottom"/>
          </w:tcPr>
          <w:p>
            <w:pPr>
              <w:spacing w:after="0"/>
              <w:rPr>
                <w:sz w:val="1"/>
                <w:szCs w:val="1"/>
                <w:color w:val="auto"/>
              </w:rPr>
            </w:pPr>
          </w:p>
        </w:tc>
      </w:tr>
      <w:tr>
        <w:trPr>
          <w:trHeight w:val="168"/>
        </w:trPr>
        <w:tc>
          <w:tcPr>
            <w:tcW w:w="5500" w:type="dxa"/>
            <w:vAlign w:val="bottom"/>
            <w:vMerge w:val="restart"/>
          </w:tcPr>
          <w:p>
            <w:pPr>
              <w:spacing w:after="0"/>
              <w:rPr>
                <w:sz w:val="20"/>
                <w:szCs w:val="20"/>
                <w:color w:val="auto"/>
              </w:rPr>
            </w:pPr>
            <w:r>
              <w:rPr>
                <w:rFonts w:ascii="Courier New" w:cs="Courier New" w:eastAsia="Courier New" w:hAnsi="Courier New"/>
                <w:sz w:val="15"/>
                <w:szCs w:val="15"/>
                <w:color w:val="auto"/>
              </w:rPr>
              <w:t>NET INTEREST INCOME AFTER PROVISION FOR LOSSES</w:t>
            </w:r>
          </w:p>
        </w:tc>
        <w:tc>
          <w:tcPr>
            <w:tcW w:w="316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50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3,694</w:t>
            </w:r>
          </w:p>
        </w:tc>
        <w:tc>
          <w:tcPr>
            <w:tcW w:w="9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3,675</w:t>
            </w:r>
          </w:p>
        </w:tc>
        <w:tc>
          <w:tcPr>
            <w:tcW w:w="0" w:type="dxa"/>
            <w:vAlign w:val="bottom"/>
          </w:tcPr>
          <w:p>
            <w:pPr>
              <w:spacing w:after="0"/>
              <w:rPr>
                <w:sz w:val="1"/>
                <w:szCs w:val="1"/>
                <w:color w:val="auto"/>
              </w:rPr>
            </w:pPr>
          </w:p>
        </w:tc>
      </w:tr>
      <w:tr>
        <w:trPr>
          <w:trHeight w:val="245"/>
        </w:trPr>
        <w:tc>
          <w:tcPr>
            <w:tcW w:w="5500" w:type="dxa"/>
            <w:vAlign w:val="bottom"/>
            <w:vMerge w:val="restart"/>
          </w:tcPr>
          <w:p>
            <w:pPr>
              <w:spacing w:after="0"/>
              <w:rPr>
                <w:sz w:val="20"/>
                <w:szCs w:val="20"/>
                <w:color w:val="auto"/>
              </w:rPr>
            </w:pPr>
            <w:r>
              <w:rPr>
                <w:rFonts w:ascii="Courier New" w:cs="Courier New" w:eastAsia="Courier New" w:hAnsi="Courier New"/>
                <w:sz w:val="15"/>
                <w:szCs w:val="15"/>
                <w:color w:val="auto"/>
              </w:rPr>
              <w:t>NONINTEREST REVENUE</w:t>
            </w:r>
          </w:p>
        </w:tc>
        <w:tc>
          <w:tcPr>
            <w:tcW w:w="316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50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1540" w:type="dxa"/>
            <w:vAlign w:val="bottom"/>
            <w:vMerge w:val="restart"/>
          </w:tcPr>
          <w:p>
            <w:pPr>
              <w:jc w:val="right"/>
              <w:ind w:right="807"/>
              <w:spacing w:after="0"/>
              <w:rPr>
                <w:sz w:val="20"/>
                <w:szCs w:val="20"/>
                <w:color w:val="auto"/>
              </w:rPr>
            </w:pPr>
            <w:r>
              <w:rPr>
                <w:rFonts w:ascii="Courier New" w:cs="Courier New" w:eastAsia="Courier New" w:hAnsi="Courier New"/>
                <w:sz w:val="15"/>
                <w:szCs w:val="15"/>
                <w:color w:val="auto"/>
              </w:rPr>
              <w:t>482</w:t>
            </w:r>
          </w:p>
        </w:tc>
        <w:tc>
          <w:tcPr>
            <w:tcW w:w="920" w:type="dxa"/>
            <w:vAlign w:val="bottom"/>
          </w:tcPr>
          <w:p>
            <w:pPr>
              <w:spacing w:after="0"/>
              <w:rPr>
                <w:sz w:val="7"/>
                <w:szCs w:val="7"/>
                <w:color w:val="auto"/>
              </w:rPr>
            </w:pPr>
          </w:p>
        </w:tc>
        <w:tc>
          <w:tcPr>
            <w:tcW w:w="6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366</w:t>
            </w: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Finance and Syndication Fees</w:t>
            </w:r>
          </w:p>
        </w:tc>
        <w:tc>
          <w:tcPr>
            <w:tcW w:w="162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Trust and Investment Management Fees</w:t>
            </w:r>
          </w:p>
        </w:tc>
        <w:tc>
          <w:tcPr>
            <w:tcW w:w="1620" w:type="dxa"/>
            <w:vAlign w:val="bottom"/>
          </w:tcPr>
          <w:p>
            <w:pPr>
              <w:spacing w:after="0"/>
              <w:rPr>
                <w:sz w:val="14"/>
                <w:szCs w:val="14"/>
                <w:color w:val="auto"/>
              </w:rPr>
            </w:pP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587</w:t>
            </w:r>
          </w:p>
        </w:tc>
        <w:tc>
          <w:tcPr>
            <w:tcW w:w="9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483</w:t>
            </w: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Credit Card Revenue</w:t>
            </w:r>
          </w:p>
        </w:tc>
        <w:tc>
          <w:tcPr>
            <w:tcW w:w="1620" w:type="dxa"/>
            <w:vAlign w:val="bottom"/>
          </w:tcPr>
          <w:p>
            <w:pPr>
              <w:spacing w:after="0"/>
              <w:rPr>
                <w:sz w:val="14"/>
                <w:szCs w:val="14"/>
                <w:color w:val="auto"/>
              </w:rPr>
            </w:pP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466</w:t>
            </w:r>
          </w:p>
        </w:tc>
        <w:tc>
          <w:tcPr>
            <w:tcW w:w="9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378</w:t>
            </w: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Charges on Deposit Accounts</w:t>
            </w:r>
          </w:p>
        </w:tc>
        <w:tc>
          <w:tcPr>
            <w:tcW w:w="1620" w:type="dxa"/>
            <w:vAlign w:val="bottom"/>
          </w:tcPr>
          <w:p>
            <w:pPr>
              <w:spacing w:after="0"/>
              <w:rPr>
                <w:sz w:val="14"/>
                <w:szCs w:val="14"/>
                <w:color w:val="auto"/>
              </w:rPr>
            </w:pP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199</w:t>
            </w:r>
          </w:p>
        </w:tc>
        <w:tc>
          <w:tcPr>
            <w:tcW w:w="9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211</w:t>
            </w: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Fees for Other Financial Services</w:t>
            </w:r>
          </w:p>
        </w:tc>
        <w:tc>
          <w:tcPr>
            <w:tcW w:w="1620" w:type="dxa"/>
            <w:vAlign w:val="bottom"/>
          </w:tcPr>
          <w:p>
            <w:pPr>
              <w:spacing w:after="0"/>
              <w:rPr>
                <w:sz w:val="14"/>
                <w:szCs w:val="14"/>
                <w:color w:val="auto"/>
              </w:rPr>
            </w:pP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759</w:t>
            </w:r>
          </w:p>
        </w:tc>
        <w:tc>
          <w:tcPr>
            <w:tcW w:w="9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720</w:t>
            </w: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 Revenue</w:t>
            </w:r>
          </w:p>
        </w:tc>
        <w:tc>
          <w:tcPr>
            <w:tcW w:w="1620" w:type="dxa"/>
            <w:vAlign w:val="bottom"/>
          </w:tcPr>
          <w:p>
            <w:pPr>
              <w:spacing w:after="0"/>
              <w:rPr>
                <w:sz w:val="14"/>
                <w:szCs w:val="14"/>
                <w:color w:val="auto"/>
              </w:rPr>
            </w:pP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718</w:t>
            </w:r>
          </w:p>
        </w:tc>
        <w:tc>
          <w:tcPr>
            <w:tcW w:w="9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400</w:t>
            </w: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Gains</w:t>
            </w:r>
          </w:p>
        </w:tc>
        <w:tc>
          <w:tcPr>
            <w:tcW w:w="1620" w:type="dxa"/>
            <w:vAlign w:val="bottom"/>
          </w:tcPr>
          <w:p>
            <w:pPr>
              <w:spacing w:after="0"/>
              <w:rPr>
                <w:sz w:val="14"/>
                <w:szCs w:val="14"/>
                <w:color w:val="auto"/>
              </w:rPr>
            </w:pP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76</w:t>
            </w:r>
          </w:p>
        </w:tc>
        <w:tc>
          <w:tcPr>
            <w:tcW w:w="9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w:t>
            </w: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Revenue</w:t>
            </w:r>
          </w:p>
        </w:tc>
        <w:tc>
          <w:tcPr>
            <w:tcW w:w="1620" w:type="dxa"/>
            <w:vAlign w:val="bottom"/>
          </w:tcPr>
          <w:p>
            <w:pPr>
              <w:spacing w:after="0"/>
              <w:rPr>
                <w:sz w:val="14"/>
                <w:szCs w:val="14"/>
                <w:color w:val="auto"/>
              </w:rPr>
            </w:pP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513</w:t>
            </w:r>
          </w:p>
        </w:tc>
        <w:tc>
          <w:tcPr>
            <w:tcW w:w="9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671</w:t>
            </w:r>
          </w:p>
        </w:tc>
        <w:tc>
          <w:tcPr>
            <w:tcW w:w="0" w:type="dxa"/>
            <w:vAlign w:val="bottom"/>
          </w:tcPr>
          <w:p>
            <w:pPr>
              <w:spacing w:after="0"/>
              <w:rPr>
                <w:sz w:val="1"/>
                <w:szCs w:val="1"/>
                <w:color w:val="auto"/>
              </w:rPr>
            </w:pPr>
          </w:p>
        </w:tc>
      </w:tr>
      <w:tr>
        <w:trPr>
          <w:trHeight w:val="168"/>
        </w:trPr>
        <w:tc>
          <w:tcPr>
            <w:tcW w:w="55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Noninterest Revenue</w:t>
            </w:r>
          </w:p>
        </w:tc>
        <w:tc>
          <w:tcPr>
            <w:tcW w:w="316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50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3,800</w:t>
            </w:r>
          </w:p>
        </w:tc>
        <w:tc>
          <w:tcPr>
            <w:tcW w:w="9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3,283</w:t>
            </w:r>
          </w:p>
        </w:tc>
        <w:tc>
          <w:tcPr>
            <w:tcW w:w="0" w:type="dxa"/>
            <w:vAlign w:val="bottom"/>
          </w:tcPr>
          <w:p>
            <w:pPr>
              <w:spacing w:after="0"/>
              <w:rPr>
                <w:sz w:val="1"/>
                <w:szCs w:val="1"/>
                <w:color w:val="auto"/>
              </w:rPr>
            </w:pPr>
          </w:p>
        </w:tc>
      </w:tr>
      <w:tr>
        <w:trPr>
          <w:trHeight w:val="245"/>
        </w:trPr>
        <w:tc>
          <w:tcPr>
            <w:tcW w:w="5500" w:type="dxa"/>
            <w:vAlign w:val="bottom"/>
            <w:vMerge w:val="restart"/>
          </w:tcPr>
          <w:p>
            <w:pPr>
              <w:spacing w:after="0"/>
              <w:rPr>
                <w:sz w:val="20"/>
                <w:szCs w:val="20"/>
                <w:color w:val="auto"/>
              </w:rPr>
            </w:pPr>
            <w:r>
              <w:rPr>
                <w:rFonts w:ascii="Courier New" w:cs="Courier New" w:eastAsia="Courier New" w:hAnsi="Courier New"/>
                <w:sz w:val="15"/>
                <w:szCs w:val="15"/>
                <w:color w:val="auto"/>
              </w:rPr>
              <w:t>NONINTEREST EXPENSE</w:t>
            </w:r>
          </w:p>
        </w:tc>
        <w:tc>
          <w:tcPr>
            <w:tcW w:w="316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50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1540" w:type="dxa"/>
            <w:vAlign w:val="bottom"/>
            <w:vMerge w:val="restart"/>
          </w:tcPr>
          <w:p>
            <w:pPr>
              <w:jc w:val="right"/>
              <w:ind w:right="807"/>
              <w:spacing w:after="0"/>
              <w:rPr>
                <w:sz w:val="20"/>
                <w:szCs w:val="20"/>
                <w:color w:val="auto"/>
              </w:rPr>
            </w:pPr>
            <w:r>
              <w:rPr>
                <w:rFonts w:ascii="Courier New" w:cs="Courier New" w:eastAsia="Courier New" w:hAnsi="Courier New"/>
                <w:sz w:val="15"/>
                <w:szCs w:val="15"/>
                <w:color w:val="auto"/>
              </w:rPr>
              <w:t>2,122</w:t>
            </w:r>
          </w:p>
        </w:tc>
        <w:tc>
          <w:tcPr>
            <w:tcW w:w="920" w:type="dxa"/>
            <w:vAlign w:val="bottom"/>
          </w:tcPr>
          <w:p>
            <w:pPr>
              <w:spacing w:after="0"/>
              <w:rPr>
                <w:sz w:val="7"/>
                <w:szCs w:val="7"/>
                <w:color w:val="auto"/>
              </w:rPr>
            </w:pPr>
          </w:p>
        </w:tc>
        <w:tc>
          <w:tcPr>
            <w:tcW w:w="6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2,004</w:t>
            </w: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Salaries</w:t>
            </w:r>
          </w:p>
        </w:tc>
        <w:tc>
          <w:tcPr>
            <w:tcW w:w="162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Benefits</w:t>
            </w:r>
          </w:p>
        </w:tc>
        <w:tc>
          <w:tcPr>
            <w:tcW w:w="1620" w:type="dxa"/>
            <w:vAlign w:val="bottom"/>
          </w:tcPr>
          <w:p>
            <w:pPr>
              <w:spacing w:after="0"/>
              <w:rPr>
                <w:sz w:val="14"/>
                <w:szCs w:val="14"/>
                <w:color w:val="auto"/>
              </w:rPr>
            </w:pP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530</w:t>
            </w:r>
          </w:p>
        </w:tc>
        <w:tc>
          <w:tcPr>
            <w:tcW w:w="9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480</w:t>
            </w: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Occupancy Expense</w:t>
            </w:r>
          </w:p>
        </w:tc>
        <w:tc>
          <w:tcPr>
            <w:tcW w:w="1620" w:type="dxa"/>
            <w:vAlign w:val="bottom"/>
          </w:tcPr>
          <w:p>
            <w:pPr>
              <w:spacing w:after="0"/>
              <w:rPr>
                <w:sz w:val="14"/>
                <w:szCs w:val="14"/>
                <w:color w:val="auto"/>
              </w:rPr>
            </w:pP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428</w:t>
            </w:r>
          </w:p>
        </w:tc>
        <w:tc>
          <w:tcPr>
            <w:tcW w:w="9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446</w:t>
            </w: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 Expense</w:t>
            </w:r>
          </w:p>
        </w:tc>
        <w:tc>
          <w:tcPr>
            <w:tcW w:w="1620" w:type="dxa"/>
            <w:vAlign w:val="bottom"/>
          </w:tcPr>
          <w:p>
            <w:pPr>
              <w:spacing w:after="0"/>
              <w:rPr>
                <w:sz w:val="14"/>
                <w:szCs w:val="14"/>
                <w:color w:val="auto"/>
              </w:rPr>
            </w:pP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365</w:t>
            </w:r>
          </w:p>
        </w:tc>
        <w:tc>
          <w:tcPr>
            <w:tcW w:w="9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391</w:t>
            </w: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Foreclosed Property Expense</w:t>
            </w:r>
          </w:p>
        </w:tc>
        <w:tc>
          <w:tcPr>
            <w:tcW w:w="1620" w:type="dxa"/>
            <w:vAlign w:val="bottom"/>
          </w:tcPr>
          <w:p>
            <w:pPr>
              <w:spacing w:after="0"/>
              <w:rPr>
                <w:sz w:val="14"/>
                <w:szCs w:val="14"/>
                <w:color w:val="auto"/>
              </w:rPr>
            </w:pPr>
          </w:p>
        </w:tc>
        <w:tc>
          <w:tcPr>
            <w:tcW w:w="15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(17)</w:t>
            </w:r>
          </w:p>
        </w:tc>
        <w:tc>
          <w:tcPr>
            <w:tcW w:w="9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Charge and Expenses</w:t>
            </w:r>
          </w:p>
        </w:tc>
        <w:tc>
          <w:tcPr>
            <w:tcW w:w="1620" w:type="dxa"/>
            <w:vAlign w:val="bottom"/>
          </w:tcPr>
          <w:p>
            <w:pPr>
              <w:spacing w:after="0"/>
              <w:rPr>
                <w:sz w:val="14"/>
                <w:szCs w:val="14"/>
                <w:color w:val="auto"/>
              </w:rPr>
            </w:pP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1,678</w:t>
            </w:r>
          </w:p>
        </w:tc>
        <w:tc>
          <w:tcPr>
            <w:tcW w:w="9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Expense</w:t>
            </w:r>
          </w:p>
        </w:tc>
        <w:tc>
          <w:tcPr>
            <w:tcW w:w="1620" w:type="dxa"/>
            <w:vAlign w:val="bottom"/>
          </w:tcPr>
          <w:p>
            <w:pPr>
              <w:spacing w:after="0"/>
              <w:rPr>
                <w:sz w:val="14"/>
                <w:szCs w:val="14"/>
                <w:color w:val="auto"/>
              </w:rPr>
            </w:pP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1,311</w:t>
            </w:r>
          </w:p>
        </w:tc>
        <w:tc>
          <w:tcPr>
            <w:tcW w:w="9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1,411</w:t>
            </w:r>
          </w:p>
        </w:tc>
        <w:tc>
          <w:tcPr>
            <w:tcW w:w="0" w:type="dxa"/>
            <w:vAlign w:val="bottom"/>
          </w:tcPr>
          <w:p>
            <w:pPr>
              <w:spacing w:after="0"/>
              <w:rPr>
                <w:sz w:val="1"/>
                <w:szCs w:val="1"/>
                <w:color w:val="auto"/>
              </w:rPr>
            </w:pPr>
          </w:p>
        </w:tc>
      </w:tr>
      <w:tr>
        <w:trPr>
          <w:trHeight w:val="168"/>
        </w:trPr>
        <w:tc>
          <w:tcPr>
            <w:tcW w:w="55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Noninterest Expense</w:t>
            </w:r>
          </w:p>
        </w:tc>
        <w:tc>
          <w:tcPr>
            <w:tcW w:w="316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50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6,417</w:t>
            </w:r>
          </w:p>
        </w:tc>
        <w:tc>
          <w:tcPr>
            <w:tcW w:w="9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4,694</w:t>
            </w:r>
          </w:p>
        </w:tc>
        <w:tc>
          <w:tcPr>
            <w:tcW w:w="0" w:type="dxa"/>
            <w:vAlign w:val="bottom"/>
          </w:tcPr>
          <w:p>
            <w:pPr>
              <w:spacing w:after="0"/>
              <w:rPr>
                <w:sz w:val="1"/>
                <w:szCs w:val="1"/>
                <w:color w:val="auto"/>
              </w:rPr>
            </w:pPr>
          </w:p>
        </w:tc>
      </w:tr>
      <w:tr>
        <w:trPr>
          <w:trHeight w:val="245"/>
        </w:trPr>
        <w:tc>
          <w:tcPr>
            <w:tcW w:w="550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INCOME TAX EXPENSE AND</w:t>
            </w:r>
          </w:p>
        </w:tc>
        <w:tc>
          <w:tcPr>
            <w:tcW w:w="316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50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1540" w:type="dxa"/>
            <w:vAlign w:val="bottom"/>
            <w:vMerge w:val="restart"/>
          </w:tcPr>
          <w:p>
            <w:pPr>
              <w:jc w:val="right"/>
              <w:ind w:right="807"/>
              <w:spacing w:after="0"/>
              <w:rPr>
                <w:sz w:val="20"/>
                <w:szCs w:val="20"/>
                <w:color w:val="auto"/>
              </w:rPr>
            </w:pPr>
            <w:r>
              <w:rPr>
                <w:rFonts w:ascii="Courier New" w:cs="Courier New" w:eastAsia="Courier New" w:hAnsi="Courier New"/>
                <w:sz w:val="15"/>
                <w:szCs w:val="15"/>
                <w:color w:val="auto"/>
              </w:rPr>
              <w:t>1,077</w:t>
            </w:r>
          </w:p>
        </w:tc>
        <w:tc>
          <w:tcPr>
            <w:tcW w:w="920" w:type="dxa"/>
            <w:vAlign w:val="bottom"/>
          </w:tcPr>
          <w:p>
            <w:pPr>
              <w:spacing w:after="0"/>
              <w:rPr>
                <w:sz w:val="7"/>
                <w:szCs w:val="7"/>
                <w:color w:val="auto"/>
              </w:rPr>
            </w:pPr>
          </w:p>
        </w:tc>
        <w:tc>
          <w:tcPr>
            <w:tcW w:w="6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2,264</w:t>
            </w:r>
          </w:p>
        </w:tc>
        <w:tc>
          <w:tcPr>
            <w:tcW w:w="0" w:type="dxa"/>
            <w:vAlign w:val="bottom"/>
          </w:tcPr>
          <w:p>
            <w:pPr>
              <w:spacing w:after="0"/>
              <w:rPr>
                <w:sz w:val="1"/>
                <w:szCs w:val="1"/>
                <w:color w:val="auto"/>
              </w:rPr>
            </w:pPr>
          </w:p>
        </w:tc>
      </w:tr>
      <w:tr>
        <w:trPr>
          <w:trHeight w:val="168"/>
        </w:trPr>
        <w:tc>
          <w:tcPr>
            <w:tcW w:w="55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EFFECT OF ACCOUNTING CHANGE</w:t>
            </w:r>
          </w:p>
        </w:tc>
        <w:tc>
          <w:tcPr>
            <w:tcW w:w="162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Expense</w:t>
            </w:r>
          </w:p>
        </w:tc>
        <w:tc>
          <w:tcPr>
            <w:tcW w:w="1620" w:type="dxa"/>
            <w:vAlign w:val="bottom"/>
          </w:tcPr>
          <w:p>
            <w:pPr>
              <w:spacing w:after="0"/>
              <w:rPr>
                <w:sz w:val="14"/>
                <w:szCs w:val="14"/>
                <w:color w:val="auto"/>
              </w:rPr>
            </w:pP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310</w:t>
            </w:r>
          </w:p>
        </w:tc>
        <w:tc>
          <w:tcPr>
            <w:tcW w:w="9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885</w:t>
            </w:r>
          </w:p>
        </w:tc>
        <w:tc>
          <w:tcPr>
            <w:tcW w:w="0" w:type="dxa"/>
            <w:vAlign w:val="bottom"/>
          </w:tcPr>
          <w:p>
            <w:pPr>
              <w:spacing w:after="0"/>
              <w:rPr>
                <w:sz w:val="1"/>
                <w:szCs w:val="1"/>
                <w:color w:val="auto"/>
              </w:rPr>
            </w:pPr>
          </w:p>
        </w:tc>
      </w:tr>
      <w:tr>
        <w:trPr>
          <w:trHeight w:val="168"/>
        </w:trPr>
        <w:tc>
          <w:tcPr>
            <w:tcW w:w="550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EFFECT OF ACCOUNTING CHANGE</w:t>
            </w:r>
          </w:p>
        </w:tc>
        <w:tc>
          <w:tcPr>
            <w:tcW w:w="316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50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767</w:t>
            </w:r>
          </w:p>
        </w:tc>
        <w:tc>
          <w:tcPr>
            <w:tcW w:w="9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1,379</w:t>
            </w: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Change in Accounting Principle</w:t>
            </w:r>
          </w:p>
        </w:tc>
        <w:tc>
          <w:tcPr>
            <w:tcW w:w="1620" w:type="dxa"/>
            <w:vAlign w:val="bottom"/>
          </w:tcPr>
          <w:p>
            <w:pPr>
              <w:spacing w:after="0"/>
              <w:rPr>
                <w:sz w:val="14"/>
                <w:szCs w:val="14"/>
                <w:color w:val="auto"/>
              </w:rPr>
            </w:pP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68"/>
        </w:trPr>
        <w:tc>
          <w:tcPr>
            <w:tcW w:w="550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316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500" w:type="dxa"/>
            <w:vAlign w:val="bottom"/>
            <w:vMerge w:val="continue"/>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767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1,368</w:t>
            </w:r>
          </w:p>
        </w:tc>
        <w:tc>
          <w:tcPr>
            <w:tcW w:w="0" w:type="dxa"/>
            <w:vAlign w:val="bottom"/>
          </w:tcPr>
          <w:p>
            <w:pPr>
              <w:spacing w:after="0"/>
              <w:rPr>
                <w:sz w:val="1"/>
                <w:szCs w:val="1"/>
                <w:color w:val="auto"/>
              </w:rPr>
            </w:pPr>
          </w:p>
        </w:tc>
      </w:tr>
      <w:tr>
        <w:trPr>
          <w:trHeight w:val="168"/>
        </w:trPr>
        <w:tc>
          <w:tcPr>
            <w:tcW w:w="550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APPLICABLE TO COMMON STOCK</w:t>
            </w:r>
          </w:p>
        </w:tc>
        <w:tc>
          <w:tcPr>
            <w:tcW w:w="316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500" w:type="dxa"/>
            <w:vAlign w:val="bottom"/>
            <w:vMerge w:val="continue"/>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658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1,251</w:t>
            </w:r>
          </w:p>
        </w:tc>
        <w:tc>
          <w:tcPr>
            <w:tcW w:w="0" w:type="dxa"/>
            <w:vAlign w:val="bottom"/>
          </w:tcPr>
          <w:p>
            <w:pPr>
              <w:spacing w:after="0"/>
              <w:rPr>
                <w:sz w:val="1"/>
                <w:szCs w:val="1"/>
                <w:color w:val="auto"/>
              </w:rPr>
            </w:pPr>
          </w:p>
        </w:tc>
      </w:tr>
      <w:tr>
        <w:trPr>
          <w:trHeight w:val="245"/>
        </w:trPr>
        <w:tc>
          <w:tcPr>
            <w:tcW w:w="5500" w:type="dxa"/>
            <w:vAlign w:val="bottom"/>
            <w:vMerge w:val="restart"/>
          </w:tcPr>
          <w:p>
            <w:pPr>
              <w:spacing w:after="0"/>
              <w:rPr>
                <w:sz w:val="20"/>
                <w:szCs w:val="20"/>
                <w:color w:val="auto"/>
              </w:rPr>
            </w:pPr>
            <w:r>
              <w:rPr>
                <w:rFonts w:ascii="Courier New" w:cs="Courier New" w:eastAsia="Courier New" w:hAnsi="Courier New"/>
                <w:sz w:val="15"/>
                <w:szCs w:val="15"/>
                <w:color w:val="auto"/>
              </w:rPr>
              <w:t>INCOME PER COMMON SHARE:</w:t>
            </w:r>
          </w:p>
        </w:tc>
        <w:tc>
          <w:tcPr>
            <w:tcW w:w="316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50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92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Primary:</w:t>
            </w:r>
          </w:p>
        </w:tc>
        <w:tc>
          <w:tcPr>
            <w:tcW w:w="1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vMerge w:val="restart"/>
          </w:tcPr>
          <w:p>
            <w:pPr>
              <w:jc w:val="right"/>
              <w:ind w:right="807"/>
              <w:spacing w:after="0"/>
              <w:rPr>
                <w:sz w:val="20"/>
                <w:szCs w:val="20"/>
                <w:color w:val="auto"/>
              </w:rPr>
            </w:pPr>
            <w:r>
              <w:rPr>
                <w:rFonts w:ascii="Courier New" w:cs="Courier New" w:eastAsia="Courier New" w:hAnsi="Courier New"/>
                <w:sz w:val="15"/>
                <w:szCs w:val="15"/>
                <w:color w:val="auto"/>
              </w:rPr>
              <w:t>1.48</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2.91</w:t>
            </w:r>
          </w:p>
        </w:tc>
        <w:tc>
          <w:tcPr>
            <w:tcW w:w="0" w:type="dxa"/>
            <w:vAlign w:val="bottom"/>
          </w:tcPr>
          <w:p>
            <w:pPr>
              <w:spacing w:after="0"/>
              <w:rPr>
                <w:sz w:val="1"/>
                <w:szCs w:val="1"/>
                <w:color w:val="auto"/>
              </w:rPr>
            </w:pPr>
          </w:p>
        </w:tc>
      </w:tr>
      <w:tr>
        <w:trPr>
          <w:trHeight w:val="168"/>
        </w:trPr>
        <w:tc>
          <w:tcPr>
            <w:tcW w:w="55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Income Before Effect of Accounting Change</w:t>
            </w:r>
          </w:p>
        </w:tc>
        <w:tc>
          <w:tcPr>
            <w:tcW w:w="162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Effect of Change in Accounting Principle</w:t>
            </w:r>
          </w:p>
        </w:tc>
        <w:tc>
          <w:tcPr>
            <w:tcW w:w="1620" w:type="dxa"/>
            <w:vAlign w:val="bottom"/>
          </w:tcPr>
          <w:p>
            <w:pPr>
              <w:spacing w:after="0"/>
              <w:rPr>
                <w:sz w:val="14"/>
                <w:szCs w:val="14"/>
                <w:color w:val="auto"/>
              </w:rPr>
            </w:pP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(0.02)</w:t>
            </w:r>
          </w:p>
        </w:tc>
        <w:tc>
          <w:tcPr>
            <w:tcW w:w="0" w:type="dxa"/>
            <w:vAlign w:val="bottom"/>
          </w:tcPr>
          <w:p>
            <w:pPr>
              <w:spacing w:after="0"/>
              <w:rPr>
                <w:sz w:val="1"/>
                <w:szCs w:val="1"/>
                <w:color w:val="auto"/>
              </w:rPr>
            </w:pPr>
          </w:p>
        </w:tc>
      </w:tr>
      <w:tr>
        <w:trPr>
          <w:trHeight w:val="168"/>
        </w:trPr>
        <w:tc>
          <w:tcPr>
            <w:tcW w:w="550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Net Income</w:t>
            </w:r>
          </w:p>
        </w:tc>
        <w:tc>
          <w:tcPr>
            <w:tcW w:w="316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500" w:type="dxa"/>
            <w:vAlign w:val="bottom"/>
            <w:vMerge w:val="continue"/>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1.48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2.89</w:t>
            </w:r>
          </w:p>
        </w:tc>
        <w:tc>
          <w:tcPr>
            <w:tcW w:w="0" w:type="dxa"/>
            <w:vAlign w:val="bottom"/>
          </w:tcPr>
          <w:p>
            <w:pPr>
              <w:spacing w:after="0"/>
              <w:rPr>
                <w:sz w:val="1"/>
                <w:szCs w:val="1"/>
                <w:color w:val="auto"/>
              </w:rPr>
            </w:pPr>
          </w:p>
        </w:tc>
      </w:tr>
      <w:tr>
        <w:trPr>
          <w:trHeight w:val="245"/>
        </w:trPr>
        <w:tc>
          <w:tcPr>
            <w:tcW w:w="5500" w:type="dxa"/>
            <w:vAlign w:val="bottom"/>
            <w:vMerge w:val="restart"/>
          </w:tcPr>
          <w:p>
            <w:pPr>
              <w:spacing w:after="0"/>
              <w:rPr>
                <w:sz w:val="20"/>
                <w:szCs w:val="20"/>
                <w:color w:val="auto"/>
              </w:rPr>
            </w:pPr>
            <w:r>
              <w:rPr>
                <w:rFonts w:ascii="Courier New" w:cs="Courier New" w:eastAsia="Courier New" w:hAnsi="Courier New"/>
                <w:sz w:val="15"/>
                <w:szCs w:val="15"/>
                <w:color w:val="auto"/>
              </w:rPr>
              <w:t>Assuming Full Dilution:</w:t>
            </w:r>
          </w:p>
        </w:tc>
        <w:tc>
          <w:tcPr>
            <w:tcW w:w="316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500" w:type="dxa"/>
            <w:vAlign w:val="bottom"/>
            <w:vMerge w:val="continue"/>
          </w:tcPr>
          <w:p>
            <w:pPr>
              <w:spacing w:after="0"/>
              <w:rPr>
                <w:sz w:val="7"/>
                <w:szCs w:val="7"/>
                <w:color w:val="auto"/>
              </w:rPr>
            </w:pPr>
          </w:p>
        </w:tc>
        <w:tc>
          <w:tcPr>
            <w:tcW w:w="1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vMerge w:val="restart"/>
          </w:tcPr>
          <w:p>
            <w:pPr>
              <w:jc w:val="right"/>
              <w:ind w:right="807"/>
              <w:spacing w:after="0"/>
              <w:rPr>
                <w:sz w:val="20"/>
                <w:szCs w:val="20"/>
                <w:color w:val="auto"/>
              </w:rPr>
            </w:pPr>
            <w:r>
              <w:rPr>
                <w:rFonts w:ascii="Courier New" w:cs="Courier New" w:eastAsia="Courier New" w:hAnsi="Courier New"/>
                <w:sz w:val="15"/>
                <w:szCs w:val="15"/>
                <w:color w:val="auto"/>
              </w:rPr>
              <w:t>1.46</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2.85</w:t>
            </w:r>
          </w:p>
        </w:tc>
        <w:tc>
          <w:tcPr>
            <w:tcW w:w="0" w:type="dxa"/>
            <w:vAlign w:val="bottom"/>
          </w:tcPr>
          <w:p>
            <w:pPr>
              <w:spacing w:after="0"/>
              <w:rPr>
                <w:sz w:val="1"/>
                <w:szCs w:val="1"/>
                <w:color w:val="auto"/>
              </w:rPr>
            </w:pPr>
          </w:p>
        </w:tc>
      </w:tr>
      <w:tr>
        <w:trPr>
          <w:trHeight w:val="168"/>
        </w:trPr>
        <w:tc>
          <w:tcPr>
            <w:tcW w:w="5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Income Before Effect of Accounting Change</w:t>
            </w:r>
          </w:p>
        </w:tc>
        <w:tc>
          <w:tcPr>
            <w:tcW w:w="162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Effect of Change in Accounting Principle</w:t>
            </w:r>
          </w:p>
        </w:tc>
        <w:tc>
          <w:tcPr>
            <w:tcW w:w="1620" w:type="dxa"/>
            <w:vAlign w:val="bottom"/>
          </w:tcPr>
          <w:p>
            <w:pPr>
              <w:spacing w:after="0"/>
              <w:rPr>
                <w:sz w:val="14"/>
                <w:szCs w:val="14"/>
                <w:color w:val="auto"/>
              </w:rPr>
            </w:pP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(0.02)</w:t>
            </w:r>
          </w:p>
        </w:tc>
        <w:tc>
          <w:tcPr>
            <w:tcW w:w="0" w:type="dxa"/>
            <w:vAlign w:val="bottom"/>
          </w:tcPr>
          <w:p>
            <w:pPr>
              <w:spacing w:after="0"/>
              <w:rPr>
                <w:sz w:val="1"/>
                <w:szCs w:val="1"/>
                <w:color w:val="auto"/>
              </w:rPr>
            </w:pPr>
          </w:p>
        </w:tc>
      </w:tr>
      <w:tr>
        <w:trPr>
          <w:trHeight w:val="168"/>
        </w:trPr>
        <w:tc>
          <w:tcPr>
            <w:tcW w:w="55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Net Income</w:t>
            </w:r>
          </w:p>
        </w:tc>
        <w:tc>
          <w:tcPr>
            <w:tcW w:w="316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500" w:type="dxa"/>
            <w:vAlign w:val="bottom"/>
            <w:vMerge w:val="continue"/>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1.46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2.83</w:t>
            </w:r>
          </w:p>
        </w:tc>
        <w:tc>
          <w:tcPr>
            <w:tcW w:w="0" w:type="dxa"/>
            <w:vAlign w:val="bottom"/>
          </w:tcPr>
          <w:p>
            <w:pPr>
              <w:spacing w:after="0"/>
              <w:rPr>
                <w:sz w:val="1"/>
                <w:szCs w:val="1"/>
                <w:color w:val="auto"/>
              </w:rPr>
            </w:pPr>
          </w:p>
        </w:tc>
      </w:tr>
      <w:tr>
        <w:trPr>
          <w:trHeight w:val="245"/>
        </w:trPr>
        <w:tc>
          <w:tcPr>
            <w:tcW w:w="5500" w:type="dxa"/>
            <w:vAlign w:val="bottom"/>
          </w:tcPr>
          <w:p>
            <w:pPr>
              <w:spacing w:after="0"/>
              <w:rPr>
                <w:sz w:val="21"/>
                <w:szCs w:val="21"/>
                <w:color w:val="auto"/>
              </w:rPr>
            </w:pPr>
          </w:p>
        </w:tc>
        <w:tc>
          <w:tcPr>
            <w:tcW w:w="316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jc w:val="center"/>
        <w:ind w:right="4100"/>
        <w:spacing w:after="0"/>
        <w:tabs>
          <w:tab w:leader="none" w:pos="140" w:val="left"/>
        </w:tabs>
        <w:rPr>
          <w:sz w:val="20"/>
          <w:szCs w:val="20"/>
          <w:color w:val="auto"/>
        </w:rPr>
      </w:pPr>
      <w:r>
        <w:rPr>
          <w:rFonts w:ascii="Courier New" w:cs="Courier New" w:eastAsia="Courier New" w:hAnsi="Courier New"/>
          <w:sz w:val="15"/>
          <w:szCs w:val="15"/>
          <w:color w:val="auto"/>
        </w:rPr>
        <w:t>The Notes to Financial</w:t>
      </w:r>
      <w:r>
        <w:rPr>
          <w:sz w:val="20"/>
          <w:szCs w:val="20"/>
          <w:color w:val="auto"/>
        </w:rPr>
        <w:tab/>
      </w:r>
      <w:r>
        <w:rPr>
          <w:rFonts w:ascii="Courier New" w:cs="Courier New" w:eastAsia="Courier New" w:hAnsi="Courier New"/>
          <w:sz w:val="14"/>
          <w:szCs w:val="14"/>
          <w:color w:val="auto"/>
        </w:rPr>
        <w:t>Statements are an integral part of these Statements.</w:t>
      </w:r>
    </w:p>
    <w:p>
      <w:pPr>
        <w:spacing w:after="0" w:line="166"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760"/>
          </w:cols>
          <w:pgMar w:left="220" w:top="766" w:right="9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0"/>
        </w:trPr>
        <w:tc>
          <w:tcPr>
            <w:tcW w:w="7060" w:type="dxa"/>
            <w:vAlign w:val="bottom"/>
          </w:tcPr>
          <w:p>
            <w:pPr>
              <w:ind w:left="1400"/>
              <w:spacing w:after="0"/>
              <w:rPr>
                <w:sz w:val="20"/>
                <w:szCs w:val="20"/>
                <w:color w:val="auto"/>
              </w:rPr>
            </w:pPr>
            <w:r>
              <w:rPr>
                <w:rFonts w:ascii="Courier New" w:cs="Courier New" w:eastAsia="Courier New" w:hAnsi="Courier New"/>
                <w:sz w:val="15"/>
                <w:szCs w:val="15"/>
                <w:color w:val="auto"/>
              </w:rPr>
              <w:t>THE CHASE MANHATTAN CORPORATION and Subsidiaries</w:t>
            </w: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CONSOLIDATED STATEMENT OF CHANGES</w:t>
            </w: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IN STOCKHOLDERS' EQUITY</w:t>
            </w: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60" w:type="dxa"/>
            <w:vAlign w:val="bottom"/>
          </w:tcPr>
          <w:p>
            <w:pPr>
              <w:jc w:val="center"/>
              <w:spacing w:after="0"/>
              <w:rPr>
                <w:sz w:val="20"/>
                <w:szCs w:val="20"/>
                <w:color w:val="auto"/>
              </w:rPr>
            </w:pPr>
            <w:r>
              <w:rPr>
                <w:rFonts w:ascii="Courier New" w:cs="Courier New" w:eastAsia="Courier New" w:hAnsi="Courier New"/>
                <w:sz w:val="15"/>
                <w:szCs w:val="15"/>
                <w:color w:val="auto"/>
                <w:w w:val="97"/>
              </w:rPr>
              <w:t>(in millions)</w:t>
            </w:r>
          </w:p>
        </w:tc>
        <w:tc>
          <w:tcPr>
            <w:tcW w:w="1000" w:type="dxa"/>
            <w:vAlign w:val="bottom"/>
          </w:tcPr>
          <w:p>
            <w:pPr>
              <w:spacing w:after="0"/>
              <w:rPr>
                <w:sz w:val="21"/>
                <w:szCs w:val="21"/>
                <w:color w:val="auto"/>
              </w:rPr>
            </w:pPr>
          </w:p>
        </w:tc>
        <w:tc>
          <w:tcPr>
            <w:tcW w:w="2360" w:type="dxa"/>
            <w:vAlign w:val="bottom"/>
            <w:gridSpan w:val="3"/>
            <w:vMerge w:val="restart"/>
          </w:tcPr>
          <w:p>
            <w:pPr>
              <w:jc w:val="right"/>
              <w:ind w:right="447"/>
              <w:spacing w:after="0"/>
              <w:rPr>
                <w:sz w:val="20"/>
                <w:szCs w:val="20"/>
                <w:color w:val="auto"/>
              </w:rPr>
            </w:pPr>
            <w:r>
              <w:rPr>
                <w:rFonts w:ascii="Courier New" w:cs="Courier New" w:eastAsia="Courier New" w:hAnsi="Courier New"/>
                <w:sz w:val="15"/>
                <w:szCs w:val="15"/>
                <w:color w:val="auto"/>
              </w:rPr>
              <w:t>Six Months Ended</w:t>
            </w:r>
          </w:p>
        </w:tc>
        <w:tc>
          <w:tcPr>
            <w:tcW w:w="0" w:type="dxa"/>
            <w:vAlign w:val="bottom"/>
          </w:tcPr>
          <w:p>
            <w:pPr>
              <w:spacing w:after="0"/>
              <w:rPr>
                <w:sz w:val="1"/>
                <w:szCs w:val="1"/>
                <w:color w:val="auto"/>
              </w:rPr>
            </w:pPr>
          </w:p>
        </w:tc>
      </w:tr>
      <w:tr>
        <w:trPr>
          <w:trHeight w:val="91"/>
        </w:trPr>
        <w:tc>
          <w:tcPr>
            <w:tcW w:w="70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3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7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June 30,</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60" w:type="dxa"/>
            <w:vAlign w:val="bottom"/>
          </w:tcPr>
          <w:p>
            <w:pPr>
              <w:spacing w:after="0"/>
              <w:rPr>
                <w:sz w:val="14"/>
                <w:szCs w:val="14"/>
                <w:color w:val="auto"/>
              </w:rPr>
            </w:pPr>
          </w:p>
        </w:tc>
        <w:tc>
          <w:tcPr>
            <w:tcW w:w="33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1996</w:t>
            </w:r>
          </w:p>
        </w:tc>
        <w:tc>
          <w:tcPr>
            <w:tcW w:w="44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45"/>
        </w:trPr>
        <w:tc>
          <w:tcPr>
            <w:tcW w:w="7060" w:type="dxa"/>
            <w:vAlign w:val="bottom"/>
            <w:vMerge w:val="restart"/>
          </w:tcPr>
          <w:p>
            <w:pPr>
              <w:spacing w:after="0"/>
              <w:rPr>
                <w:sz w:val="20"/>
                <w:szCs w:val="20"/>
                <w:color w:val="auto"/>
              </w:rPr>
            </w:pPr>
            <w:r>
              <w:rPr>
                <w:rFonts w:ascii="Courier New" w:cs="Courier New" w:eastAsia="Courier New" w:hAnsi="Courier New"/>
                <w:sz w:val="15"/>
                <w:szCs w:val="15"/>
                <w:color w:val="auto"/>
              </w:rPr>
              <w:t>Preferred Stock:</w:t>
            </w:r>
          </w:p>
        </w:tc>
        <w:tc>
          <w:tcPr>
            <w:tcW w:w="21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06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7060" w:type="dxa"/>
            <w:vAlign w:val="bottom"/>
          </w:tcPr>
          <w:p>
            <w:pPr>
              <w:spacing w:after="0"/>
              <w:rPr>
                <w:sz w:val="20"/>
                <w:szCs w:val="20"/>
                <w:color w:val="auto"/>
              </w:rPr>
            </w:pPr>
            <w:r>
              <w:rPr>
                <w:rFonts w:ascii="Courier New" w:cs="Courier New" w:eastAsia="Courier New" w:hAnsi="Courier New"/>
                <w:sz w:val="15"/>
                <w:szCs w:val="15"/>
                <w:color w:val="auto"/>
              </w:rPr>
              <w:t>Balance at Beginning of Year</w:t>
            </w:r>
          </w:p>
        </w:tc>
        <w:tc>
          <w:tcPr>
            <w:tcW w:w="1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2,650</w:t>
            </w:r>
          </w:p>
        </w:tc>
        <w:tc>
          <w:tcPr>
            <w:tcW w:w="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2,850</w:t>
            </w:r>
          </w:p>
        </w:tc>
        <w:tc>
          <w:tcPr>
            <w:tcW w:w="0" w:type="dxa"/>
            <w:vAlign w:val="bottom"/>
          </w:tcPr>
          <w:p>
            <w:pPr>
              <w:spacing w:after="0"/>
              <w:rPr>
                <w:sz w:val="1"/>
                <w:szCs w:val="1"/>
                <w:color w:val="auto"/>
              </w:rPr>
            </w:pP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Conversion of Preferred Stock</w:t>
            </w:r>
          </w:p>
        </w:tc>
        <w:tc>
          <w:tcPr>
            <w:tcW w:w="100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w:t>
            </w:r>
          </w:p>
        </w:tc>
        <w:tc>
          <w:tcPr>
            <w:tcW w:w="0" w:type="dxa"/>
            <w:vAlign w:val="bottom"/>
          </w:tcPr>
          <w:p>
            <w:pPr>
              <w:spacing w:after="0"/>
              <w:rPr>
                <w:sz w:val="1"/>
                <w:szCs w:val="1"/>
                <w:color w:val="auto"/>
              </w:rPr>
            </w:pPr>
          </w:p>
        </w:tc>
      </w:tr>
      <w:tr>
        <w:trPr>
          <w:trHeight w:val="168"/>
        </w:trPr>
        <w:tc>
          <w:tcPr>
            <w:tcW w:w="706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End of Period</w:t>
            </w:r>
          </w:p>
        </w:tc>
        <w:tc>
          <w:tcPr>
            <w:tcW w:w="21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060" w:type="dxa"/>
            <w:vAlign w:val="bottom"/>
            <w:vMerge w:val="continue"/>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2,650</w:t>
            </w: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2,650</w:t>
            </w:r>
          </w:p>
        </w:tc>
        <w:tc>
          <w:tcPr>
            <w:tcW w:w="0" w:type="dxa"/>
            <w:vAlign w:val="bottom"/>
          </w:tcPr>
          <w:p>
            <w:pPr>
              <w:spacing w:after="0"/>
              <w:rPr>
                <w:sz w:val="1"/>
                <w:szCs w:val="1"/>
                <w:color w:val="auto"/>
              </w:rPr>
            </w:pPr>
          </w:p>
        </w:tc>
      </w:tr>
      <w:tr>
        <w:trPr>
          <w:trHeight w:val="245"/>
        </w:trPr>
        <w:tc>
          <w:tcPr>
            <w:tcW w:w="7060" w:type="dxa"/>
            <w:vAlign w:val="bottom"/>
            <w:vMerge w:val="restart"/>
          </w:tcPr>
          <w:p>
            <w:pPr>
              <w:spacing w:after="0"/>
              <w:rPr>
                <w:sz w:val="20"/>
                <w:szCs w:val="20"/>
                <w:color w:val="auto"/>
              </w:rPr>
            </w:pPr>
            <w:r>
              <w:rPr>
                <w:rFonts w:ascii="Courier New" w:cs="Courier New" w:eastAsia="Courier New" w:hAnsi="Courier New"/>
                <w:sz w:val="15"/>
                <w:szCs w:val="15"/>
                <w:color w:val="auto"/>
              </w:rPr>
              <w:t>Common Stock:</w:t>
            </w:r>
          </w:p>
        </w:tc>
        <w:tc>
          <w:tcPr>
            <w:tcW w:w="21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7060" w:type="dxa"/>
            <w:vAlign w:val="bottom"/>
            <w:vMerge w:val="continue"/>
          </w:tcPr>
          <w:p>
            <w:pPr>
              <w:spacing w:after="0"/>
              <w:rPr>
                <w:sz w:val="7"/>
                <w:szCs w:val="7"/>
                <w:color w:val="auto"/>
              </w:rPr>
            </w:pPr>
          </w:p>
        </w:tc>
        <w:tc>
          <w:tcPr>
            <w:tcW w:w="10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458</w:t>
            </w:r>
          </w:p>
        </w:tc>
        <w:tc>
          <w:tcPr>
            <w:tcW w:w="4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447</w:t>
            </w:r>
          </w:p>
        </w:tc>
        <w:tc>
          <w:tcPr>
            <w:tcW w:w="0" w:type="dxa"/>
            <w:vAlign w:val="bottom"/>
          </w:tcPr>
          <w:p>
            <w:pPr>
              <w:spacing w:after="0"/>
              <w:rPr>
                <w:sz w:val="1"/>
                <w:szCs w:val="1"/>
                <w:color w:val="auto"/>
              </w:rPr>
            </w:pP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Beginning of Year</w:t>
            </w:r>
          </w:p>
        </w:tc>
        <w:tc>
          <w:tcPr>
            <w:tcW w:w="10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Retirement of Treasury Stock</w:t>
            </w:r>
          </w:p>
        </w:tc>
        <w:tc>
          <w:tcPr>
            <w:tcW w:w="10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(20)(a)</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w:t>
            </w:r>
          </w:p>
        </w:tc>
        <w:tc>
          <w:tcPr>
            <w:tcW w:w="100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68"/>
        </w:trPr>
        <w:tc>
          <w:tcPr>
            <w:tcW w:w="706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End of Period</w:t>
            </w:r>
          </w:p>
        </w:tc>
        <w:tc>
          <w:tcPr>
            <w:tcW w:w="21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060" w:type="dxa"/>
            <w:vAlign w:val="bottom"/>
            <w:vMerge w:val="continue"/>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438</w:t>
            </w: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449</w:t>
            </w:r>
          </w:p>
        </w:tc>
        <w:tc>
          <w:tcPr>
            <w:tcW w:w="0" w:type="dxa"/>
            <w:vAlign w:val="bottom"/>
          </w:tcPr>
          <w:p>
            <w:pPr>
              <w:spacing w:after="0"/>
              <w:rPr>
                <w:sz w:val="1"/>
                <w:szCs w:val="1"/>
                <w:color w:val="auto"/>
              </w:rPr>
            </w:pPr>
          </w:p>
        </w:tc>
      </w:tr>
      <w:tr>
        <w:trPr>
          <w:trHeight w:val="245"/>
        </w:trPr>
        <w:tc>
          <w:tcPr>
            <w:tcW w:w="7060" w:type="dxa"/>
            <w:vAlign w:val="bottom"/>
            <w:vMerge w:val="restart"/>
          </w:tcPr>
          <w:p>
            <w:pPr>
              <w:spacing w:after="0"/>
              <w:rPr>
                <w:sz w:val="20"/>
                <w:szCs w:val="20"/>
                <w:color w:val="auto"/>
              </w:rPr>
            </w:pPr>
            <w:r>
              <w:rPr>
                <w:rFonts w:ascii="Courier New" w:cs="Courier New" w:eastAsia="Courier New" w:hAnsi="Courier New"/>
                <w:sz w:val="15"/>
                <w:szCs w:val="15"/>
                <w:color w:val="auto"/>
              </w:rPr>
              <w:t>Capital Surplus:</w:t>
            </w:r>
          </w:p>
        </w:tc>
        <w:tc>
          <w:tcPr>
            <w:tcW w:w="21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7060" w:type="dxa"/>
            <w:vAlign w:val="bottom"/>
            <w:vMerge w:val="continue"/>
          </w:tcPr>
          <w:p>
            <w:pPr>
              <w:spacing w:after="0"/>
              <w:rPr>
                <w:sz w:val="7"/>
                <w:szCs w:val="7"/>
                <w:color w:val="auto"/>
              </w:rPr>
            </w:pPr>
          </w:p>
        </w:tc>
        <w:tc>
          <w:tcPr>
            <w:tcW w:w="10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11,075</w:t>
            </w:r>
          </w:p>
        </w:tc>
        <w:tc>
          <w:tcPr>
            <w:tcW w:w="4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10,671</w:t>
            </w:r>
          </w:p>
        </w:tc>
        <w:tc>
          <w:tcPr>
            <w:tcW w:w="0" w:type="dxa"/>
            <w:vAlign w:val="bottom"/>
          </w:tcPr>
          <w:p>
            <w:pPr>
              <w:spacing w:after="0"/>
              <w:rPr>
                <w:sz w:val="1"/>
                <w:szCs w:val="1"/>
                <w:color w:val="auto"/>
              </w:rPr>
            </w:pP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Beginning of Year</w:t>
            </w:r>
          </w:p>
        </w:tc>
        <w:tc>
          <w:tcPr>
            <w:tcW w:w="10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Retirement of Treasury Stock</w:t>
            </w:r>
          </w:p>
        </w:tc>
        <w:tc>
          <w:tcPr>
            <w:tcW w:w="10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(433)(a)</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w:t>
            </w:r>
          </w:p>
        </w:tc>
        <w:tc>
          <w:tcPr>
            <w:tcW w:w="100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(226)</w:t>
            </w:r>
          </w:p>
        </w:tc>
        <w:tc>
          <w:tcPr>
            <w:tcW w:w="4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Restricted Stock Granted, Net of Amortization</w:t>
            </w:r>
          </w:p>
        </w:tc>
        <w:tc>
          <w:tcPr>
            <w:tcW w:w="100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16</w:t>
            </w:r>
          </w:p>
        </w:tc>
        <w:tc>
          <w:tcPr>
            <w:tcW w:w="4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68"/>
        </w:trPr>
        <w:tc>
          <w:tcPr>
            <w:tcW w:w="706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End of Period</w:t>
            </w:r>
          </w:p>
        </w:tc>
        <w:tc>
          <w:tcPr>
            <w:tcW w:w="21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060" w:type="dxa"/>
            <w:vAlign w:val="bottom"/>
            <w:vMerge w:val="continue"/>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10,432</w:t>
            </w: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10,638</w:t>
            </w:r>
          </w:p>
        </w:tc>
        <w:tc>
          <w:tcPr>
            <w:tcW w:w="0" w:type="dxa"/>
            <w:vAlign w:val="bottom"/>
          </w:tcPr>
          <w:p>
            <w:pPr>
              <w:spacing w:after="0"/>
              <w:rPr>
                <w:sz w:val="1"/>
                <w:szCs w:val="1"/>
                <w:color w:val="auto"/>
              </w:rPr>
            </w:pPr>
          </w:p>
        </w:tc>
      </w:tr>
      <w:tr>
        <w:trPr>
          <w:trHeight w:val="245"/>
        </w:trPr>
        <w:tc>
          <w:tcPr>
            <w:tcW w:w="7060" w:type="dxa"/>
            <w:vAlign w:val="bottom"/>
            <w:vMerge w:val="restart"/>
          </w:tcPr>
          <w:p>
            <w:pPr>
              <w:spacing w:after="0"/>
              <w:rPr>
                <w:sz w:val="20"/>
                <w:szCs w:val="20"/>
                <w:color w:val="auto"/>
              </w:rPr>
            </w:pPr>
            <w:r>
              <w:rPr>
                <w:rFonts w:ascii="Courier New" w:cs="Courier New" w:eastAsia="Courier New" w:hAnsi="Courier New"/>
                <w:sz w:val="15"/>
                <w:szCs w:val="15"/>
                <w:color w:val="auto"/>
              </w:rPr>
              <w:t>Retained Earnings:</w:t>
            </w:r>
          </w:p>
        </w:tc>
        <w:tc>
          <w:tcPr>
            <w:tcW w:w="21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7060" w:type="dxa"/>
            <w:vAlign w:val="bottom"/>
            <w:vMerge w:val="continue"/>
          </w:tcPr>
          <w:p>
            <w:pPr>
              <w:spacing w:after="0"/>
              <w:rPr>
                <w:sz w:val="7"/>
                <w:szCs w:val="7"/>
                <w:color w:val="auto"/>
              </w:rPr>
            </w:pPr>
          </w:p>
        </w:tc>
        <w:tc>
          <w:tcPr>
            <w:tcW w:w="10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7,997</w:t>
            </w:r>
          </w:p>
        </w:tc>
        <w:tc>
          <w:tcPr>
            <w:tcW w:w="4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6,045</w:t>
            </w:r>
          </w:p>
        </w:tc>
        <w:tc>
          <w:tcPr>
            <w:tcW w:w="0" w:type="dxa"/>
            <w:vAlign w:val="bottom"/>
          </w:tcPr>
          <w:p>
            <w:pPr>
              <w:spacing w:after="0"/>
              <w:rPr>
                <w:sz w:val="1"/>
                <w:szCs w:val="1"/>
                <w:color w:val="auto"/>
              </w:rPr>
            </w:pP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Beginning of Year</w:t>
            </w:r>
          </w:p>
        </w:tc>
        <w:tc>
          <w:tcPr>
            <w:tcW w:w="10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00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767</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1,368</w:t>
            </w:r>
          </w:p>
        </w:tc>
        <w:tc>
          <w:tcPr>
            <w:tcW w:w="0" w:type="dxa"/>
            <w:vAlign w:val="bottom"/>
          </w:tcPr>
          <w:p>
            <w:pPr>
              <w:spacing w:after="0"/>
              <w:rPr>
                <w:sz w:val="1"/>
                <w:szCs w:val="1"/>
                <w:color w:val="auto"/>
              </w:rPr>
            </w:pP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Retirement of Treasury Stock</w:t>
            </w:r>
          </w:p>
        </w:tc>
        <w:tc>
          <w:tcPr>
            <w:tcW w:w="10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(557)(a)</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Dividends Declared:</w:t>
            </w:r>
          </w:p>
        </w:tc>
        <w:tc>
          <w:tcPr>
            <w:tcW w:w="1000" w:type="dxa"/>
            <w:vAlign w:val="bottom"/>
          </w:tcPr>
          <w:p>
            <w:pPr>
              <w:spacing w:after="0"/>
              <w:rPr>
                <w:sz w:val="14"/>
                <w:szCs w:val="14"/>
                <w:color w:val="auto"/>
              </w:rPr>
            </w:pPr>
          </w:p>
        </w:tc>
        <w:tc>
          <w:tcPr>
            <w:tcW w:w="11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(109)</w:t>
            </w:r>
          </w:p>
        </w:tc>
        <w:tc>
          <w:tcPr>
            <w:tcW w:w="4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(117)</w:t>
            </w:r>
          </w:p>
        </w:tc>
        <w:tc>
          <w:tcPr>
            <w:tcW w:w="0" w:type="dxa"/>
            <w:vAlign w:val="bottom"/>
          </w:tcPr>
          <w:p>
            <w:pPr>
              <w:spacing w:after="0"/>
              <w:rPr>
                <w:sz w:val="1"/>
                <w:szCs w:val="1"/>
                <w:color w:val="auto"/>
              </w:rPr>
            </w:pPr>
          </w:p>
        </w:tc>
      </w:tr>
      <w:tr>
        <w:trPr>
          <w:trHeight w:val="168"/>
        </w:trPr>
        <w:tc>
          <w:tcPr>
            <w:tcW w:w="7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Preferred Stock</w:t>
            </w:r>
          </w:p>
        </w:tc>
        <w:tc>
          <w:tcPr>
            <w:tcW w:w="10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Stock</w:t>
            </w:r>
          </w:p>
        </w:tc>
        <w:tc>
          <w:tcPr>
            <w:tcW w:w="10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(572)(b)</w:t>
            </w:r>
          </w:p>
        </w:tc>
        <w:tc>
          <w:tcPr>
            <w:tcW w:w="4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(381)</w:t>
            </w:r>
          </w:p>
        </w:tc>
        <w:tc>
          <w:tcPr>
            <w:tcW w:w="0" w:type="dxa"/>
            <w:vAlign w:val="bottom"/>
          </w:tcPr>
          <w:p>
            <w:pPr>
              <w:spacing w:after="0"/>
              <w:rPr>
                <w:sz w:val="1"/>
                <w:szCs w:val="1"/>
                <w:color w:val="auto"/>
              </w:rPr>
            </w:pP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Translation Adjustment</w:t>
            </w:r>
          </w:p>
        </w:tc>
        <w:tc>
          <w:tcPr>
            <w:tcW w:w="100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68"/>
        </w:trPr>
        <w:tc>
          <w:tcPr>
            <w:tcW w:w="706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End of Period</w:t>
            </w:r>
          </w:p>
        </w:tc>
        <w:tc>
          <w:tcPr>
            <w:tcW w:w="21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060" w:type="dxa"/>
            <w:vAlign w:val="bottom"/>
            <w:vMerge w:val="continue"/>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7,534</w:t>
            </w: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6,925</w:t>
            </w:r>
          </w:p>
        </w:tc>
        <w:tc>
          <w:tcPr>
            <w:tcW w:w="0" w:type="dxa"/>
            <w:vAlign w:val="bottom"/>
          </w:tcPr>
          <w:p>
            <w:pPr>
              <w:spacing w:after="0"/>
              <w:rPr>
                <w:sz w:val="1"/>
                <w:szCs w:val="1"/>
                <w:color w:val="auto"/>
              </w:rPr>
            </w:pPr>
          </w:p>
        </w:tc>
      </w:tr>
      <w:tr>
        <w:trPr>
          <w:trHeight w:val="245"/>
        </w:trPr>
        <w:tc>
          <w:tcPr>
            <w:tcW w:w="7060" w:type="dxa"/>
            <w:vAlign w:val="bottom"/>
            <w:vMerge w:val="restart"/>
          </w:tcPr>
          <w:p>
            <w:pPr>
              <w:spacing w:after="0"/>
              <w:rPr>
                <w:sz w:val="20"/>
                <w:szCs w:val="20"/>
                <w:color w:val="auto"/>
              </w:rPr>
            </w:pPr>
            <w:r>
              <w:rPr>
                <w:rFonts w:ascii="Courier New" w:cs="Courier New" w:eastAsia="Courier New" w:hAnsi="Courier New"/>
                <w:sz w:val="15"/>
                <w:szCs w:val="15"/>
                <w:color w:val="auto"/>
              </w:rPr>
              <w:t>Net Unrealized Loss on Securities Available-for-Sale:</w:t>
            </w:r>
          </w:p>
        </w:tc>
        <w:tc>
          <w:tcPr>
            <w:tcW w:w="21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7060" w:type="dxa"/>
            <w:vAlign w:val="bottom"/>
            <w:vMerge w:val="continue"/>
          </w:tcPr>
          <w:p>
            <w:pPr>
              <w:spacing w:after="0"/>
              <w:rPr>
                <w:sz w:val="7"/>
                <w:szCs w:val="7"/>
                <w:color w:val="auto"/>
              </w:rPr>
            </w:pPr>
          </w:p>
        </w:tc>
        <w:tc>
          <w:tcPr>
            <w:tcW w:w="10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(237)</w:t>
            </w:r>
          </w:p>
        </w:tc>
        <w:tc>
          <w:tcPr>
            <w:tcW w:w="4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(473)</w:t>
            </w:r>
          </w:p>
        </w:tc>
        <w:tc>
          <w:tcPr>
            <w:tcW w:w="0" w:type="dxa"/>
            <w:vAlign w:val="bottom"/>
          </w:tcPr>
          <w:p>
            <w:pPr>
              <w:spacing w:after="0"/>
              <w:rPr>
                <w:sz w:val="1"/>
                <w:szCs w:val="1"/>
                <w:color w:val="auto"/>
              </w:rPr>
            </w:pP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Beginning of Year</w:t>
            </w:r>
          </w:p>
        </w:tc>
        <w:tc>
          <w:tcPr>
            <w:tcW w:w="10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Change in Fair Value of Securities Available-for-Sale, Net of Taxes</w:t>
            </w:r>
          </w:p>
        </w:tc>
        <w:tc>
          <w:tcPr>
            <w:tcW w:w="100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(403)</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w:t>
            </w:r>
          </w:p>
        </w:tc>
        <w:tc>
          <w:tcPr>
            <w:tcW w:w="0" w:type="dxa"/>
            <w:vAlign w:val="bottom"/>
          </w:tcPr>
          <w:p>
            <w:pPr>
              <w:spacing w:after="0"/>
              <w:rPr>
                <w:sz w:val="1"/>
                <w:szCs w:val="1"/>
                <w:color w:val="auto"/>
              </w:rPr>
            </w:pPr>
          </w:p>
        </w:tc>
      </w:tr>
      <w:tr>
        <w:trPr>
          <w:trHeight w:val="168"/>
        </w:trPr>
        <w:tc>
          <w:tcPr>
            <w:tcW w:w="706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End of Period</w:t>
            </w:r>
          </w:p>
        </w:tc>
        <w:tc>
          <w:tcPr>
            <w:tcW w:w="21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060" w:type="dxa"/>
            <w:vAlign w:val="bottom"/>
            <w:vMerge w:val="continue"/>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(640)</w:t>
            </w: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(223)</w:t>
            </w:r>
          </w:p>
        </w:tc>
        <w:tc>
          <w:tcPr>
            <w:tcW w:w="0" w:type="dxa"/>
            <w:vAlign w:val="bottom"/>
          </w:tcPr>
          <w:p>
            <w:pPr>
              <w:spacing w:after="0"/>
              <w:rPr>
                <w:sz w:val="1"/>
                <w:szCs w:val="1"/>
                <w:color w:val="auto"/>
              </w:rPr>
            </w:pPr>
          </w:p>
        </w:tc>
      </w:tr>
      <w:tr>
        <w:trPr>
          <w:trHeight w:val="245"/>
        </w:trPr>
        <w:tc>
          <w:tcPr>
            <w:tcW w:w="7060" w:type="dxa"/>
            <w:vAlign w:val="bottom"/>
            <w:vMerge w:val="restart"/>
          </w:tcPr>
          <w:p>
            <w:pPr>
              <w:spacing w:after="0"/>
              <w:rPr>
                <w:sz w:val="20"/>
                <w:szCs w:val="20"/>
                <w:color w:val="auto"/>
              </w:rPr>
            </w:pPr>
            <w:r>
              <w:rPr>
                <w:rFonts w:ascii="Courier New" w:cs="Courier New" w:eastAsia="Courier New" w:hAnsi="Courier New"/>
                <w:sz w:val="15"/>
                <w:szCs w:val="15"/>
                <w:color w:val="auto"/>
              </w:rPr>
              <w:t>Common Stock in Treasury, at Cost:</w:t>
            </w:r>
          </w:p>
        </w:tc>
        <w:tc>
          <w:tcPr>
            <w:tcW w:w="21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7060" w:type="dxa"/>
            <w:vAlign w:val="bottom"/>
            <w:vMerge w:val="continue"/>
          </w:tcPr>
          <w:p>
            <w:pPr>
              <w:spacing w:after="0"/>
              <w:rPr>
                <w:sz w:val="7"/>
                <w:szCs w:val="7"/>
                <w:color w:val="auto"/>
              </w:rPr>
            </w:pPr>
          </w:p>
        </w:tc>
        <w:tc>
          <w:tcPr>
            <w:tcW w:w="10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(1,107)</w:t>
            </w:r>
          </w:p>
        </w:tc>
        <w:tc>
          <w:tcPr>
            <w:tcW w:w="4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(667)</w:t>
            </w:r>
          </w:p>
        </w:tc>
        <w:tc>
          <w:tcPr>
            <w:tcW w:w="0" w:type="dxa"/>
            <w:vAlign w:val="bottom"/>
          </w:tcPr>
          <w:p>
            <w:pPr>
              <w:spacing w:after="0"/>
              <w:rPr>
                <w:sz w:val="1"/>
                <w:szCs w:val="1"/>
                <w:color w:val="auto"/>
              </w:rPr>
            </w:pP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Beginning of Year</w:t>
            </w:r>
          </w:p>
        </w:tc>
        <w:tc>
          <w:tcPr>
            <w:tcW w:w="10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Retirement of Treasury Stock</w:t>
            </w:r>
          </w:p>
        </w:tc>
        <w:tc>
          <w:tcPr>
            <w:tcW w:w="10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1,010(a)</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of Treasury Stock</w:t>
            </w:r>
          </w:p>
        </w:tc>
        <w:tc>
          <w:tcPr>
            <w:tcW w:w="100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(885)</w:t>
            </w:r>
          </w:p>
        </w:tc>
        <w:tc>
          <w:tcPr>
            <w:tcW w:w="4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(376)</w:t>
            </w:r>
          </w:p>
        </w:tc>
        <w:tc>
          <w:tcPr>
            <w:tcW w:w="0" w:type="dxa"/>
            <w:vAlign w:val="bottom"/>
          </w:tcPr>
          <w:p>
            <w:pPr>
              <w:spacing w:after="0"/>
              <w:rPr>
                <w:sz w:val="1"/>
                <w:szCs w:val="1"/>
                <w:color w:val="auto"/>
              </w:rPr>
            </w:pP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Reissuance of Treasury Stock</w:t>
            </w:r>
          </w:p>
        </w:tc>
        <w:tc>
          <w:tcPr>
            <w:tcW w:w="100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908</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343</w:t>
            </w:r>
          </w:p>
        </w:tc>
        <w:tc>
          <w:tcPr>
            <w:tcW w:w="0" w:type="dxa"/>
            <w:vAlign w:val="bottom"/>
          </w:tcPr>
          <w:p>
            <w:pPr>
              <w:spacing w:after="0"/>
              <w:rPr>
                <w:sz w:val="1"/>
                <w:szCs w:val="1"/>
                <w:color w:val="auto"/>
              </w:rPr>
            </w:pPr>
          </w:p>
        </w:tc>
      </w:tr>
      <w:tr>
        <w:trPr>
          <w:trHeight w:val="168"/>
        </w:trPr>
        <w:tc>
          <w:tcPr>
            <w:tcW w:w="706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End of Period</w:t>
            </w:r>
          </w:p>
        </w:tc>
        <w:tc>
          <w:tcPr>
            <w:tcW w:w="21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060" w:type="dxa"/>
            <w:vAlign w:val="bottom"/>
            <w:vMerge w:val="continue"/>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(74)</w:t>
            </w: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(700)</w:t>
            </w:r>
          </w:p>
        </w:tc>
        <w:tc>
          <w:tcPr>
            <w:tcW w:w="0" w:type="dxa"/>
            <w:vAlign w:val="bottom"/>
          </w:tcPr>
          <w:p>
            <w:pPr>
              <w:spacing w:after="0"/>
              <w:rPr>
                <w:sz w:val="1"/>
                <w:szCs w:val="1"/>
                <w:color w:val="auto"/>
              </w:rPr>
            </w:pPr>
          </w:p>
        </w:tc>
      </w:tr>
      <w:tr>
        <w:trPr>
          <w:trHeight w:val="168"/>
        </w:trPr>
        <w:tc>
          <w:tcPr>
            <w:tcW w:w="7060" w:type="dxa"/>
            <w:vAlign w:val="bottom"/>
            <w:vMerge w:val="restart"/>
          </w:tcPr>
          <w:p>
            <w:pPr>
              <w:spacing w:after="0"/>
              <w:rPr>
                <w:sz w:val="20"/>
                <w:szCs w:val="20"/>
                <w:color w:val="auto"/>
              </w:rPr>
            </w:pPr>
            <w:r>
              <w:rPr>
                <w:rFonts w:ascii="Courier New" w:cs="Courier New" w:eastAsia="Courier New" w:hAnsi="Courier New"/>
                <w:sz w:val="15"/>
                <w:szCs w:val="15"/>
                <w:color w:val="auto"/>
              </w:rPr>
              <w:t>Total Stockholders' Equity</w:t>
            </w:r>
          </w:p>
        </w:tc>
        <w:tc>
          <w:tcPr>
            <w:tcW w:w="21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060" w:type="dxa"/>
            <w:vAlign w:val="bottom"/>
            <w:vMerge w:val="continue"/>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20,340</w:t>
            </w: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19,739</w:t>
            </w:r>
          </w:p>
        </w:tc>
        <w:tc>
          <w:tcPr>
            <w:tcW w:w="0" w:type="dxa"/>
            <w:vAlign w:val="bottom"/>
          </w:tcPr>
          <w:p>
            <w:pPr>
              <w:spacing w:after="0"/>
              <w:rPr>
                <w:sz w:val="1"/>
                <w:szCs w:val="1"/>
                <w:color w:val="auto"/>
              </w:rPr>
            </w:pPr>
          </w:p>
        </w:tc>
      </w:tr>
      <w:tr>
        <w:trPr>
          <w:trHeight w:val="245"/>
        </w:trPr>
        <w:tc>
          <w:tcPr>
            <w:tcW w:w="7060" w:type="dxa"/>
            <w:vAlign w:val="bottom"/>
          </w:tcPr>
          <w:p>
            <w:pPr>
              <w:spacing w:after="0"/>
              <w:rPr>
                <w:sz w:val="21"/>
                <w:szCs w:val="21"/>
                <w:color w:val="auto"/>
              </w:rPr>
            </w:pPr>
          </w:p>
        </w:tc>
        <w:tc>
          <w:tcPr>
            <w:tcW w:w="21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jc w:val="both"/>
        <w:ind w:left="440" w:right="3420" w:hanging="430"/>
        <w:spacing w:after="0" w:line="261"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the terms of the merger agreement, on March 31, 1996, all of the former Chase Manhattan Corporation's ("Chase") treasury stock was cancelled and retired. In accordance with existing accounting pronouncements, if the average price per share of the treasury stock at the time of retirement is higher than the average price per share in capital surplus, then the excess amount is applied against retained earnings.</w:t>
      </w:r>
    </w:p>
    <w:p>
      <w:pPr>
        <w:ind w:left="440" w:right="3420" w:hanging="430"/>
        <w:spacing w:after="0" w:line="307" w:lineRule="auto"/>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fourth quarter 1995 common stock dividends of $80 million declared and paid by Chase in 1996.</w:t>
      </w:r>
    </w:p>
    <w:p>
      <w:pPr>
        <w:spacing w:after="0" w:line="44"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5"/>
          <w:szCs w:val="15"/>
          <w:color w:val="auto"/>
        </w:rPr>
        <w:t>The Notes to Financial</w:t>
      </w:r>
      <w:r>
        <w:rPr>
          <w:sz w:val="20"/>
          <w:szCs w:val="20"/>
          <w:color w:val="auto"/>
        </w:rPr>
        <w:tab/>
      </w:r>
      <w:r>
        <w:rPr>
          <w:rFonts w:ascii="Courier New" w:cs="Courier New" w:eastAsia="Courier New" w:hAnsi="Courier New"/>
          <w:sz w:val="14"/>
          <w:szCs w:val="14"/>
          <w:color w:val="auto"/>
        </w:rPr>
        <w:t>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420"/>
          </w:cols>
          <w:pgMar w:left="220" w:top="932" w:right="1259" w:bottom="1440" w:gutter="0" w:footer="0" w:header="0"/>
        </w:sectPr>
      </w:pPr>
    </w:p>
    <w:bookmarkStart w:id="6" w:name="page7"/>
    <w:bookmarkEnd w:id="6"/>
    <w:p>
      <w:pPr>
        <w:ind w:left="3340"/>
        <w:spacing w:after="0"/>
        <w:rPr>
          <w:sz w:val="20"/>
          <w:szCs w:val="20"/>
          <w:color w:val="auto"/>
        </w:rPr>
      </w:pPr>
      <w:r>
        <w:rPr>
          <w:rFonts w:ascii="Courier New" w:cs="Courier New" w:eastAsia="Courier New" w:hAnsi="Courier New"/>
          <w:sz w:val="15"/>
          <w:szCs w:val="15"/>
          <w:color w:val="auto"/>
        </w:rPr>
        <w:t>THE CHASE MANHATTAN CORPORATION and Subsidiaries</w:t>
      </w:r>
    </w:p>
    <w:p>
      <w:pPr>
        <w:spacing w:after="0" w:line="2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CONSOLIDATED STATEMENT OF CASH FLOWS</w:t>
      </w:r>
    </w:p>
    <w:p>
      <w:pPr>
        <w:ind w:left="4380"/>
        <w:spacing w:after="0" w:line="237" w:lineRule="auto"/>
        <w:rPr>
          <w:sz w:val="20"/>
          <w:szCs w:val="20"/>
          <w:color w:val="auto"/>
        </w:rPr>
      </w:pPr>
      <w:r>
        <w:rPr>
          <w:rFonts w:ascii="Courier New" w:cs="Courier New" w:eastAsia="Courier New" w:hAnsi="Courier New"/>
          <w:sz w:val="15"/>
          <w:szCs w:val="15"/>
          <w:color w:val="auto"/>
        </w:rPr>
        <w:t>Six Months Ended June 30,</w:t>
      </w:r>
    </w:p>
    <w:p>
      <w:pPr>
        <w:ind w:left="4900"/>
        <w:spacing w:after="0"/>
        <w:rPr>
          <w:sz w:val="20"/>
          <w:szCs w:val="20"/>
          <w:color w:val="auto"/>
        </w:rPr>
      </w:pPr>
      <w:r>
        <w:rPr>
          <w:rFonts w:ascii="Courier New" w:cs="Courier New" w:eastAsia="Courier New" w:hAnsi="Courier New"/>
          <w:sz w:val="15"/>
          <w:szCs w:val="15"/>
          <w:color w:val="auto"/>
        </w:rPr>
        <w:t>(in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1996</w:t>
            </w:r>
          </w:p>
        </w:tc>
        <w:tc>
          <w:tcPr>
            <w:tcW w:w="48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45"/>
        </w:trPr>
        <w:tc>
          <w:tcPr>
            <w:tcW w:w="744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Activities</w:t>
            </w:r>
          </w:p>
        </w:tc>
        <w:tc>
          <w:tcPr>
            <w:tcW w:w="18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74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74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4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767</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1,368</w:t>
            </w:r>
          </w:p>
        </w:tc>
        <w:tc>
          <w:tcPr>
            <w:tcW w:w="0" w:type="dxa"/>
            <w:vAlign w:val="bottom"/>
          </w:tcPr>
          <w:p>
            <w:pPr>
              <w:spacing w:after="0"/>
              <w:rPr>
                <w:sz w:val="1"/>
                <w:szCs w:val="1"/>
                <w:color w:val="auto"/>
              </w:rPr>
            </w:pPr>
          </w:p>
        </w:tc>
      </w:tr>
      <w:tr>
        <w:trPr>
          <w:trHeight w:val="168"/>
        </w:trPr>
        <w:tc>
          <w:tcPr>
            <w:tcW w:w="744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Net Income to Net Cash Provided</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40" w:type="dxa"/>
            <w:vAlign w:val="bottom"/>
          </w:tcPr>
          <w:p>
            <w:pPr>
              <w:spacing w:after="0" w:line="168" w:lineRule="exact"/>
              <w:rPr>
                <w:sz w:val="20"/>
                <w:szCs w:val="20"/>
                <w:color w:val="auto"/>
              </w:rPr>
            </w:pPr>
            <w:r>
              <w:rPr>
                <w:rFonts w:ascii="Courier New" w:cs="Courier New" w:eastAsia="Courier New" w:hAnsi="Courier New"/>
                <w:sz w:val="15"/>
                <w:szCs w:val="15"/>
                <w:color w:val="auto"/>
              </w:rPr>
              <w:t>by Operating Activities:</w:t>
            </w:r>
          </w:p>
        </w:tc>
        <w:tc>
          <w:tcPr>
            <w:tcW w:w="800" w:type="dxa"/>
            <w:vAlign w:val="bottom"/>
          </w:tcPr>
          <w:p>
            <w:pPr>
              <w:spacing w:after="0"/>
              <w:rPr>
                <w:sz w:val="14"/>
                <w:szCs w:val="14"/>
                <w:color w:val="auto"/>
              </w:rPr>
            </w:pPr>
          </w:p>
        </w:tc>
        <w:tc>
          <w:tcPr>
            <w:tcW w:w="10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68"/>
        </w:trPr>
        <w:tc>
          <w:tcPr>
            <w:tcW w:w="74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Effect of Change in Accounting Principle</w:t>
            </w:r>
          </w:p>
        </w:tc>
        <w:tc>
          <w:tcPr>
            <w:tcW w:w="8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Provision for Losses</w:t>
            </w:r>
          </w:p>
        </w:tc>
        <w:tc>
          <w:tcPr>
            <w:tcW w:w="80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495</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380</w:t>
            </w:r>
          </w:p>
        </w:tc>
        <w:tc>
          <w:tcPr>
            <w:tcW w:w="0" w:type="dxa"/>
            <w:vAlign w:val="bottom"/>
          </w:tcPr>
          <w:p>
            <w:pPr>
              <w:spacing w:after="0"/>
              <w:rPr>
                <w:sz w:val="1"/>
                <w:szCs w:val="1"/>
                <w:color w:val="auto"/>
              </w:rPr>
            </w:pPr>
          </w:p>
        </w:tc>
      </w:tr>
      <w:tr>
        <w:trPr>
          <w:trHeight w:val="168"/>
        </w:trPr>
        <w:tc>
          <w:tcPr>
            <w:tcW w:w="74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Restructuring Charge and Expenses</w:t>
            </w:r>
          </w:p>
        </w:tc>
        <w:tc>
          <w:tcPr>
            <w:tcW w:w="80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1,678</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68"/>
        </w:trPr>
        <w:tc>
          <w:tcPr>
            <w:tcW w:w="74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80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406</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437</w:t>
            </w:r>
          </w:p>
        </w:tc>
        <w:tc>
          <w:tcPr>
            <w:tcW w:w="0" w:type="dxa"/>
            <w:vAlign w:val="bottom"/>
          </w:tcPr>
          <w:p>
            <w:pPr>
              <w:spacing w:after="0"/>
              <w:rPr>
                <w:sz w:val="1"/>
                <w:szCs w:val="1"/>
                <w:color w:val="auto"/>
              </w:rPr>
            </w:pPr>
          </w:p>
        </w:tc>
      </w:tr>
      <w:tr>
        <w:trPr>
          <w:trHeight w:val="168"/>
        </w:trPr>
        <w:tc>
          <w:tcPr>
            <w:tcW w:w="74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Change In:</w:t>
            </w:r>
          </w:p>
        </w:tc>
        <w:tc>
          <w:tcPr>
            <w:tcW w:w="800" w:type="dxa"/>
            <w:vAlign w:val="bottom"/>
          </w:tcPr>
          <w:p>
            <w:pPr>
              <w:spacing w:after="0"/>
              <w:rPr>
                <w:sz w:val="14"/>
                <w:szCs w:val="14"/>
                <w:color w:val="auto"/>
              </w:rPr>
            </w:pPr>
          </w:p>
        </w:tc>
        <w:tc>
          <w:tcPr>
            <w:tcW w:w="10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1,574</w:t>
            </w:r>
          </w:p>
        </w:tc>
        <w:tc>
          <w:tcPr>
            <w:tcW w:w="4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(2,617)</w:t>
            </w:r>
          </w:p>
        </w:tc>
        <w:tc>
          <w:tcPr>
            <w:tcW w:w="0" w:type="dxa"/>
            <w:vAlign w:val="bottom"/>
          </w:tcPr>
          <w:p>
            <w:pPr>
              <w:spacing w:after="0"/>
              <w:rPr>
                <w:sz w:val="1"/>
                <w:szCs w:val="1"/>
                <w:color w:val="auto"/>
              </w:rPr>
            </w:pPr>
          </w:p>
        </w:tc>
      </w:tr>
      <w:tr>
        <w:trPr>
          <w:trHeight w:val="168"/>
        </w:trPr>
        <w:tc>
          <w:tcPr>
            <w:tcW w:w="74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Trading-Related Assets</w:t>
            </w:r>
          </w:p>
        </w:tc>
        <w:tc>
          <w:tcPr>
            <w:tcW w:w="8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Accrued Interest Receivable</w:t>
            </w:r>
          </w:p>
        </w:tc>
        <w:tc>
          <w:tcPr>
            <w:tcW w:w="80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w:t>
            </w:r>
          </w:p>
        </w:tc>
        <w:tc>
          <w:tcPr>
            <w:tcW w:w="0" w:type="dxa"/>
            <w:vAlign w:val="bottom"/>
          </w:tcPr>
          <w:p>
            <w:pPr>
              <w:spacing w:after="0"/>
              <w:rPr>
                <w:sz w:val="1"/>
                <w:szCs w:val="1"/>
                <w:color w:val="auto"/>
              </w:rPr>
            </w:pPr>
          </w:p>
        </w:tc>
      </w:tr>
      <w:tr>
        <w:trPr>
          <w:trHeight w:val="168"/>
        </w:trPr>
        <w:tc>
          <w:tcPr>
            <w:tcW w:w="74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Assets</w:t>
            </w:r>
          </w:p>
        </w:tc>
        <w:tc>
          <w:tcPr>
            <w:tcW w:w="8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(2,959)</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(1,829)</w:t>
            </w:r>
          </w:p>
        </w:tc>
        <w:tc>
          <w:tcPr>
            <w:tcW w:w="0" w:type="dxa"/>
            <w:vAlign w:val="bottom"/>
          </w:tcPr>
          <w:p>
            <w:pPr>
              <w:spacing w:after="0"/>
              <w:rPr>
                <w:sz w:val="1"/>
                <w:szCs w:val="1"/>
                <w:color w:val="auto"/>
              </w:rPr>
            </w:pPr>
          </w:p>
        </w:tc>
      </w:tr>
      <w:tr>
        <w:trPr>
          <w:trHeight w:val="168"/>
        </w:trPr>
        <w:tc>
          <w:tcPr>
            <w:tcW w:w="74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Trading-Related Liabilities</w:t>
            </w:r>
          </w:p>
        </w:tc>
        <w:tc>
          <w:tcPr>
            <w:tcW w:w="8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(197)</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7,235</w:t>
            </w:r>
          </w:p>
        </w:tc>
        <w:tc>
          <w:tcPr>
            <w:tcW w:w="0" w:type="dxa"/>
            <w:vAlign w:val="bottom"/>
          </w:tcPr>
          <w:p>
            <w:pPr>
              <w:spacing w:after="0"/>
              <w:rPr>
                <w:sz w:val="1"/>
                <w:szCs w:val="1"/>
                <w:color w:val="auto"/>
              </w:rPr>
            </w:pPr>
          </w:p>
        </w:tc>
      </w:tr>
      <w:tr>
        <w:trPr>
          <w:trHeight w:val="168"/>
        </w:trPr>
        <w:tc>
          <w:tcPr>
            <w:tcW w:w="74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Accrued Interest Payable</w:t>
            </w:r>
          </w:p>
        </w:tc>
        <w:tc>
          <w:tcPr>
            <w:tcW w:w="8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(152)</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w:t>
            </w:r>
          </w:p>
        </w:tc>
        <w:tc>
          <w:tcPr>
            <w:tcW w:w="0" w:type="dxa"/>
            <w:vAlign w:val="bottom"/>
          </w:tcPr>
          <w:p>
            <w:pPr>
              <w:spacing w:after="0"/>
              <w:rPr>
                <w:sz w:val="1"/>
                <w:szCs w:val="1"/>
                <w:color w:val="auto"/>
              </w:rPr>
            </w:pPr>
          </w:p>
        </w:tc>
      </w:tr>
      <w:tr>
        <w:trPr>
          <w:trHeight w:val="168"/>
        </w:trPr>
        <w:tc>
          <w:tcPr>
            <w:tcW w:w="74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8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(1,527)</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(708)</w:t>
            </w:r>
          </w:p>
        </w:tc>
        <w:tc>
          <w:tcPr>
            <w:tcW w:w="0" w:type="dxa"/>
            <w:vAlign w:val="bottom"/>
          </w:tcPr>
          <w:p>
            <w:pPr>
              <w:spacing w:after="0"/>
              <w:rPr>
                <w:sz w:val="1"/>
                <w:szCs w:val="1"/>
                <w:color w:val="auto"/>
              </w:rPr>
            </w:pPr>
          </w:p>
        </w:tc>
      </w:tr>
      <w:tr>
        <w:trPr>
          <w:trHeight w:val="168"/>
        </w:trPr>
        <w:tc>
          <w:tcPr>
            <w:tcW w:w="74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Net</w:t>
            </w:r>
          </w:p>
        </w:tc>
        <w:tc>
          <w:tcPr>
            <w:tcW w:w="80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216</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(409)</w:t>
            </w:r>
          </w:p>
        </w:tc>
        <w:tc>
          <w:tcPr>
            <w:tcW w:w="0" w:type="dxa"/>
            <w:vAlign w:val="bottom"/>
          </w:tcPr>
          <w:p>
            <w:pPr>
              <w:spacing w:after="0"/>
              <w:rPr>
                <w:sz w:val="1"/>
                <w:szCs w:val="1"/>
                <w:color w:val="auto"/>
              </w:rPr>
            </w:pPr>
          </w:p>
        </w:tc>
      </w:tr>
      <w:tr>
        <w:trPr>
          <w:trHeight w:val="168"/>
        </w:trPr>
        <w:tc>
          <w:tcPr>
            <w:tcW w:w="744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8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44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308</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4,085</w:t>
            </w:r>
          </w:p>
        </w:tc>
        <w:tc>
          <w:tcPr>
            <w:tcW w:w="0" w:type="dxa"/>
            <w:vAlign w:val="bottom"/>
          </w:tcPr>
          <w:p>
            <w:pPr>
              <w:spacing w:after="0"/>
              <w:rPr>
                <w:sz w:val="1"/>
                <w:szCs w:val="1"/>
                <w:color w:val="auto"/>
              </w:rPr>
            </w:pPr>
          </w:p>
        </w:tc>
      </w:tr>
      <w:tr>
        <w:trPr>
          <w:trHeight w:val="245"/>
        </w:trPr>
        <w:tc>
          <w:tcPr>
            <w:tcW w:w="7440" w:type="dxa"/>
            <w:vAlign w:val="bottom"/>
            <w:vMerge w:val="restart"/>
          </w:tcPr>
          <w:p>
            <w:pPr>
              <w:spacing w:after="0"/>
              <w:rPr>
                <w:sz w:val="20"/>
                <w:szCs w:val="20"/>
                <w:color w:val="auto"/>
              </w:rPr>
            </w:pPr>
            <w:r>
              <w:rPr>
                <w:rFonts w:ascii="Courier New" w:cs="Courier New" w:eastAsia="Courier New" w:hAnsi="Courier New"/>
                <w:sz w:val="15"/>
                <w:szCs w:val="15"/>
                <w:color w:val="auto"/>
              </w:rPr>
              <w:t>Investing Activities</w:t>
            </w:r>
          </w:p>
        </w:tc>
        <w:tc>
          <w:tcPr>
            <w:tcW w:w="18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74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74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Change In:</w:t>
            </w:r>
          </w:p>
        </w:tc>
        <w:tc>
          <w:tcPr>
            <w:tcW w:w="800" w:type="dxa"/>
            <w:vAlign w:val="bottom"/>
          </w:tcPr>
          <w:p>
            <w:pPr>
              <w:spacing w:after="0"/>
              <w:rPr>
                <w:sz w:val="14"/>
                <w:szCs w:val="14"/>
                <w:color w:val="auto"/>
              </w:rPr>
            </w:pPr>
          </w:p>
        </w:tc>
        <w:tc>
          <w:tcPr>
            <w:tcW w:w="10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2,663</w:t>
            </w:r>
          </w:p>
        </w:tc>
        <w:tc>
          <w:tcPr>
            <w:tcW w:w="480" w:type="dxa"/>
            <w:vAlign w:val="bottom"/>
          </w:tcPr>
          <w:p>
            <w:pPr>
              <w:spacing w:after="0"/>
              <w:rPr>
                <w:sz w:val="14"/>
                <w:szCs w:val="14"/>
                <w:color w:val="auto"/>
              </w:rPr>
            </w:pP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2,914</w:t>
            </w:r>
          </w:p>
        </w:tc>
        <w:tc>
          <w:tcPr>
            <w:tcW w:w="0" w:type="dxa"/>
            <w:vAlign w:val="bottom"/>
          </w:tcPr>
          <w:p>
            <w:pPr>
              <w:spacing w:after="0"/>
              <w:rPr>
                <w:sz w:val="1"/>
                <w:szCs w:val="1"/>
                <w:color w:val="auto"/>
              </w:rPr>
            </w:pPr>
          </w:p>
        </w:tc>
      </w:tr>
      <w:tr>
        <w:trPr>
          <w:trHeight w:val="168"/>
        </w:trPr>
        <w:tc>
          <w:tcPr>
            <w:tcW w:w="74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Deposits with Banks</w:t>
            </w:r>
          </w:p>
        </w:tc>
        <w:tc>
          <w:tcPr>
            <w:tcW w:w="8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Federal Funds Sold and Securities Purchased Under Resale Agreements</w:t>
            </w:r>
          </w:p>
        </w:tc>
        <w:tc>
          <w:tcPr>
            <w:tcW w:w="8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(14,354)</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(1,528)</w:t>
            </w:r>
          </w:p>
        </w:tc>
        <w:tc>
          <w:tcPr>
            <w:tcW w:w="0" w:type="dxa"/>
            <w:vAlign w:val="bottom"/>
          </w:tcPr>
          <w:p>
            <w:pPr>
              <w:spacing w:after="0"/>
              <w:rPr>
                <w:sz w:val="1"/>
                <w:szCs w:val="1"/>
                <w:color w:val="auto"/>
              </w:rPr>
            </w:pPr>
          </w:p>
        </w:tc>
      </w:tr>
      <w:tr>
        <w:trPr>
          <w:trHeight w:val="168"/>
        </w:trPr>
        <w:tc>
          <w:tcPr>
            <w:tcW w:w="74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Loans Due to Sales and Securitizations</w:t>
            </w:r>
          </w:p>
        </w:tc>
        <w:tc>
          <w:tcPr>
            <w:tcW w:w="80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20,976</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12,749</w:t>
            </w:r>
          </w:p>
        </w:tc>
        <w:tc>
          <w:tcPr>
            <w:tcW w:w="0" w:type="dxa"/>
            <w:vAlign w:val="bottom"/>
          </w:tcPr>
          <w:p>
            <w:pPr>
              <w:spacing w:after="0"/>
              <w:rPr>
                <w:sz w:val="1"/>
                <w:szCs w:val="1"/>
                <w:color w:val="auto"/>
              </w:rPr>
            </w:pPr>
          </w:p>
        </w:tc>
      </w:tr>
      <w:tr>
        <w:trPr>
          <w:trHeight w:val="168"/>
        </w:trPr>
        <w:tc>
          <w:tcPr>
            <w:tcW w:w="74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Loans, Net</w:t>
            </w:r>
          </w:p>
        </w:tc>
        <w:tc>
          <w:tcPr>
            <w:tcW w:w="8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(22,288)</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(19,443)</w:t>
            </w:r>
          </w:p>
        </w:tc>
        <w:tc>
          <w:tcPr>
            <w:tcW w:w="0" w:type="dxa"/>
            <w:vAlign w:val="bottom"/>
          </w:tcPr>
          <w:p>
            <w:pPr>
              <w:spacing w:after="0"/>
              <w:rPr>
                <w:sz w:val="1"/>
                <w:szCs w:val="1"/>
                <w:color w:val="auto"/>
              </w:rPr>
            </w:pPr>
          </w:p>
        </w:tc>
      </w:tr>
      <w:tr>
        <w:trPr>
          <w:trHeight w:val="168"/>
        </w:trPr>
        <w:tc>
          <w:tcPr>
            <w:tcW w:w="74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Net</w:t>
            </w:r>
          </w:p>
        </w:tc>
        <w:tc>
          <w:tcPr>
            <w:tcW w:w="8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(429)</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(488)</w:t>
            </w:r>
          </w:p>
        </w:tc>
        <w:tc>
          <w:tcPr>
            <w:tcW w:w="0" w:type="dxa"/>
            <w:vAlign w:val="bottom"/>
          </w:tcPr>
          <w:p>
            <w:pPr>
              <w:spacing w:after="0"/>
              <w:rPr>
                <w:sz w:val="1"/>
                <w:szCs w:val="1"/>
                <w:color w:val="auto"/>
              </w:rPr>
            </w:pPr>
          </w:p>
        </w:tc>
      </w:tr>
      <w:tr>
        <w:trPr>
          <w:trHeight w:val="168"/>
        </w:trPr>
        <w:tc>
          <w:tcPr>
            <w:tcW w:w="744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the Maturity of Held-to-Maturity Securities</w:t>
            </w:r>
          </w:p>
        </w:tc>
        <w:tc>
          <w:tcPr>
            <w:tcW w:w="80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613</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1,030</w:t>
            </w:r>
          </w:p>
        </w:tc>
        <w:tc>
          <w:tcPr>
            <w:tcW w:w="0" w:type="dxa"/>
            <w:vAlign w:val="bottom"/>
          </w:tcPr>
          <w:p>
            <w:pPr>
              <w:spacing w:after="0"/>
              <w:rPr>
                <w:sz w:val="1"/>
                <w:szCs w:val="1"/>
                <w:color w:val="auto"/>
              </w:rPr>
            </w:pPr>
          </w:p>
        </w:tc>
      </w:tr>
      <w:tr>
        <w:trPr>
          <w:trHeight w:val="168"/>
        </w:trPr>
        <w:tc>
          <w:tcPr>
            <w:tcW w:w="744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Purchases of Held-to-Maturity Securities</w:t>
            </w:r>
          </w:p>
        </w:tc>
        <w:tc>
          <w:tcPr>
            <w:tcW w:w="8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(112)</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(629)</w:t>
            </w:r>
          </w:p>
        </w:tc>
        <w:tc>
          <w:tcPr>
            <w:tcW w:w="0" w:type="dxa"/>
            <w:vAlign w:val="bottom"/>
          </w:tcPr>
          <w:p>
            <w:pPr>
              <w:spacing w:after="0"/>
              <w:rPr>
                <w:sz w:val="1"/>
                <w:szCs w:val="1"/>
                <w:color w:val="auto"/>
              </w:rPr>
            </w:pPr>
          </w:p>
        </w:tc>
      </w:tr>
      <w:tr>
        <w:trPr>
          <w:trHeight w:val="168"/>
        </w:trPr>
        <w:tc>
          <w:tcPr>
            <w:tcW w:w="744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the Maturity of Available-for-Sale Securities</w:t>
            </w:r>
          </w:p>
        </w:tc>
        <w:tc>
          <w:tcPr>
            <w:tcW w:w="80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5,826</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3,461</w:t>
            </w:r>
          </w:p>
        </w:tc>
        <w:tc>
          <w:tcPr>
            <w:tcW w:w="0" w:type="dxa"/>
            <w:vAlign w:val="bottom"/>
          </w:tcPr>
          <w:p>
            <w:pPr>
              <w:spacing w:after="0"/>
              <w:rPr>
                <w:sz w:val="1"/>
                <w:szCs w:val="1"/>
                <w:color w:val="auto"/>
              </w:rPr>
            </w:pPr>
          </w:p>
        </w:tc>
      </w:tr>
      <w:tr>
        <w:trPr>
          <w:trHeight w:val="168"/>
        </w:trPr>
        <w:tc>
          <w:tcPr>
            <w:tcW w:w="744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the Sale of Available-for-Sale Securities</w:t>
            </w:r>
          </w:p>
        </w:tc>
        <w:tc>
          <w:tcPr>
            <w:tcW w:w="80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22,575</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26,452</w:t>
            </w:r>
          </w:p>
        </w:tc>
        <w:tc>
          <w:tcPr>
            <w:tcW w:w="0" w:type="dxa"/>
            <w:vAlign w:val="bottom"/>
          </w:tcPr>
          <w:p>
            <w:pPr>
              <w:spacing w:after="0"/>
              <w:rPr>
                <w:sz w:val="1"/>
                <w:szCs w:val="1"/>
                <w:color w:val="auto"/>
              </w:rPr>
            </w:pPr>
          </w:p>
        </w:tc>
      </w:tr>
      <w:tr>
        <w:trPr>
          <w:trHeight w:val="168"/>
        </w:trPr>
        <w:tc>
          <w:tcPr>
            <w:tcW w:w="744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Purchases of Available-for-Sale Securities</w:t>
            </w:r>
          </w:p>
        </w:tc>
        <w:tc>
          <w:tcPr>
            <w:tcW w:w="8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(29,771)</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(30,460)</w:t>
            </w:r>
          </w:p>
        </w:tc>
        <w:tc>
          <w:tcPr>
            <w:tcW w:w="0" w:type="dxa"/>
            <w:vAlign w:val="bottom"/>
          </w:tcPr>
          <w:p>
            <w:pPr>
              <w:spacing w:after="0"/>
              <w:rPr>
                <w:sz w:val="1"/>
                <w:szCs w:val="1"/>
                <w:color w:val="auto"/>
              </w:rPr>
            </w:pPr>
          </w:p>
        </w:tc>
      </w:tr>
      <w:tr>
        <w:trPr>
          <w:trHeight w:val="168"/>
        </w:trPr>
        <w:tc>
          <w:tcPr>
            <w:tcW w:w="744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Used by Investing Activities</w:t>
            </w:r>
          </w:p>
        </w:tc>
        <w:tc>
          <w:tcPr>
            <w:tcW w:w="18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44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(14,301)</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(5,942)</w:t>
            </w:r>
          </w:p>
        </w:tc>
        <w:tc>
          <w:tcPr>
            <w:tcW w:w="0" w:type="dxa"/>
            <w:vAlign w:val="bottom"/>
          </w:tcPr>
          <w:p>
            <w:pPr>
              <w:spacing w:after="0"/>
              <w:rPr>
                <w:sz w:val="1"/>
                <w:szCs w:val="1"/>
                <w:color w:val="auto"/>
              </w:rPr>
            </w:pPr>
          </w:p>
        </w:tc>
      </w:tr>
      <w:tr>
        <w:trPr>
          <w:trHeight w:val="245"/>
        </w:trPr>
        <w:tc>
          <w:tcPr>
            <w:tcW w:w="7440" w:type="dxa"/>
            <w:vAlign w:val="bottom"/>
            <w:vMerge w:val="restart"/>
          </w:tcPr>
          <w:p>
            <w:pPr>
              <w:spacing w:after="0"/>
              <w:rPr>
                <w:sz w:val="20"/>
                <w:szCs w:val="20"/>
                <w:color w:val="auto"/>
              </w:rPr>
            </w:pPr>
            <w:r>
              <w:rPr>
                <w:rFonts w:ascii="Courier New" w:cs="Courier New" w:eastAsia="Courier New" w:hAnsi="Courier New"/>
                <w:sz w:val="15"/>
                <w:szCs w:val="15"/>
                <w:color w:val="auto"/>
              </w:rPr>
              <w:t>Financing Activities</w:t>
            </w:r>
          </w:p>
        </w:tc>
        <w:tc>
          <w:tcPr>
            <w:tcW w:w="18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74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74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Change In:</w:t>
            </w:r>
          </w:p>
        </w:tc>
        <w:tc>
          <w:tcPr>
            <w:tcW w:w="800" w:type="dxa"/>
            <w:vAlign w:val="bottom"/>
          </w:tcPr>
          <w:p>
            <w:pPr>
              <w:spacing w:after="0"/>
              <w:rPr>
                <w:sz w:val="14"/>
                <w:szCs w:val="14"/>
                <w:color w:val="auto"/>
              </w:rPr>
            </w:pPr>
          </w:p>
        </w:tc>
        <w:tc>
          <w:tcPr>
            <w:tcW w:w="108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(1,140)</w:t>
            </w:r>
          </w:p>
        </w:tc>
        <w:tc>
          <w:tcPr>
            <w:tcW w:w="4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(709)</w:t>
            </w:r>
          </w:p>
        </w:tc>
        <w:tc>
          <w:tcPr>
            <w:tcW w:w="0" w:type="dxa"/>
            <w:vAlign w:val="bottom"/>
          </w:tcPr>
          <w:p>
            <w:pPr>
              <w:spacing w:after="0"/>
              <w:rPr>
                <w:sz w:val="1"/>
                <w:szCs w:val="1"/>
                <w:color w:val="auto"/>
              </w:rPr>
            </w:pPr>
          </w:p>
        </w:tc>
      </w:tr>
      <w:tr>
        <w:trPr>
          <w:trHeight w:val="168"/>
        </w:trPr>
        <w:tc>
          <w:tcPr>
            <w:tcW w:w="74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Noninterest-Bearing Domestic Demand Deposits</w:t>
            </w:r>
          </w:p>
        </w:tc>
        <w:tc>
          <w:tcPr>
            <w:tcW w:w="8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Domestic Time and Savings Deposits</w:t>
            </w:r>
          </w:p>
        </w:tc>
        <w:tc>
          <w:tcPr>
            <w:tcW w:w="80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3,728</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(1,306)</w:t>
            </w:r>
          </w:p>
        </w:tc>
        <w:tc>
          <w:tcPr>
            <w:tcW w:w="0" w:type="dxa"/>
            <w:vAlign w:val="bottom"/>
          </w:tcPr>
          <w:p>
            <w:pPr>
              <w:spacing w:after="0"/>
              <w:rPr>
                <w:sz w:val="1"/>
                <w:szCs w:val="1"/>
                <w:color w:val="auto"/>
              </w:rPr>
            </w:pPr>
          </w:p>
        </w:tc>
      </w:tr>
      <w:tr>
        <w:trPr>
          <w:trHeight w:val="168"/>
        </w:trPr>
        <w:tc>
          <w:tcPr>
            <w:tcW w:w="74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Foreign Deposits</w:t>
            </w:r>
          </w:p>
        </w:tc>
        <w:tc>
          <w:tcPr>
            <w:tcW w:w="8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(5,779)</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(1,276)</w:t>
            </w:r>
          </w:p>
        </w:tc>
        <w:tc>
          <w:tcPr>
            <w:tcW w:w="0" w:type="dxa"/>
            <w:vAlign w:val="bottom"/>
          </w:tcPr>
          <w:p>
            <w:pPr>
              <w:spacing w:after="0"/>
              <w:rPr>
                <w:sz w:val="1"/>
                <w:szCs w:val="1"/>
                <w:color w:val="auto"/>
              </w:rPr>
            </w:pPr>
          </w:p>
        </w:tc>
      </w:tr>
      <w:tr>
        <w:trPr>
          <w:trHeight w:val="168"/>
        </w:trPr>
        <w:tc>
          <w:tcPr>
            <w:tcW w:w="74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Federal Funds Purchased and Securities Sold Under Repurchase Agreements</w:t>
            </w:r>
          </w:p>
        </w:tc>
        <w:tc>
          <w:tcPr>
            <w:tcW w:w="80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16,097</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3,665</w:t>
            </w:r>
          </w:p>
        </w:tc>
        <w:tc>
          <w:tcPr>
            <w:tcW w:w="0" w:type="dxa"/>
            <w:vAlign w:val="bottom"/>
          </w:tcPr>
          <w:p>
            <w:pPr>
              <w:spacing w:after="0"/>
              <w:rPr>
                <w:sz w:val="1"/>
                <w:szCs w:val="1"/>
                <w:color w:val="auto"/>
              </w:rPr>
            </w:pPr>
          </w:p>
        </w:tc>
      </w:tr>
      <w:tr>
        <w:trPr>
          <w:trHeight w:val="168"/>
        </w:trPr>
        <w:tc>
          <w:tcPr>
            <w:tcW w:w="74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Borrowed Funds</w:t>
            </w:r>
          </w:p>
        </w:tc>
        <w:tc>
          <w:tcPr>
            <w:tcW w:w="8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(55)</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1,012</w:t>
            </w:r>
          </w:p>
        </w:tc>
        <w:tc>
          <w:tcPr>
            <w:tcW w:w="0" w:type="dxa"/>
            <w:vAlign w:val="bottom"/>
          </w:tcPr>
          <w:p>
            <w:pPr>
              <w:spacing w:after="0"/>
              <w:rPr>
                <w:sz w:val="1"/>
                <w:szCs w:val="1"/>
                <w:color w:val="auto"/>
              </w:rPr>
            </w:pPr>
          </w:p>
        </w:tc>
      </w:tr>
      <w:tr>
        <w:trPr>
          <w:trHeight w:val="168"/>
        </w:trPr>
        <w:tc>
          <w:tcPr>
            <w:tcW w:w="74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Net</w:t>
            </w:r>
          </w:p>
        </w:tc>
        <w:tc>
          <w:tcPr>
            <w:tcW w:w="80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436</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168"/>
        </w:trPr>
        <w:tc>
          <w:tcPr>
            <w:tcW w:w="744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the Issuance of Long-Term Debt</w:t>
            </w:r>
          </w:p>
        </w:tc>
        <w:tc>
          <w:tcPr>
            <w:tcW w:w="80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820</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1,272</w:t>
            </w:r>
          </w:p>
        </w:tc>
        <w:tc>
          <w:tcPr>
            <w:tcW w:w="0" w:type="dxa"/>
            <w:vAlign w:val="bottom"/>
          </w:tcPr>
          <w:p>
            <w:pPr>
              <w:spacing w:after="0"/>
              <w:rPr>
                <w:sz w:val="1"/>
                <w:szCs w:val="1"/>
                <w:color w:val="auto"/>
              </w:rPr>
            </w:pPr>
          </w:p>
        </w:tc>
      </w:tr>
      <w:tr>
        <w:trPr>
          <w:trHeight w:val="168"/>
        </w:trPr>
        <w:tc>
          <w:tcPr>
            <w:tcW w:w="7440" w:type="dxa"/>
            <w:vAlign w:val="bottom"/>
          </w:tcPr>
          <w:p>
            <w:pPr>
              <w:spacing w:after="0" w:line="168" w:lineRule="exact"/>
              <w:rPr>
                <w:sz w:val="20"/>
                <w:szCs w:val="20"/>
                <w:color w:val="auto"/>
              </w:rPr>
            </w:pPr>
            <w:r>
              <w:rPr>
                <w:rFonts w:ascii="Courier New" w:cs="Courier New" w:eastAsia="Courier New" w:hAnsi="Courier New"/>
                <w:sz w:val="15"/>
                <w:szCs w:val="15"/>
                <w:color w:val="auto"/>
              </w:rPr>
              <w:t>Repayments of Long-Term Debt</w:t>
            </w:r>
          </w:p>
        </w:tc>
        <w:tc>
          <w:tcPr>
            <w:tcW w:w="8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(917)</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(1,570)</w:t>
            </w:r>
          </w:p>
        </w:tc>
        <w:tc>
          <w:tcPr>
            <w:tcW w:w="0" w:type="dxa"/>
            <w:vAlign w:val="bottom"/>
          </w:tcPr>
          <w:p>
            <w:pPr>
              <w:spacing w:after="0"/>
              <w:rPr>
                <w:sz w:val="1"/>
                <w:szCs w:val="1"/>
                <w:color w:val="auto"/>
              </w:rPr>
            </w:pPr>
          </w:p>
        </w:tc>
      </w:tr>
      <w:tr>
        <w:trPr>
          <w:trHeight w:val="168"/>
        </w:trPr>
        <w:tc>
          <w:tcPr>
            <w:tcW w:w="744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the Issuance of Stock</w:t>
            </w:r>
          </w:p>
        </w:tc>
        <w:tc>
          <w:tcPr>
            <w:tcW w:w="80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712</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w:t>
            </w:r>
          </w:p>
        </w:tc>
        <w:tc>
          <w:tcPr>
            <w:tcW w:w="0" w:type="dxa"/>
            <w:vAlign w:val="bottom"/>
          </w:tcPr>
          <w:p>
            <w:pPr>
              <w:spacing w:after="0"/>
              <w:rPr>
                <w:sz w:val="1"/>
                <w:szCs w:val="1"/>
                <w:color w:val="auto"/>
              </w:rPr>
            </w:pPr>
          </w:p>
        </w:tc>
      </w:tr>
      <w:tr>
        <w:trPr>
          <w:trHeight w:val="168"/>
        </w:trPr>
        <w:tc>
          <w:tcPr>
            <w:tcW w:w="7440" w:type="dxa"/>
            <w:vAlign w:val="bottom"/>
          </w:tcPr>
          <w:p>
            <w:pPr>
              <w:spacing w:after="0" w:line="168" w:lineRule="exact"/>
              <w:rPr>
                <w:sz w:val="20"/>
                <w:szCs w:val="20"/>
                <w:color w:val="auto"/>
              </w:rPr>
            </w:pPr>
            <w:r>
              <w:rPr>
                <w:rFonts w:ascii="Courier New" w:cs="Courier New" w:eastAsia="Courier New" w:hAnsi="Courier New"/>
                <w:sz w:val="15"/>
                <w:szCs w:val="15"/>
                <w:color w:val="auto"/>
              </w:rPr>
              <w:t>Treasury Stock Purchased</w:t>
            </w:r>
          </w:p>
        </w:tc>
        <w:tc>
          <w:tcPr>
            <w:tcW w:w="8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(882)</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(376)</w:t>
            </w:r>
          </w:p>
        </w:tc>
        <w:tc>
          <w:tcPr>
            <w:tcW w:w="0" w:type="dxa"/>
            <w:vAlign w:val="bottom"/>
          </w:tcPr>
          <w:p>
            <w:pPr>
              <w:spacing w:after="0"/>
              <w:rPr>
                <w:sz w:val="1"/>
                <w:szCs w:val="1"/>
                <w:color w:val="auto"/>
              </w:rPr>
            </w:pPr>
          </w:p>
        </w:tc>
      </w:tr>
      <w:tr>
        <w:trPr>
          <w:trHeight w:val="168"/>
        </w:trPr>
        <w:tc>
          <w:tcPr>
            <w:tcW w:w="74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Dividends Paid</w:t>
            </w:r>
          </w:p>
        </w:tc>
        <w:tc>
          <w:tcPr>
            <w:tcW w:w="8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(532)</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(485)</w:t>
            </w:r>
          </w:p>
        </w:tc>
        <w:tc>
          <w:tcPr>
            <w:tcW w:w="0" w:type="dxa"/>
            <w:vAlign w:val="bottom"/>
          </w:tcPr>
          <w:p>
            <w:pPr>
              <w:spacing w:after="0"/>
              <w:rPr>
                <w:sz w:val="1"/>
                <w:szCs w:val="1"/>
                <w:color w:val="auto"/>
              </w:rPr>
            </w:pPr>
          </w:p>
        </w:tc>
      </w:tr>
      <w:tr>
        <w:trPr>
          <w:trHeight w:val="168"/>
        </w:trPr>
        <w:tc>
          <w:tcPr>
            <w:tcW w:w="744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8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44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12,488</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377</w:t>
            </w:r>
          </w:p>
        </w:tc>
        <w:tc>
          <w:tcPr>
            <w:tcW w:w="0" w:type="dxa"/>
            <w:vAlign w:val="bottom"/>
          </w:tcPr>
          <w:p>
            <w:pPr>
              <w:spacing w:after="0"/>
              <w:rPr>
                <w:sz w:val="1"/>
                <w:szCs w:val="1"/>
                <w:color w:val="auto"/>
              </w:rPr>
            </w:pPr>
          </w:p>
        </w:tc>
      </w:tr>
      <w:tr>
        <w:trPr>
          <w:trHeight w:val="168"/>
        </w:trPr>
        <w:tc>
          <w:tcPr>
            <w:tcW w:w="7440" w:type="dxa"/>
            <w:vAlign w:val="bottom"/>
            <w:vMerge w:val="restart"/>
          </w:tcPr>
          <w:p>
            <w:pPr>
              <w:spacing w:after="0"/>
              <w:rPr>
                <w:sz w:val="20"/>
                <w:szCs w:val="20"/>
                <w:color w:val="auto"/>
              </w:rPr>
            </w:pPr>
            <w:r>
              <w:rPr>
                <w:rFonts w:ascii="Courier New" w:cs="Courier New" w:eastAsia="Courier New" w:hAnsi="Courier New"/>
                <w:sz w:val="15"/>
                <w:szCs w:val="15"/>
                <w:color w:val="auto"/>
              </w:rPr>
              <w:t>Effect of Exchange Rate Changes on Cash and Due from Banks</w:t>
            </w:r>
          </w:p>
        </w:tc>
        <w:tc>
          <w:tcPr>
            <w:tcW w:w="18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44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440" w:type="dxa"/>
            <w:vAlign w:val="bottom"/>
            <w:vMerge w:val="restart"/>
          </w:tcPr>
          <w:p>
            <w:pPr>
              <w:spacing w:after="0"/>
              <w:rPr>
                <w:sz w:val="20"/>
                <w:szCs w:val="20"/>
                <w:color w:val="auto"/>
              </w:rPr>
            </w:pPr>
            <w:r>
              <w:rPr>
                <w:rFonts w:ascii="Courier New" w:cs="Courier New" w:eastAsia="Courier New" w:hAnsi="Courier New"/>
                <w:sz w:val="15"/>
                <w:szCs w:val="15"/>
                <w:color w:val="auto"/>
              </w:rPr>
              <w:t>Net Decrease in Cash and Due from Banks</w:t>
            </w:r>
          </w:p>
        </w:tc>
        <w:tc>
          <w:tcPr>
            <w:tcW w:w="18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44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(1,503)</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(1,480)</w:t>
            </w:r>
          </w:p>
        </w:tc>
        <w:tc>
          <w:tcPr>
            <w:tcW w:w="0" w:type="dxa"/>
            <w:vAlign w:val="bottom"/>
          </w:tcPr>
          <w:p>
            <w:pPr>
              <w:spacing w:after="0"/>
              <w:rPr>
                <w:sz w:val="1"/>
                <w:szCs w:val="1"/>
                <w:color w:val="auto"/>
              </w:rPr>
            </w:pPr>
          </w:p>
        </w:tc>
      </w:tr>
      <w:tr>
        <w:trPr>
          <w:trHeight w:val="168"/>
        </w:trPr>
        <w:tc>
          <w:tcPr>
            <w:tcW w:w="74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Due from Banks at January 1,</w:t>
            </w:r>
          </w:p>
        </w:tc>
        <w:tc>
          <w:tcPr>
            <w:tcW w:w="80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14,794</w:t>
            </w:r>
          </w:p>
        </w:tc>
        <w:tc>
          <w:tcPr>
            <w:tcW w:w="4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13,545</w:t>
            </w:r>
          </w:p>
        </w:tc>
        <w:tc>
          <w:tcPr>
            <w:tcW w:w="0" w:type="dxa"/>
            <w:vAlign w:val="bottom"/>
          </w:tcPr>
          <w:p>
            <w:pPr>
              <w:spacing w:after="0"/>
              <w:rPr>
                <w:sz w:val="1"/>
                <w:szCs w:val="1"/>
                <w:color w:val="auto"/>
              </w:rPr>
            </w:pPr>
          </w:p>
        </w:tc>
      </w:tr>
      <w:tr>
        <w:trPr>
          <w:trHeight w:val="168"/>
        </w:trPr>
        <w:tc>
          <w:tcPr>
            <w:tcW w:w="7440" w:type="dxa"/>
            <w:vAlign w:val="bottom"/>
            <w:vMerge w:val="restart"/>
          </w:tcPr>
          <w:p>
            <w:pPr>
              <w:spacing w:after="0"/>
              <w:rPr>
                <w:sz w:val="20"/>
                <w:szCs w:val="20"/>
                <w:color w:val="auto"/>
              </w:rPr>
            </w:pPr>
            <w:r>
              <w:rPr>
                <w:rFonts w:ascii="Courier New" w:cs="Courier New" w:eastAsia="Courier New" w:hAnsi="Courier New"/>
                <w:sz w:val="15"/>
                <w:szCs w:val="15"/>
                <w:color w:val="auto"/>
              </w:rPr>
              <w:t>Cash and Due from Banks at June 30,</w:t>
            </w:r>
          </w:p>
        </w:tc>
        <w:tc>
          <w:tcPr>
            <w:tcW w:w="18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440" w:type="dxa"/>
            <w:vAlign w:val="bottom"/>
            <w:vMerge w:val="continue"/>
          </w:tcPr>
          <w:p>
            <w:pPr>
              <w:spacing w:after="0"/>
              <w:rPr>
                <w:sz w:val="14"/>
                <w:szCs w:val="14"/>
                <w:color w:val="auto"/>
              </w:rPr>
            </w:pPr>
          </w:p>
        </w:tc>
        <w:tc>
          <w:tcPr>
            <w:tcW w:w="18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$ 13,291</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$ 12,065</w:t>
            </w:r>
          </w:p>
        </w:tc>
        <w:tc>
          <w:tcPr>
            <w:tcW w:w="0" w:type="dxa"/>
            <w:vAlign w:val="bottom"/>
          </w:tcPr>
          <w:p>
            <w:pPr>
              <w:spacing w:after="0"/>
              <w:rPr>
                <w:sz w:val="1"/>
                <w:szCs w:val="1"/>
                <w:color w:val="auto"/>
              </w:rPr>
            </w:pPr>
          </w:p>
        </w:tc>
      </w:tr>
      <w:tr>
        <w:trPr>
          <w:trHeight w:val="168"/>
        </w:trPr>
        <w:tc>
          <w:tcPr>
            <w:tcW w:w="7440" w:type="dxa"/>
            <w:vAlign w:val="bottom"/>
            <w:vMerge w:val="restart"/>
          </w:tcPr>
          <w:p>
            <w:pPr>
              <w:spacing w:after="0"/>
              <w:rPr>
                <w:sz w:val="20"/>
                <w:szCs w:val="20"/>
                <w:color w:val="auto"/>
              </w:rPr>
            </w:pPr>
            <w:r>
              <w:rPr>
                <w:rFonts w:ascii="Courier New" w:cs="Courier New" w:eastAsia="Courier New" w:hAnsi="Courier New"/>
                <w:sz w:val="15"/>
                <w:szCs w:val="15"/>
                <w:color w:val="auto"/>
              </w:rPr>
              <w:t>Cash Interest Paid</w:t>
            </w:r>
          </w:p>
        </w:tc>
        <w:tc>
          <w:tcPr>
            <w:tcW w:w="18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440" w:type="dxa"/>
            <w:vAlign w:val="bottom"/>
            <w:vMerge w:val="continue"/>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5,815</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5,368</w:t>
            </w:r>
          </w:p>
        </w:tc>
        <w:tc>
          <w:tcPr>
            <w:tcW w:w="0" w:type="dxa"/>
            <w:vAlign w:val="bottom"/>
          </w:tcPr>
          <w:p>
            <w:pPr>
              <w:spacing w:after="0"/>
              <w:rPr>
                <w:sz w:val="1"/>
                <w:szCs w:val="1"/>
                <w:color w:val="auto"/>
              </w:rPr>
            </w:pPr>
          </w:p>
        </w:tc>
      </w:tr>
      <w:tr>
        <w:trPr>
          <w:trHeight w:val="168"/>
        </w:trPr>
        <w:tc>
          <w:tcPr>
            <w:tcW w:w="7440" w:type="dxa"/>
            <w:vAlign w:val="bottom"/>
            <w:vMerge w:val="restart"/>
          </w:tcPr>
          <w:p>
            <w:pPr>
              <w:spacing w:after="0"/>
              <w:rPr>
                <w:sz w:val="20"/>
                <w:szCs w:val="20"/>
                <w:color w:val="auto"/>
              </w:rPr>
            </w:pPr>
            <w:r>
              <w:rPr>
                <w:rFonts w:ascii="Courier New" w:cs="Courier New" w:eastAsia="Courier New" w:hAnsi="Courier New"/>
                <w:sz w:val="15"/>
                <w:szCs w:val="15"/>
                <w:color w:val="auto"/>
              </w:rPr>
              <w:t>Taxes Paid</w:t>
            </w:r>
          </w:p>
        </w:tc>
        <w:tc>
          <w:tcPr>
            <w:tcW w:w="18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440" w:type="dxa"/>
            <w:vAlign w:val="bottom"/>
            <w:vMerge w:val="continue"/>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915</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771</w:t>
            </w:r>
          </w:p>
        </w:tc>
        <w:tc>
          <w:tcPr>
            <w:tcW w:w="0" w:type="dxa"/>
            <w:vAlign w:val="bottom"/>
          </w:tcPr>
          <w:p>
            <w:pPr>
              <w:spacing w:after="0"/>
              <w:rPr>
                <w:sz w:val="1"/>
                <w:szCs w:val="1"/>
                <w:color w:val="auto"/>
              </w:rPr>
            </w:pPr>
          </w:p>
        </w:tc>
      </w:tr>
      <w:tr>
        <w:trPr>
          <w:trHeight w:val="245"/>
        </w:trPr>
        <w:tc>
          <w:tcPr>
            <w:tcW w:w="7440" w:type="dxa"/>
            <w:vAlign w:val="bottom"/>
          </w:tcPr>
          <w:p>
            <w:pPr>
              <w:spacing w:after="0"/>
              <w:rPr>
                <w:sz w:val="21"/>
                <w:szCs w:val="21"/>
                <w:color w:val="auto"/>
              </w:rPr>
            </w:pPr>
          </w:p>
        </w:tc>
        <w:tc>
          <w:tcPr>
            <w:tcW w:w="18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Notes to Financial Statements are an integral part of these Statements.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500"/>
          </w:cols>
          <w:pgMar w:left="220" w:top="934" w:right="1179" w:bottom="1440" w:gutter="0" w:footer="0" w:header="0"/>
        </w:sectPr>
      </w:pPr>
    </w:p>
    <w:bookmarkStart w:id="7" w:name="page8"/>
    <w:bookmarkEnd w:id="7"/>
    <w:p>
      <w:pPr>
        <w:ind w:left="2280"/>
        <w:spacing w:after="0"/>
        <w:rPr>
          <w:sz w:val="20"/>
          <w:szCs w:val="20"/>
          <w:color w:val="auto"/>
        </w:rPr>
      </w:pPr>
      <w:r>
        <w:rPr>
          <w:rFonts w:ascii="Courier New" w:cs="Courier New" w:eastAsia="Courier New" w:hAnsi="Courier New"/>
          <w:sz w:val="15"/>
          <w:szCs w:val="15"/>
          <w:color w:val="auto"/>
        </w:rPr>
        <w:t>NOTES TO FINANCIAL STATEMENTS</w:t>
      </w:r>
    </w:p>
    <w:p>
      <w:pPr>
        <w:spacing w:after="0" w:line="24"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BASIS OF PRESENTATION</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jc w:val="both"/>
        <w:ind w:right="3239"/>
        <w:spacing w:after="0" w:line="251" w:lineRule="auto"/>
        <w:rPr>
          <w:sz w:val="20"/>
          <w:szCs w:val="20"/>
          <w:color w:val="auto"/>
        </w:rPr>
      </w:pPr>
      <w:r>
        <w:rPr>
          <w:rFonts w:ascii="Courier New" w:cs="Courier New" w:eastAsia="Courier New" w:hAnsi="Courier New"/>
          <w:sz w:val="15"/>
          <w:szCs w:val="15"/>
          <w:color w:val="auto"/>
        </w:rPr>
        <w:t>The unaudited financial statements of The Chase Manhattan Corporation and subsidiaries are prepared in accordance with generally accepted accounting principles for interim financial information. In the opinion of management, all adjustments (consisting only of normal recurring adjustments) necessary for a fair presentation of the financial position and the results of operations for the interim periods presented have been included.</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MERGER BETWEEN CHASE AND CHEMICAL</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jc w:val="both"/>
        <w:ind w:right="3239"/>
        <w:spacing w:after="0" w:line="249" w:lineRule="auto"/>
        <w:rPr>
          <w:sz w:val="20"/>
          <w:szCs w:val="20"/>
          <w:color w:val="auto"/>
        </w:rPr>
      </w:pPr>
      <w:r>
        <w:rPr>
          <w:rFonts w:ascii="Courier New" w:cs="Courier New" w:eastAsia="Courier New" w:hAnsi="Courier New"/>
          <w:sz w:val="15"/>
          <w:szCs w:val="15"/>
          <w:color w:val="auto"/>
        </w:rPr>
        <w:t>On March 31, 1996, The Chase Manhattan Corporation ("Chase") merged with and into Chemical Banking Corporation ("Chemical"). Upon consummation of the merger, Chemical changed its name to "The Chase Manhattan Corporation" (the "Corporation"). The merger was accounted for as a pooling-of-interests and, accordingly, the information included in the financial statements presents the combined results of Chase and Chemical as if the merger had been in effect for all periods presented.</w:t>
      </w:r>
    </w:p>
    <w:p>
      <w:pPr>
        <w:spacing w:after="0" w:line="86" w:lineRule="exact"/>
        <w:rPr>
          <w:sz w:val="20"/>
          <w:szCs w:val="20"/>
          <w:color w:val="auto"/>
        </w:rPr>
      </w:pPr>
    </w:p>
    <w:p>
      <w:pPr>
        <w:jc w:val="both"/>
        <w:ind w:right="3239"/>
        <w:spacing w:after="0" w:line="244" w:lineRule="auto"/>
        <w:rPr>
          <w:sz w:val="20"/>
          <w:szCs w:val="20"/>
          <w:color w:val="auto"/>
        </w:rPr>
      </w:pPr>
      <w:r>
        <w:rPr>
          <w:rFonts w:ascii="Courier New" w:cs="Courier New" w:eastAsia="Courier New" w:hAnsi="Courier New"/>
          <w:sz w:val="15"/>
          <w:szCs w:val="15"/>
          <w:color w:val="auto"/>
        </w:rPr>
        <w:t>In connection with the merger, $1.9 billion of one-time merger-related costs have been identified, of which $1.65 billion was taken as a restructuring charge on March 31, 1996. In addition, $28 million of merger-related expenses have been incurred ($6 million in the first quarter and $22 million in the second quarter) and included in the restructuring charge and expenses caption in the income statement. The estimated remaining one-time merger-related expenses of $222 million will be incurred substantially over the next two years as these costs do not qualify for immediate recognition under an existing accounting pronouncement. These remaining costs will be reflected in the restructuring charge and expenses caption when incurred. The $1.9 billion of merger-related costs reflects severance and other termination-related costs to be incurred in connection with anticipated staff reductions (approximately $600 million), costs in connection with planned dispositions of certain facilities, premises and equipment (approximately $700 million), and other merger-related expenses, including costs to eliminate redundant back office and other operations of Chemical and Chase and other expenses related directly to the merger (approximately $600 million).</w:t>
      </w:r>
    </w:p>
    <w:p>
      <w:pPr>
        <w:spacing w:after="0" w:line="91"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5"/>
          <w:szCs w:val="15"/>
          <w:color w:val="auto"/>
        </w:rPr>
        <w:t>At June 30, 1996, the reserve balance associated with the above $1.65 billion restructuring charge was approximately $1,414 million, of which $448 million related to severance and other termination-related costs, $695 million related to the disposition of certain facilities and premises and equipment, and $271 million related to other merger costs, including costs to eliminate redundant back office and other operations.</w:t>
      </w:r>
    </w:p>
    <w:p>
      <w:pPr>
        <w:spacing w:after="0" w:line="81" w:lineRule="exact"/>
        <w:rPr>
          <w:sz w:val="20"/>
          <w:szCs w:val="20"/>
          <w:color w:val="auto"/>
        </w:rPr>
      </w:pPr>
    </w:p>
    <w:p>
      <w:pPr>
        <w:ind w:right="3239"/>
        <w:spacing w:after="0" w:line="290" w:lineRule="auto"/>
        <w:rPr>
          <w:sz w:val="20"/>
          <w:szCs w:val="20"/>
          <w:color w:val="auto"/>
        </w:rPr>
      </w:pPr>
      <w:r>
        <w:rPr>
          <w:rFonts w:ascii="Courier New" w:cs="Courier New" w:eastAsia="Courier New" w:hAnsi="Courier New"/>
          <w:sz w:val="15"/>
          <w:szCs w:val="15"/>
          <w:color w:val="auto"/>
        </w:rPr>
        <w:t>Under the terms of the merger agreement, all 18.6 million shares of Chase's treasury stock amounting to $1,010 million at March 31, 1996, were cancelled and retired.</w:t>
      </w:r>
    </w:p>
    <w:p>
      <w:pPr>
        <w:spacing w:after="0" w:line="57" w:lineRule="exact"/>
        <w:rPr>
          <w:sz w:val="20"/>
          <w:szCs w:val="20"/>
          <w:color w:val="auto"/>
        </w:rPr>
      </w:pPr>
    </w:p>
    <w:p>
      <w:pPr>
        <w:jc w:val="both"/>
        <w:ind w:right="3579"/>
        <w:spacing w:after="0" w:line="273" w:lineRule="auto"/>
        <w:rPr>
          <w:sz w:val="20"/>
          <w:szCs w:val="20"/>
          <w:color w:val="auto"/>
        </w:rPr>
      </w:pPr>
      <w:r>
        <w:rPr>
          <w:rFonts w:ascii="Courier New" w:cs="Courier New" w:eastAsia="Courier New" w:hAnsi="Courier New"/>
          <w:sz w:val="15"/>
          <w:szCs w:val="15"/>
          <w:color w:val="auto"/>
        </w:rPr>
        <w:t>On July 14, 1996, in connection with the merger of the Corporation discussed above, The Chase Manhattan Bank, N.A., a national bank, merged with and into Chemical Bank, a New York State bank, and Chemical Bank changed its name to "The Chase Manhattan Bank".</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TREASURY STOCK</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jc w:val="both"/>
        <w:ind w:right="3239"/>
        <w:spacing w:after="0" w:line="260" w:lineRule="auto"/>
        <w:rPr>
          <w:sz w:val="20"/>
          <w:szCs w:val="20"/>
          <w:color w:val="auto"/>
        </w:rPr>
      </w:pPr>
      <w:r>
        <w:rPr>
          <w:rFonts w:ascii="Courier New" w:cs="Courier New" w:eastAsia="Courier New" w:hAnsi="Courier New"/>
          <w:sz w:val="15"/>
          <w:szCs w:val="15"/>
          <w:color w:val="auto"/>
        </w:rPr>
        <w:t>The Corporation has revised its previously announced buy-back program to terminate at September 30, 1996 and to provide that purchases of shares of common stock of the Corporation under the plan to such date would be in accordance with the pooling-of-interests accounting rules.</w:t>
      </w:r>
    </w:p>
    <w:p>
      <w:pPr>
        <w:spacing w:after="0" w:line="79" w:lineRule="exact"/>
        <w:rPr>
          <w:sz w:val="20"/>
          <w:szCs w:val="20"/>
          <w:color w:val="auto"/>
        </w:rPr>
      </w:pPr>
    </w:p>
    <w:p>
      <w:pPr>
        <w:ind w:right="3239"/>
        <w:spacing w:after="0" w:line="280" w:lineRule="auto"/>
        <w:rPr>
          <w:sz w:val="20"/>
          <w:szCs w:val="20"/>
          <w:color w:val="auto"/>
        </w:rPr>
      </w:pPr>
      <w:r>
        <w:rPr>
          <w:rFonts w:ascii="Courier New" w:cs="Courier New" w:eastAsia="Courier New" w:hAnsi="Courier New"/>
          <w:sz w:val="14"/>
          <w:szCs w:val="14"/>
          <w:color w:val="auto"/>
        </w:rPr>
        <w:t>During the first six months of 1996, the Corporation issued 15.7 million shares of common stock and repurchased approximately 13.5 million shares of its outstanding common stock in the open market. These repurchases were largely undertaken to meet the anticipated needs of the Corporation's employee stock option and incentive plans in accordance with pooling-of-interests accounting rules and in compliance with newly issued Staff Accounting Bulletin No. 96.</w:t>
      </w:r>
    </w:p>
    <w:p>
      <w:pPr>
        <w:spacing w:after="0" w:line="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429"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NOTE</w:t>
            </w:r>
          </w:p>
        </w:tc>
        <w:tc>
          <w:tcPr>
            <w:tcW w:w="2280" w:type="dxa"/>
            <w:vAlign w:val="bottom"/>
            <w:gridSpan w:val="5"/>
          </w:tcPr>
          <w:p>
            <w:pPr>
              <w:spacing w:after="0"/>
              <w:rPr>
                <w:sz w:val="20"/>
                <w:szCs w:val="20"/>
                <w:color w:val="auto"/>
              </w:rPr>
            </w:pPr>
            <w:r>
              <w:rPr>
                <w:rFonts w:ascii="Courier New" w:cs="Courier New" w:eastAsia="Courier New" w:hAnsi="Courier New"/>
                <w:sz w:val="15"/>
                <w:szCs w:val="15"/>
                <w:color w:val="auto"/>
              </w:rPr>
              <w:t>4 - TRADING ACTIVITIES</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2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 ---------------------------</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720" w:type="dxa"/>
            <w:vAlign w:val="bottom"/>
            <w:gridSpan w:val="5"/>
            <w:vMerge w:val="restart"/>
          </w:tcPr>
          <w:p>
            <w:pPr>
              <w:jc w:val="right"/>
              <w:ind w:right="587"/>
              <w:spacing w:after="0"/>
              <w:rPr>
                <w:sz w:val="20"/>
                <w:szCs w:val="20"/>
                <w:color w:val="auto"/>
              </w:rPr>
            </w:pPr>
            <w:r>
              <w:rPr>
                <w:rFonts w:ascii="Courier New" w:cs="Courier New" w:eastAsia="Courier New" w:hAnsi="Courier New"/>
                <w:sz w:val="15"/>
                <w:szCs w:val="15"/>
                <w:color w:val="auto"/>
              </w:rPr>
              <w:t>liabilities to meet the financing</w:t>
            </w: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The</w:t>
            </w:r>
          </w:p>
        </w:tc>
        <w:tc>
          <w:tcPr>
            <w:tcW w:w="10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Corporation</w:t>
            </w:r>
          </w:p>
        </w:tc>
        <w:tc>
          <w:tcPr>
            <w:tcW w:w="248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w w:val="96"/>
              </w:rPr>
              <w:t>uses its trading assets and</w:t>
            </w:r>
          </w:p>
        </w:tc>
        <w:tc>
          <w:tcPr>
            <w:tcW w:w="3720" w:type="dxa"/>
            <w:vAlign w:val="bottom"/>
            <w:gridSpan w:val="5"/>
            <w:vMerge w:val="continue"/>
          </w:tcPr>
          <w:p>
            <w:pPr>
              <w:spacing w:after="0"/>
              <w:rPr>
                <w:sz w:val="14"/>
                <w:szCs w:val="14"/>
                <w:color w:val="auto"/>
              </w:rPr>
            </w:pP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2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w w:val="99"/>
              </w:rPr>
              <w:t>needs of its customers and to generate</w:t>
            </w:r>
          </w:p>
        </w:tc>
        <w:tc>
          <w:tcPr>
            <w:tcW w:w="254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revenue through its trading</w:t>
            </w:r>
          </w:p>
        </w:tc>
        <w:tc>
          <w:tcPr>
            <w:tcW w:w="17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activities.</w:t>
            </w: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2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rPr>
              <w:t>For a discussion of the Corporation's</w:t>
            </w:r>
          </w:p>
        </w:tc>
        <w:tc>
          <w:tcPr>
            <w:tcW w:w="254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risk management  instrument</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activity</w:t>
            </w:r>
          </w:p>
        </w:tc>
        <w:tc>
          <w:tcPr>
            <w:tcW w:w="9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and</w:t>
            </w: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related</w:t>
            </w:r>
          </w:p>
        </w:tc>
        <w:tc>
          <w:tcPr>
            <w:tcW w:w="7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trading</w:t>
            </w:r>
          </w:p>
        </w:tc>
        <w:tc>
          <w:tcPr>
            <w:tcW w:w="8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revenue</w:t>
            </w:r>
          </w:p>
        </w:tc>
        <w:tc>
          <w:tcPr>
            <w:tcW w:w="442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w w:val="99"/>
              </w:rPr>
              <w:t>for the 1996 second quarter and first six months,</w:t>
            </w:r>
          </w:p>
        </w:tc>
        <w:tc>
          <w:tcPr>
            <w:tcW w:w="9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see</w:t>
            </w: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Management's</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Discussion</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and</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Analysis</w:t>
            </w:r>
          </w:p>
        </w:tc>
        <w:tc>
          <w:tcPr>
            <w:tcW w:w="4240" w:type="dxa"/>
            <w:vAlign w:val="bottom"/>
            <w:gridSpan w:val="6"/>
          </w:tcPr>
          <w:p>
            <w:pPr>
              <w:jc w:val="right"/>
              <w:ind w:right="587"/>
              <w:spacing w:after="0" w:line="168" w:lineRule="exact"/>
              <w:rPr>
                <w:sz w:val="20"/>
                <w:szCs w:val="20"/>
                <w:color w:val="auto"/>
              </w:rPr>
            </w:pPr>
            <w:r>
              <w:rPr>
                <w:rFonts w:ascii="Courier New" w:cs="Courier New" w:eastAsia="Courier New" w:hAnsi="Courier New"/>
                <w:sz w:val="15"/>
                <w:szCs w:val="15"/>
                <w:color w:val="auto"/>
              </w:rPr>
              <w:t>on pages 21-22 and page 38 of this Form</w:t>
            </w: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10-Q.</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720" w:type="dxa"/>
            <w:vAlign w:val="bottom"/>
            <w:gridSpan w:val="6"/>
          </w:tcPr>
          <w:p>
            <w:pPr>
              <w:spacing w:after="0"/>
              <w:rPr>
                <w:sz w:val="20"/>
                <w:szCs w:val="20"/>
                <w:color w:val="auto"/>
              </w:rPr>
            </w:pPr>
            <w:r>
              <w:rPr>
                <w:rFonts w:ascii="Courier New" w:cs="Courier New" w:eastAsia="Courier New" w:hAnsi="Courier New"/>
                <w:sz w:val="15"/>
                <w:szCs w:val="15"/>
                <w:color w:val="auto"/>
                <w:w w:val="99"/>
              </w:rPr>
              <w:t>Trading Assets and Liabilities</w:t>
            </w:r>
          </w:p>
        </w:tc>
        <w:tc>
          <w:tcPr>
            <w:tcW w:w="1220" w:type="dxa"/>
            <w:vAlign w:val="bottom"/>
            <w:gridSpan w:val="2"/>
            <w:vMerge w:val="restart"/>
          </w:tcPr>
          <w:p>
            <w:pPr>
              <w:ind w:left="80"/>
              <w:spacing w:after="0"/>
              <w:rPr>
                <w:sz w:val="20"/>
                <w:szCs w:val="20"/>
                <w:color w:val="auto"/>
              </w:rPr>
            </w:pPr>
            <w:r>
              <w:rPr>
                <w:rFonts w:ascii="Courier New" w:cs="Courier New" w:eastAsia="Courier New" w:hAnsi="Courier New"/>
                <w:sz w:val="15"/>
                <w:szCs w:val="15"/>
                <w:color w:val="auto"/>
              </w:rPr>
              <w:t>and  equity</w:t>
            </w:r>
          </w:p>
        </w:tc>
        <w:tc>
          <w:tcPr>
            <w:tcW w:w="1100" w:type="dxa"/>
            <w:vAlign w:val="bottom"/>
            <w:vMerge w:val="restart"/>
          </w:tcPr>
          <w:p>
            <w:pPr>
              <w:ind w:left="100"/>
              <w:spacing w:after="0"/>
              <w:rPr>
                <w:sz w:val="20"/>
                <w:szCs w:val="20"/>
                <w:color w:val="auto"/>
              </w:rPr>
            </w:pPr>
            <w:r>
              <w:rPr>
                <w:rFonts w:ascii="Courier New" w:cs="Courier New" w:eastAsia="Courier New" w:hAnsi="Courier New"/>
                <w:sz w:val="15"/>
                <w:szCs w:val="15"/>
                <w:color w:val="auto"/>
                <w:w w:val="98"/>
              </w:rPr>
              <w:t>instruments</w:t>
            </w:r>
          </w:p>
        </w:tc>
        <w:tc>
          <w:tcPr>
            <w:tcW w:w="5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and</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risk</w:t>
            </w:r>
          </w:p>
        </w:tc>
        <w:tc>
          <w:tcPr>
            <w:tcW w:w="1700" w:type="dxa"/>
            <w:vAlign w:val="bottom"/>
            <w:gridSpan w:val="2"/>
            <w:vMerge w:val="restart"/>
          </w:tcPr>
          <w:p>
            <w:pPr>
              <w:jc w:val="right"/>
              <w:ind w:right="587"/>
              <w:spacing w:after="0"/>
              <w:rPr>
                <w:sz w:val="20"/>
                <w:szCs w:val="20"/>
                <w:color w:val="auto"/>
              </w:rPr>
            </w:pPr>
            <w:r>
              <w:rPr>
                <w:rFonts w:ascii="Courier New" w:cs="Courier New" w:eastAsia="Courier New" w:hAnsi="Courier New"/>
                <w:sz w:val="15"/>
                <w:szCs w:val="15"/>
                <w:color w:val="auto"/>
              </w:rPr>
              <w:t>management</w:t>
            </w:r>
          </w:p>
        </w:tc>
        <w:tc>
          <w:tcPr>
            <w:tcW w:w="1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Trading</w:t>
            </w:r>
          </w:p>
        </w:tc>
        <w:tc>
          <w:tcPr>
            <w:tcW w:w="7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assets</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include</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debt</w:t>
            </w:r>
          </w:p>
        </w:tc>
        <w:tc>
          <w:tcPr>
            <w:tcW w:w="1220" w:type="dxa"/>
            <w:vAlign w:val="bottom"/>
            <w:gridSpan w:val="2"/>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instruments</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with positive</w:t>
            </w:r>
          </w:p>
        </w:tc>
        <w:tc>
          <w:tcPr>
            <w:tcW w:w="3280" w:type="dxa"/>
            <w:vAlign w:val="bottom"/>
            <w:gridSpan w:val="5"/>
          </w:tcPr>
          <w:p>
            <w:pPr>
              <w:jc w:val="right"/>
              <w:ind w:right="47"/>
              <w:spacing w:after="0" w:line="168" w:lineRule="exact"/>
              <w:rPr>
                <w:sz w:val="20"/>
                <w:szCs w:val="20"/>
                <w:color w:val="auto"/>
              </w:rPr>
            </w:pPr>
            <w:r>
              <w:rPr>
                <w:rFonts w:ascii="Courier New" w:cs="Courier New" w:eastAsia="Courier New" w:hAnsi="Courier New"/>
                <w:sz w:val="15"/>
                <w:szCs w:val="15"/>
                <w:color w:val="auto"/>
              </w:rPr>
              <w:t>fair values.  Trading  liabilities</w:t>
            </w:r>
          </w:p>
        </w:tc>
        <w:tc>
          <w:tcPr>
            <w:tcW w:w="2100" w:type="dxa"/>
            <w:vAlign w:val="bottom"/>
            <w:gridSpan w:val="3"/>
          </w:tcPr>
          <w:p>
            <w:pPr>
              <w:jc w:val="right"/>
              <w:ind w:right="587"/>
              <w:spacing w:after="0" w:line="168" w:lineRule="exact"/>
              <w:rPr>
                <w:sz w:val="20"/>
                <w:szCs w:val="20"/>
                <w:color w:val="auto"/>
              </w:rPr>
            </w:pPr>
            <w:r>
              <w:rPr>
                <w:rFonts w:ascii="Courier New" w:cs="Courier New" w:eastAsia="Courier New" w:hAnsi="Courier New"/>
                <w:sz w:val="15"/>
                <w:szCs w:val="15"/>
                <w:color w:val="auto"/>
                <w:w w:val="98"/>
              </w:rPr>
              <w:t>are comprised of</w:t>
            </w: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60" w:type="dxa"/>
            <w:vAlign w:val="bottom"/>
            <w:gridSpan w:val="13"/>
          </w:tcPr>
          <w:p>
            <w:pPr>
              <w:spacing w:after="0" w:line="168" w:lineRule="exact"/>
              <w:rPr>
                <w:sz w:val="20"/>
                <w:szCs w:val="20"/>
                <w:color w:val="auto"/>
              </w:rPr>
            </w:pPr>
            <w:r>
              <w:rPr>
                <w:rFonts w:ascii="Courier New" w:cs="Courier New" w:eastAsia="Courier New" w:hAnsi="Courier New"/>
                <w:sz w:val="15"/>
                <w:szCs w:val="15"/>
                <w:color w:val="auto"/>
              </w:rPr>
              <w:t>securities sold, not yet purchased and risk management instruments with negative</w:t>
            </w: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gridSpan w:val="8"/>
          </w:tcPr>
          <w:p>
            <w:pPr>
              <w:spacing w:after="0" w:line="168" w:lineRule="exact"/>
              <w:rPr>
                <w:sz w:val="20"/>
                <w:szCs w:val="20"/>
                <w:color w:val="auto"/>
              </w:rPr>
            </w:pPr>
            <w:r>
              <w:rPr>
                <w:rFonts w:ascii="Courier New" w:cs="Courier New" w:eastAsia="Courier New" w:hAnsi="Courier New"/>
                <w:sz w:val="15"/>
                <w:szCs w:val="15"/>
                <w:color w:val="auto"/>
              </w:rPr>
              <w:t>fair  values.  Trading  assets and  trading</w:t>
            </w:r>
          </w:p>
        </w:tc>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(which are</w:t>
            </w:r>
          </w:p>
        </w:tc>
        <w:tc>
          <w:tcPr>
            <w:tcW w:w="17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carried at</w:t>
            </w: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60" w:type="dxa"/>
            <w:vAlign w:val="bottom"/>
            <w:gridSpan w:val="13"/>
          </w:tcPr>
          <w:p>
            <w:pPr>
              <w:spacing w:after="0" w:line="168" w:lineRule="exact"/>
              <w:rPr>
                <w:sz w:val="20"/>
                <w:szCs w:val="20"/>
                <w:color w:val="auto"/>
              </w:rPr>
            </w:pPr>
            <w:r>
              <w:rPr>
                <w:rFonts w:ascii="Courier New" w:cs="Courier New" w:eastAsia="Courier New" w:hAnsi="Courier New"/>
                <w:sz w:val="15"/>
                <w:szCs w:val="15"/>
                <w:color w:val="auto"/>
              </w:rPr>
              <w:t>estimated  fair  value,  after  taking  into  account  the  effects  of  legally</w:t>
            </w: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60" w:type="dxa"/>
            <w:vAlign w:val="bottom"/>
            <w:gridSpan w:val="13"/>
          </w:tcPr>
          <w:p>
            <w:pPr>
              <w:spacing w:after="0" w:line="168" w:lineRule="exact"/>
              <w:rPr>
                <w:sz w:val="20"/>
                <w:szCs w:val="20"/>
                <w:color w:val="auto"/>
              </w:rPr>
            </w:pPr>
            <w:r>
              <w:rPr>
                <w:rFonts w:ascii="Courier New" w:cs="Courier New" w:eastAsia="Courier New" w:hAnsi="Courier New"/>
                <w:sz w:val="15"/>
                <w:szCs w:val="15"/>
                <w:color w:val="auto"/>
              </w:rPr>
              <w:t>enforceable  master  netting  agreements  on risk  management  instruments)  are</w:t>
            </w: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040" w:type="dxa"/>
            <w:vAlign w:val="bottom"/>
            <w:gridSpan w:val="9"/>
          </w:tcPr>
          <w:p>
            <w:pPr>
              <w:spacing w:after="0"/>
              <w:rPr>
                <w:sz w:val="20"/>
                <w:szCs w:val="20"/>
                <w:color w:val="auto"/>
              </w:rPr>
            </w:pPr>
            <w:r>
              <w:rPr>
                <w:rFonts w:ascii="Courier New" w:cs="Courier New" w:eastAsia="Courier New" w:hAnsi="Courier New"/>
                <w:sz w:val="15"/>
                <w:szCs w:val="15"/>
                <w:color w:val="auto"/>
                <w:w w:val="97"/>
              </w:rPr>
              <w:t>presented in the following table for the dates indicated.</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1140" w:type="dxa"/>
            <w:vAlign w:val="bottom"/>
            <w:gridSpan w:val="3"/>
            <w:vMerge w:val="restart"/>
          </w:tcPr>
          <w:p>
            <w:pPr>
              <w:spacing w:after="0"/>
              <w:rPr>
                <w:sz w:val="20"/>
                <w:szCs w:val="20"/>
                <w:color w:val="auto"/>
              </w:rPr>
            </w:pPr>
            <w:r>
              <w:rPr>
                <w:rFonts w:ascii="Courier New" w:cs="Courier New" w:eastAsia="Courier New" w:hAnsi="Courier New"/>
                <w:sz w:val="15"/>
                <w:szCs w:val="15"/>
                <w:color w:val="auto"/>
                <w:w w:val="95"/>
              </w:rPr>
              <w:t>(in millions)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June 30,</w:t>
            </w: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68"/>
        </w:trPr>
        <w:tc>
          <w:tcPr>
            <w:tcW w:w="11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1996</w:t>
            </w:r>
          </w:p>
        </w:tc>
        <w:tc>
          <w:tcPr>
            <w:tcW w:w="8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3940" w:type="dxa"/>
            <w:vAlign w:val="bottom"/>
            <w:gridSpan w:val="8"/>
          </w:tcPr>
          <w:p>
            <w:pPr>
              <w:spacing w:after="0"/>
              <w:rPr>
                <w:sz w:val="20"/>
                <w:szCs w:val="20"/>
                <w:color w:val="auto"/>
              </w:rPr>
            </w:pPr>
            <w:r>
              <w:rPr>
                <w:rFonts w:ascii="Courier New" w:cs="Courier New" w:eastAsia="Courier New" w:hAnsi="Courier New"/>
                <w:sz w:val="15"/>
                <w:szCs w:val="15"/>
                <w:color w:val="auto"/>
                <w:w w:val="96"/>
              </w:rPr>
              <w:t>Trading Assets - Debt and Equity Instruments:</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40" w:type="dxa"/>
            <w:vAlign w:val="bottom"/>
          </w:tcPr>
          <w:p>
            <w:pPr>
              <w:spacing w:after="0"/>
              <w:rPr>
                <w:sz w:val="22"/>
                <w:szCs w:val="22"/>
                <w:color w:val="auto"/>
              </w:rPr>
            </w:pPr>
          </w:p>
        </w:tc>
        <w:tc>
          <w:tcPr>
            <w:tcW w:w="5120" w:type="dxa"/>
            <w:vAlign w:val="bottom"/>
            <w:gridSpan w:val="9"/>
          </w:tcPr>
          <w:p>
            <w:pPr>
              <w:spacing w:after="0"/>
              <w:rPr>
                <w:sz w:val="20"/>
                <w:szCs w:val="20"/>
                <w:color w:val="auto"/>
              </w:rPr>
            </w:pPr>
            <w:r>
              <w:rPr>
                <w:rFonts w:ascii="Courier New" w:cs="Courier New" w:eastAsia="Courier New" w:hAnsi="Courier New"/>
                <w:sz w:val="15"/>
                <w:szCs w:val="15"/>
                <w:color w:val="auto"/>
                <w:w w:val="97"/>
              </w:rPr>
              <w:t>U.S. Government, Federal Agencies and Municipal Securities</w:t>
            </w: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6,644</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9,601</w:t>
            </w: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4600" w:type="dxa"/>
            <w:vAlign w:val="bottom"/>
            <w:gridSpan w:val="8"/>
          </w:tcPr>
          <w:p>
            <w:pPr>
              <w:spacing w:after="0" w:line="168" w:lineRule="exact"/>
              <w:rPr>
                <w:sz w:val="20"/>
                <w:szCs w:val="20"/>
                <w:color w:val="auto"/>
              </w:rPr>
            </w:pPr>
            <w:r>
              <w:rPr>
                <w:rFonts w:ascii="Courier New" w:cs="Courier New" w:eastAsia="Courier New" w:hAnsi="Courier New"/>
                <w:sz w:val="15"/>
                <w:szCs w:val="15"/>
                <w:color w:val="auto"/>
              </w:rPr>
              <w:t>Certificates of Deposit, Bankers' Acceptances,</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2,328</w:t>
            </w:r>
          </w:p>
        </w:tc>
        <w:tc>
          <w:tcPr>
            <w:tcW w:w="8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2,560</w:t>
            </w: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4"/>
          </w:tcPr>
          <w:p>
            <w:pPr>
              <w:ind w:left="100"/>
              <w:spacing w:after="0" w:line="168" w:lineRule="exact"/>
              <w:rPr>
                <w:sz w:val="20"/>
                <w:szCs w:val="20"/>
                <w:color w:val="auto"/>
              </w:rPr>
            </w:pPr>
            <w:r>
              <w:rPr>
                <w:rFonts w:ascii="Courier New" w:cs="Courier New" w:eastAsia="Courier New" w:hAnsi="Courier New"/>
                <w:sz w:val="15"/>
                <w:szCs w:val="15"/>
                <w:color w:val="auto"/>
              </w:rPr>
              <w:t>and Commercial Paper</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4600" w:type="dxa"/>
            <w:vAlign w:val="bottom"/>
            <w:gridSpan w:val="8"/>
          </w:tcPr>
          <w:p>
            <w:pPr>
              <w:spacing w:after="0" w:line="168" w:lineRule="exact"/>
              <w:rPr>
                <w:sz w:val="20"/>
                <w:szCs w:val="20"/>
                <w:color w:val="auto"/>
              </w:rPr>
            </w:pPr>
            <w:r>
              <w:rPr>
                <w:rFonts w:ascii="Courier New" w:cs="Courier New" w:eastAsia="Courier New" w:hAnsi="Courier New"/>
                <w:sz w:val="15"/>
                <w:szCs w:val="15"/>
                <w:color w:val="auto"/>
              </w:rPr>
              <w:t>Debt Securities Issued by Foreign Governments</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7,271</w:t>
            </w:r>
          </w:p>
        </w:tc>
        <w:tc>
          <w:tcPr>
            <w:tcW w:w="8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6,318</w:t>
            </w: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5120" w:type="dxa"/>
            <w:vAlign w:val="bottom"/>
            <w:gridSpan w:val="9"/>
          </w:tcPr>
          <w:p>
            <w:pPr>
              <w:spacing w:after="0" w:line="168" w:lineRule="exact"/>
              <w:rPr>
                <w:sz w:val="20"/>
                <w:szCs w:val="20"/>
                <w:color w:val="auto"/>
              </w:rPr>
            </w:pPr>
            <w:r>
              <w:rPr>
                <w:rFonts w:ascii="Courier New" w:cs="Courier New" w:eastAsia="Courier New" w:hAnsi="Courier New"/>
                <w:sz w:val="15"/>
                <w:szCs w:val="15"/>
                <w:color w:val="auto"/>
              </w:rPr>
              <w:t>Debt Securities Issued by Foreign Financial Institutions</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4,196</w:t>
            </w:r>
          </w:p>
        </w:tc>
        <w:tc>
          <w:tcPr>
            <w:tcW w:w="8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3,467</w:t>
            </w: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Loans</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855</w:t>
            </w:r>
          </w:p>
        </w:tc>
        <w:tc>
          <w:tcPr>
            <w:tcW w:w="8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666</w:t>
            </w: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18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Corporate Securities</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2,131</w:t>
            </w:r>
          </w:p>
        </w:tc>
        <w:tc>
          <w:tcPr>
            <w:tcW w:w="8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2,224</w:t>
            </w: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1,872</w:t>
            </w:r>
          </w:p>
        </w:tc>
        <w:tc>
          <w:tcPr>
            <w:tcW w:w="8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1,376</w:t>
            </w:r>
          </w:p>
        </w:tc>
        <w:tc>
          <w:tcPr>
            <w:tcW w:w="0" w:type="dxa"/>
            <w:vAlign w:val="bottom"/>
          </w:tcPr>
          <w:p>
            <w:pPr>
              <w:spacing w:after="0"/>
              <w:rPr>
                <w:sz w:val="1"/>
                <w:szCs w:val="1"/>
                <w:color w:val="auto"/>
              </w:rPr>
            </w:pPr>
          </w:p>
        </w:tc>
      </w:tr>
      <w:tr>
        <w:trPr>
          <w:trHeight w:val="168"/>
        </w:trPr>
        <w:tc>
          <w:tcPr>
            <w:tcW w:w="5040" w:type="dxa"/>
            <w:vAlign w:val="bottom"/>
            <w:gridSpan w:val="9"/>
            <w:vMerge w:val="restart"/>
          </w:tcPr>
          <w:p>
            <w:pPr>
              <w:spacing w:after="0"/>
              <w:rPr>
                <w:sz w:val="20"/>
                <w:szCs w:val="20"/>
                <w:color w:val="auto"/>
              </w:rPr>
            </w:pPr>
            <w:r>
              <w:rPr>
                <w:rFonts w:ascii="Courier New" w:cs="Courier New" w:eastAsia="Courier New" w:hAnsi="Courier New"/>
                <w:sz w:val="15"/>
                <w:szCs w:val="15"/>
                <w:color w:val="auto"/>
              </w:rPr>
              <w:t>Total Trading Assets - Debt and Equity Instruments (a)</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040" w:type="dxa"/>
            <w:vAlign w:val="bottom"/>
            <w:gridSpan w:val="9"/>
            <w:vMerge w:val="continue"/>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25,297</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26,212</w:t>
            </w:r>
          </w:p>
        </w:tc>
        <w:tc>
          <w:tcPr>
            <w:tcW w:w="0" w:type="dxa"/>
            <w:vAlign w:val="bottom"/>
          </w:tcPr>
          <w:p>
            <w:pPr>
              <w:spacing w:after="0"/>
              <w:rPr>
                <w:sz w:val="1"/>
                <w:szCs w:val="1"/>
                <w:color w:val="auto"/>
              </w:rPr>
            </w:pPr>
          </w:p>
        </w:tc>
      </w:tr>
      <w:tr>
        <w:trPr>
          <w:trHeight w:val="245"/>
        </w:trPr>
        <w:tc>
          <w:tcPr>
            <w:tcW w:w="3940" w:type="dxa"/>
            <w:vAlign w:val="bottom"/>
            <w:gridSpan w:val="8"/>
            <w:vMerge w:val="restart"/>
          </w:tcPr>
          <w:p>
            <w:pPr>
              <w:spacing w:after="0"/>
              <w:rPr>
                <w:sz w:val="20"/>
                <w:szCs w:val="20"/>
                <w:color w:val="auto"/>
              </w:rPr>
            </w:pPr>
            <w:r>
              <w:rPr>
                <w:rFonts w:ascii="Courier New" w:cs="Courier New" w:eastAsia="Courier New" w:hAnsi="Courier New"/>
                <w:sz w:val="15"/>
                <w:szCs w:val="15"/>
                <w:color w:val="auto"/>
                <w:w w:val="96"/>
              </w:rPr>
              <w:t>Trading Assets - Risk Management Instruments:</w:t>
            </w: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940" w:type="dxa"/>
            <w:vAlign w:val="bottom"/>
            <w:gridSpan w:val="8"/>
            <w:vMerge w:val="continue"/>
          </w:tcPr>
          <w:p>
            <w:pPr>
              <w:spacing w:after="0"/>
              <w:rPr>
                <w:sz w:val="7"/>
                <w:szCs w:val="7"/>
                <w:color w:val="auto"/>
              </w:rPr>
            </w:pPr>
          </w:p>
        </w:tc>
        <w:tc>
          <w:tcPr>
            <w:tcW w:w="1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12,349</w:t>
            </w:r>
          </w:p>
        </w:tc>
        <w:tc>
          <w:tcPr>
            <w:tcW w:w="8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12,408</w:t>
            </w: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22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Interest Rate Contracts</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22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6"/>
              </w:rPr>
              <w:t>Foreign Exchange Contracts</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12,058</w:t>
            </w:r>
          </w:p>
        </w:tc>
        <w:tc>
          <w:tcPr>
            <w:tcW w:w="8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12,384</w:t>
            </w: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4600" w:type="dxa"/>
            <w:vAlign w:val="bottom"/>
            <w:gridSpan w:val="8"/>
          </w:tcPr>
          <w:p>
            <w:pPr>
              <w:spacing w:after="0" w:line="168" w:lineRule="exact"/>
              <w:rPr>
                <w:sz w:val="20"/>
                <w:szCs w:val="20"/>
                <w:color w:val="auto"/>
              </w:rPr>
            </w:pPr>
            <w:r>
              <w:rPr>
                <w:rFonts w:ascii="Courier New" w:cs="Courier New" w:eastAsia="Courier New" w:hAnsi="Courier New"/>
                <w:sz w:val="15"/>
                <w:szCs w:val="15"/>
                <w:color w:val="auto"/>
              </w:rPr>
              <w:t>Stock Index Options and Commodity Contracts</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2,007</w:t>
            </w:r>
          </w:p>
        </w:tc>
        <w:tc>
          <w:tcPr>
            <w:tcW w:w="8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1,033</w:t>
            </w:r>
          </w:p>
        </w:tc>
        <w:tc>
          <w:tcPr>
            <w:tcW w:w="0" w:type="dxa"/>
            <w:vAlign w:val="bottom"/>
          </w:tcPr>
          <w:p>
            <w:pPr>
              <w:spacing w:after="0"/>
              <w:rPr>
                <w:sz w:val="1"/>
                <w:szCs w:val="1"/>
                <w:color w:val="auto"/>
              </w:rPr>
            </w:pPr>
          </w:p>
        </w:tc>
      </w:tr>
      <w:tr>
        <w:trPr>
          <w:trHeight w:val="168"/>
        </w:trPr>
        <w:tc>
          <w:tcPr>
            <w:tcW w:w="5040" w:type="dxa"/>
            <w:vAlign w:val="bottom"/>
            <w:gridSpan w:val="9"/>
            <w:vMerge w:val="restart"/>
          </w:tcPr>
          <w:p>
            <w:pPr>
              <w:spacing w:after="0"/>
              <w:rPr>
                <w:sz w:val="20"/>
                <w:szCs w:val="20"/>
                <w:color w:val="auto"/>
              </w:rPr>
            </w:pPr>
            <w:r>
              <w:rPr>
                <w:rFonts w:ascii="Courier New" w:cs="Courier New" w:eastAsia="Courier New" w:hAnsi="Courier New"/>
                <w:sz w:val="15"/>
                <w:szCs w:val="15"/>
                <w:color w:val="auto"/>
              </w:rPr>
              <w:t>Total Trading Assets - Risk Management Instruments</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040" w:type="dxa"/>
            <w:vAlign w:val="bottom"/>
            <w:gridSpan w:val="9"/>
            <w:vMerge w:val="continue"/>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26,414</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25,825</w:t>
            </w:r>
          </w:p>
        </w:tc>
        <w:tc>
          <w:tcPr>
            <w:tcW w:w="0" w:type="dxa"/>
            <w:vAlign w:val="bottom"/>
          </w:tcPr>
          <w:p>
            <w:pPr>
              <w:spacing w:after="0"/>
              <w:rPr>
                <w:sz w:val="1"/>
                <w:szCs w:val="1"/>
                <w:color w:val="auto"/>
              </w:rPr>
            </w:pPr>
          </w:p>
        </w:tc>
      </w:tr>
      <w:tr>
        <w:trPr>
          <w:trHeight w:val="245"/>
        </w:trPr>
        <w:tc>
          <w:tcPr>
            <w:tcW w:w="5040" w:type="dxa"/>
            <w:vAlign w:val="bottom"/>
            <w:gridSpan w:val="9"/>
            <w:vMerge w:val="restart"/>
          </w:tcPr>
          <w:p>
            <w:pPr>
              <w:spacing w:after="0"/>
              <w:rPr>
                <w:sz w:val="20"/>
                <w:szCs w:val="20"/>
                <w:color w:val="auto"/>
              </w:rPr>
            </w:pPr>
            <w:r>
              <w:rPr>
                <w:rFonts w:ascii="Courier New" w:cs="Courier New" w:eastAsia="Courier New" w:hAnsi="Courier New"/>
                <w:sz w:val="15"/>
                <w:szCs w:val="15"/>
                <w:color w:val="auto"/>
              </w:rPr>
              <w:t>Trading Liabilities - Risk Management Instruments:</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040" w:type="dxa"/>
            <w:vAlign w:val="bottom"/>
            <w:gridSpan w:val="9"/>
            <w:vMerge w:val="continue"/>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12,466</w:t>
            </w:r>
          </w:p>
        </w:tc>
        <w:tc>
          <w:tcPr>
            <w:tcW w:w="8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13,975</w:t>
            </w: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22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Interest Rate Contracts</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22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6"/>
              </w:rPr>
              <w:t>Foreign Exchange Contracts</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12,604</w:t>
            </w:r>
          </w:p>
        </w:tc>
        <w:tc>
          <w:tcPr>
            <w:tcW w:w="8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13,295</w:t>
            </w: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4600" w:type="dxa"/>
            <w:vAlign w:val="bottom"/>
            <w:gridSpan w:val="8"/>
          </w:tcPr>
          <w:p>
            <w:pPr>
              <w:spacing w:after="0" w:line="168" w:lineRule="exact"/>
              <w:rPr>
                <w:sz w:val="20"/>
                <w:szCs w:val="20"/>
                <w:color w:val="auto"/>
              </w:rPr>
            </w:pPr>
            <w:r>
              <w:rPr>
                <w:rFonts w:ascii="Courier New" w:cs="Courier New" w:eastAsia="Courier New" w:hAnsi="Courier New"/>
                <w:sz w:val="15"/>
                <w:szCs w:val="15"/>
                <w:color w:val="auto"/>
              </w:rPr>
              <w:t>Stock Index Options and Commodity Contracts</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1,433</w:t>
            </w:r>
          </w:p>
        </w:tc>
        <w:tc>
          <w:tcPr>
            <w:tcW w:w="8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831</w:t>
            </w:r>
          </w:p>
        </w:tc>
        <w:tc>
          <w:tcPr>
            <w:tcW w:w="0" w:type="dxa"/>
            <w:vAlign w:val="bottom"/>
          </w:tcPr>
          <w:p>
            <w:pPr>
              <w:spacing w:after="0"/>
              <w:rPr>
                <w:sz w:val="1"/>
                <w:szCs w:val="1"/>
                <w:color w:val="auto"/>
              </w:rPr>
            </w:pPr>
          </w:p>
        </w:tc>
      </w:tr>
      <w:tr>
        <w:trPr>
          <w:trHeight w:val="168"/>
        </w:trPr>
        <w:tc>
          <w:tcPr>
            <w:tcW w:w="5040" w:type="dxa"/>
            <w:vAlign w:val="bottom"/>
            <w:gridSpan w:val="9"/>
            <w:vMerge w:val="restart"/>
          </w:tcPr>
          <w:p>
            <w:pPr>
              <w:spacing w:after="0"/>
              <w:rPr>
                <w:sz w:val="20"/>
                <w:szCs w:val="20"/>
                <w:color w:val="auto"/>
              </w:rPr>
            </w:pPr>
            <w:r>
              <w:rPr>
                <w:rFonts w:ascii="Courier New" w:cs="Courier New" w:eastAsia="Courier New" w:hAnsi="Courier New"/>
                <w:sz w:val="15"/>
                <w:szCs w:val="15"/>
                <w:color w:val="auto"/>
              </w:rPr>
              <w:t>Trading Liabilities - Risk Management Instruments</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040" w:type="dxa"/>
            <w:vAlign w:val="bottom"/>
            <w:gridSpan w:val="9"/>
            <w:vMerge w:val="continue"/>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26,503</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28,101</w:t>
            </w:r>
          </w:p>
        </w:tc>
        <w:tc>
          <w:tcPr>
            <w:tcW w:w="0" w:type="dxa"/>
            <w:vAlign w:val="bottom"/>
          </w:tcPr>
          <w:p>
            <w:pPr>
              <w:spacing w:after="0"/>
              <w:rPr>
                <w:sz w:val="1"/>
                <w:szCs w:val="1"/>
                <w:color w:val="auto"/>
              </w:rPr>
            </w:pPr>
          </w:p>
        </w:tc>
      </w:tr>
      <w:tr>
        <w:trPr>
          <w:trHeight w:val="168"/>
        </w:trPr>
        <w:tc>
          <w:tcPr>
            <w:tcW w:w="342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rPr>
              <w:t>Securities Sold, Not Yet Purchased</w:t>
            </w: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9,683</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6,240</w:t>
            </w:r>
          </w:p>
        </w:tc>
        <w:tc>
          <w:tcPr>
            <w:tcW w:w="0" w:type="dxa"/>
            <w:vAlign w:val="bottom"/>
          </w:tcPr>
          <w:p>
            <w:pPr>
              <w:spacing w:after="0"/>
              <w:rPr>
                <w:sz w:val="1"/>
                <w:szCs w:val="1"/>
                <w:color w:val="auto"/>
              </w:rPr>
            </w:pPr>
          </w:p>
        </w:tc>
      </w:tr>
      <w:tr>
        <w:trPr>
          <w:trHeight w:val="168"/>
        </w:trPr>
        <w:tc>
          <w:tcPr>
            <w:tcW w:w="2280" w:type="dxa"/>
            <w:vAlign w:val="bottom"/>
            <w:gridSpan w:val="5"/>
            <w:vMerge w:val="restart"/>
          </w:tcPr>
          <w:p>
            <w:pPr>
              <w:spacing w:after="0"/>
              <w:rPr>
                <w:sz w:val="20"/>
                <w:szCs w:val="20"/>
                <w:color w:val="auto"/>
              </w:rPr>
            </w:pPr>
            <w:r>
              <w:rPr>
                <w:rFonts w:ascii="Courier New" w:cs="Courier New" w:eastAsia="Courier New" w:hAnsi="Courier New"/>
                <w:sz w:val="15"/>
                <w:szCs w:val="15"/>
                <w:color w:val="auto"/>
              </w:rPr>
              <w:t>Total Trading Liabilities</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28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36,186</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34,341</w:t>
            </w: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440" w:hanging="430"/>
        <w:spacing w:after="0"/>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emerging markets instruments of $6,748 million at June 30, 1996.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SECURITIES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jc w:val="both"/>
        <w:ind w:right="3500"/>
        <w:spacing w:after="0" w:line="260" w:lineRule="auto"/>
        <w:rPr>
          <w:sz w:val="20"/>
          <w:szCs w:val="20"/>
          <w:color w:val="auto"/>
        </w:rPr>
      </w:pPr>
      <w:r>
        <w:rPr>
          <w:rFonts w:ascii="Courier New" w:cs="Courier New" w:eastAsia="Courier New" w:hAnsi="Courier New"/>
          <w:sz w:val="15"/>
          <w:szCs w:val="15"/>
          <w:color w:val="auto"/>
        </w:rPr>
        <w:t>For a discussion of the accounting policies relating to securities, see Note One of the Corporation's 1995 Annual Report to its stockholders filed with the Securities and Exchange Commission on Form 8-K dated April 16, 1996 (the "1995 Annual Report").</w:t>
      </w:r>
    </w:p>
    <w:p>
      <w:pPr>
        <w:spacing w:after="0" w:line="79" w:lineRule="exact"/>
        <w:rPr>
          <w:sz w:val="20"/>
          <w:szCs w:val="20"/>
          <w:color w:val="auto"/>
        </w:rPr>
      </w:pPr>
    </w:p>
    <w:p>
      <w:pPr>
        <w:ind w:right="3500"/>
        <w:spacing w:after="0" w:line="255" w:lineRule="auto"/>
        <w:rPr>
          <w:sz w:val="20"/>
          <w:szCs w:val="20"/>
          <w:color w:val="auto"/>
        </w:rPr>
      </w:pPr>
      <w:r>
        <w:rPr>
          <w:rFonts w:ascii="Courier New" w:cs="Courier New" w:eastAsia="Courier New" w:hAnsi="Courier New"/>
          <w:sz w:val="15"/>
          <w:szCs w:val="15"/>
          <w:color w:val="auto"/>
        </w:rPr>
        <w:t>The valuation of the securities classified as available-for-sale (including securities classified as loans which are subject to the provisions of SFAS 115) resulted in a net after-tax unfavorable impact of $640 million on the Corporation's stockholders' equity at June 30, 1996, compared with a net after-tax unfavorable impact of $237 million at December 31, 1995. The change from the 1995 year-end was the result of an increase in interest rates during the first half of 1996.</w:t>
      </w:r>
    </w:p>
    <w:p>
      <w:pPr>
        <w:spacing w:after="0" w:line="8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500"/>
          </w:cols>
          <w:pgMar w:left="220" w:top="428" w:right="1179" w:bottom="1440" w:gutter="0" w:footer="0" w:header="0"/>
        </w:sectPr>
      </w:pPr>
    </w:p>
    <w:bookmarkStart w:id="9" w:name="page10"/>
    <w:bookmarkEnd w:id="9"/>
    <w:p>
      <w:pPr>
        <w:jc w:val="both"/>
        <w:ind w:right="3240"/>
        <w:spacing w:after="0" w:line="276" w:lineRule="auto"/>
        <w:rPr>
          <w:sz w:val="20"/>
          <w:szCs w:val="20"/>
          <w:color w:val="auto"/>
        </w:rPr>
      </w:pPr>
      <w:r>
        <w:rPr>
          <w:rFonts w:ascii="Courier New" w:cs="Courier New" w:eastAsia="Courier New" w:hAnsi="Courier New"/>
          <w:sz w:val="14"/>
          <w:szCs w:val="14"/>
          <w:color w:val="auto"/>
        </w:rPr>
        <w:t>Net gains from available-for-sale securities sold in the second quarter and first six months of 1996 amounted to $24 million (gross gains of $77 million and gross losses of $53 million) and $76 million (gross gains of $151 million and gross losses of $75 million), respectively. Net gains on such sales for the same periods in 1995 amounted to $72 million (gross gains of $191 million and gross losses of $119 million) in the second quarter and $54 million (gross gains of $229 million and gross losses of $175 million) in the first six months.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00" w:type="dxa"/>
            <w:vAlign w:val="bottom"/>
          </w:tcPr>
          <w:p>
            <w:pPr>
              <w:spacing w:after="0"/>
              <w:rPr>
                <w:sz w:val="20"/>
                <w:szCs w:val="20"/>
                <w:color w:val="auto"/>
              </w:rPr>
            </w:pPr>
            <w:r>
              <w:rPr>
                <w:rFonts w:ascii="Courier New" w:cs="Courier New" w:eastAsia="Courier New" w:hAnsi="Courier New"/>
                <w:sz w:val="15"/>
                <w:szCs w:val="15"/>
                <w:color w:val="auto"/>
              </w:rPr>
              <w:t>Available-for-Sale Securities</w:t>
            </w: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200" w:type="dxa"/>
            <w:vAlign w:val="bottom"/>
          </w:tcPr>
          <w:p>
            <w:pPr>
              <w:spacing w:after="0"/>
              <w:rPr>
                <w:sz w:val="20"/>
                <w:szCs w:val="20"/>
                <w:color w:val="auto"/>
              </w:rPr>
            </w:pPr>
            <w:r>
              <w:rPr>
                <w:rFonts w:ascii="Courier New" w:cs="Courier New" w:eastAsia="Courier New" w:hAnsi="Courier New"/>
                <w:sz w:val="15"/>
                <w:szCs w:val="15"/>
                <w:color w:val="auto"/>
                <w:w w:val="98"/>
              </w:rPr>
              <w:t>The amortized  cost and estimated fair value of</w:t>
            </w:r>
          </w:p>
        </w:tc>
        <w:tc>
          <w:tcPr>
            <w:tcW w:w="16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5"/>
              </w:rPr>
              <w:t>available-for-sale</w:t>
            </w:r>
          </w:p>
        </w:tc>
        <w:tc>
          <w:tcPr>
            <w:tcW w:w="198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securities,</w:t>
            </w:r>
          </w:p>
        </w:tc>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including  the impact of  related  derivatives,</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were as</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follows</w:t>
            </w:r>
          </w:p>
        </w:tc>
        <w:tc>
          <w:tcPr>
            <w:tcW w:w="1980" w:type="dxa"/>
            <w:vAlign w:val="bottom"/>
            <w:gridSpan w:val="2"/>
          </w:tcPr>
          <w:p>
            <w:pPr>
              <w:jc w:val="right"/>
              <w:ind w:right="767"/>
              <w:spacing w:after="0" w:line="168" w:lineRule="exact"/>
              <w:rPr>
                <w:sz w:val="20"/>
                <w:szCs w:val="20"/>
                <w:color w:val="auto"/>
              </w:rPr>
            </w:pPr>
            <w:r>
              <w:rPr>
                <w:rFonts w:ascii="Courier New" w:cs="Courier New" w:eastAsia="Courier New" w:hAnsi="Courier New"/>
                <w:sz w:val="15"/>
                <w:szCs w:val="15"/>
                <w:color w:val="auto"/>
                <w:w w:val="95"/>
              </w:rPr>
              <w:t>for the dates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200" w:type="dxa"/>
            <w:vAlign w:val="bottom"/>
          </w:tcPr>
          <w:p>
            <w:pPr>
              <w:spacing w:after="0"/>
              <w:rPr>
                <w:sz w:val="20"/>
                <w:szCs w:val="20"/>
                <w:color w:val="auto"/>
              </w:rPr>
            </w:pPr>
            <w:r>
              <w:rPr>
                <w:rFonts w:ascii="Courier New" w:cs="Courier New" w:eastAsia="Courier New" w:hAnsi="Courier New"/>
                <w:sz w:val="15"/>
                <w:szCs w:val="15"/>
                <w:color w:val="auto"/>
              </w:rPr>
              <w:t>indicated:</w:t>
            </w: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4"/>
        </w:trPr>
        <w:tc>
          <w:tcPr>
            <w:tcW w:w="4200" w:type="dxa"/>
            <w:vAlign w:val="bottom"/>
          </w:tcPr>
          <w:p>
            <w:pPr>
              <w:spacing w:after="0"/>
              <w:rPr>
                <w:sz w:val="20"/>
                <w:szCs w:val="20"/>
                <w:color w:val="auto"/>
              </w:rPr>
            </w:pPr>
            <w:r>
              <w:rPr>
                <w:rFonts w:ascii="Courier New" w:cs="Courier New" w:eastAsia="Courier New" w:hAnsi="Courier New"/>
                <w:sz w:val="15"/>
                <w:szCs w:val="15"/>
                <w:color w:val="auto"/>
              </w:rPr>
              <w:t>June 30, 1996 (in millions)</w:t>
            </w:r>
          </w:p>
        </w:tc>
        <w:tc>
          <w:tcPr>
            <w:tcW w:w="1660" w:type="dxa"/>
            <w:vAlign w:val="bottom"/>
            <w:gridSpan w:val="2"/>
            <w:vMerge w:val="restart"/>
          </w:tcPr>
          <w:p>
            <w:pPr>
              <w:ind w:left="620"/>
              <w:spacing w:after="0"/>
              <w:rPr>
                <w:sz w:val="20"/>
                <w:szCs w:val="20"/>
                <w:color w:val="auto"/>
              </w:rPr>
            </w:pPr>
            <w:r>
              <w:rPr>
                <w:rFonts w:ascii="Courier New" w:cs="Courier New" w:eastAsia="Courier New" w:hAnsi="Courier New"/>
                <w:sz w:val="15"/>
                <w:szCs w:val="15"/>
                <w:color w:val="auto"/>
              </w:rPr>
              <w:t>Amortized</w:t>
            </w:r>
          </w:p>
        </w:tc>
        <w:tc>
          <w:tcPr>
            <w:tcW w:w="198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Gross</w:t>
            </w:r>
          </w:p>
        </w:tc>
        <w:tc>
          <w:tcPr>
            <w:tcW w:w="14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Gross</w:t>
            </w:r>
          </w:p>
        </w:tc>
        <w:tc>
          <w:tcPr>
            <w:tcW w:w="220" w:type="dxa"/>
            <w:vAlign w:val="bottom"/>
          </w:tcPr>
          <w:p>
            <w:pPr>
              <w:spacing w:after="0"/>
              <w:rPr>
                <w:sz w:val="24"/>
                <w:szCs w:val="24"/>
                <w:color w:val="auto"/>
              </w:rPr>
            </w:pPr>
          </w:p>
        </w:tc>
        <w:tc>
          <w:tcPr>
            <w:tcW w:w="780" w:type="dxa"/>
            <w:vAlign w:val="bottom"/>
            <w:vMerge w:val="restart"/>
          </w:tcPr>
          <w:p>
            <w:pPr>
              <w:spacing w:after="0"/>
              <w:rPr>
                <w:sz w:val="20"/>
                <w:szCs w:val="20"/>
                <w:color w:val="auto"/>
              </w:rPr>
            </w:pPr>
            <w:r>
              <w:rPr>
                <w:rFonts w:ascii="Courier New" w:cs="Courier New" w:eastAsia="Courier New" w:hAnsi="Courier New"/>
                <w:sz w:val="15"/>
                <w:szCs w:val="15"/>
                <w:color w:val="auto"/>
              </w:rPr>
              <w:t>Fair</w:t>
            </w:r>
          </w:p>
        </w:tc>
        <w:tc>
          <w:tcPr>
            <w:tcW w:w="0" w:type="dxa"/>
            <w:vAlign w:val="bottom"/>
          </w:tcPr>
          <w:p>
            <w:pPr>
              <w:spacing w:after="0"/>
              <w:rPr>
                <w:sz w:val="1"/>
                <w:szCs w:val="1"/>
                <w:color w:val="auto"/>
              </w:rPr>
            </w:pPr>
          </w:p>
        </w:tc>
      </w:tr>
      <w:tr>
        <w:trPr>
          <w:trHeight w:val="168"/>
        </w:trPr>
        <w:tc>
          <w:tcPr>
            <w:tcW w:w="420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9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Unrealized</w:t>
            </w:r>
          </w:p>
        </w:tc>
        <w:tc>
          <w:tcPr>
            <w:tcW w:w="14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Unrealized</w:t>
            </w: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00" w:type="dxa"/>
            <w:vAlign w:val="bottom"/>
          </w:tcPr>
          <w:p>
            <w:pPr>
              <w:spacing w:after="0"/>
              <w:rPr>
                <w:sz w:val="14"/>
                <w:szCs w:val="14"/>
                <w:color w:val="auto"/>
              </w:rPr>
            </w:pPr>
          </w:p>
        </w:tc>
        <w:tc>
          <w:tcPr>
            <w:tcW w:w="166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Cost</w:t>
            </w:r>
          </w:p>
        </w:tc>
        <w:tc>
          <w:tcPr>
            <w:tcW w:w="1980" w:type="dxa"/>
            <w:vAlign w:val="bottom"/>
            <w:gridSpan w:val="2"/>
          </w:tcPr>
          <w:p>
            <w:pPr>
              <w:jc w:val="right"/>
              <w:ind w:right="767"/>
              <w:spacing w:after="0" w:line="168" w:lineRule="exact"/>
              <w:rPr>
                <w:sz w:val="20"/>
                <w:szCs w:val="20"/>
                <w:color w:val="auto"/>
              </w:rPr>
            </w:pPr>
            <w:r>
              <w:rPr>
                <w:rFonts w:ascii="Courier New" w:cs="Courier New" w:eastAsia="Courier New" w:hAnsi="Courier New"/>
                <w:sz w:val="15"/>
                <w:szCs w:val="15"/>
                <w:color w:val="auto"/>
              </w:rPr>
              <w:t>Gains</w:t>
            </w:r>
          </w:p>
        </w:tc>
        <w:tc>
          <w:tcPr>
            <w:tcW w:w="14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Losses</w:t>
            </w:r>
          </w:p>
        </w:tc>
        <w:tc>
          <w:tcPr>
            <w:tcW w:w="22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Value(a)</w:t>
            </w:r>
          </w:p>
        </w:tc>
        <w:tc>
          <w:tcPr>
            <w:tcW w:w="0" w:type="dxa"/>
            <w:vAlign w:val="bottom"/>
          </w:tcPr>
          <w:p>
            <w:pPr>
              <w:spacing w:after="0"/>
              <w:rPr>
                <w:sz w:val="1"/>
                <w:szCs w:val="1"/>
                <w:color w:val="auto"/>
              </w:rPr>
            </w:pPr>
          </w:p>
        </w:tc>
      </w:tr>
      <w:tr>
        <w:trPr>
          <w:trHeight w:val="245"/>
        </w:trPr>
        <w:tc>
          <w:tcPr>
            <w:tcW w:w="4200" w:type="dxa"/>
            <w:vAlign w:val="bottom"/>
            <w:vMerge w:val="restart"/>
          </w:tcPr>
          <w:p>
            <w:pPr>
              <w:spacing w:after="0"/>
              <w:rPr>
                <w:sz w:val="20"/>
                <w:szCs w:val="20"/>
                <w:color w:val="auto"/>
              </w:rPr>
            </w:pPr>
            <w:r>
              <w:rPr>
                <w:rFonts w:ascii="Courier New" w:cs="Courier New" w:eastAsia="Courier New" w:hAnsi="Courier New"/>
                <w:sz w:val="15"/>
                <w:szCs w:val="15"/>
                <w:color w:val="auto"/>
              </w:rPr>
              <w:t>U.S. Government and Federal</w:t>
            </w:r>
          </w:p>
        </w:tc>
        <w:tc>
          <w:tcPr>
            <w:tcW w:w="16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91"/>
        </w:trPr>
        <w:tc>
          <w:tcPr>
            <w:tcW w:w="420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Agency/Corporation Obligations:</w:t>
            </w: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200" w:type="dxa"/>
            <w:vAlign w:val="bottom"/>
          </w:tcPr>
          <w:p>
            <w:pPr>
              <w:ind w:left="700"/>
              <w:spacing w:after="0"/>
              <w:rPr>
                <w:sz w:val="20"/>
                <w:szCs w:val="20"/>
                <w:color w:val="auto"/>
              </w:rPr>
            </w:pPr>
            <w:r>
              <w:rPr>
                <w:rFonts w:ascii="Courier New" w:cs="Courier New" w:eastAsia="Courier New" w:hAnsi="Courier New"/>
                <w:sz w:val="15"/>
                <w:szCs w:val="15"/>
                <w:color w:val="auto"/>
              </w:rPr>
              <w:t>Mortgage-Backed Securities</w:t>
            </w:r>
          </w:p>
        </w:tc>
        <w:tc>
          <w:tcPr>
            <w:tcW w:w="8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20,229</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25</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482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19,772</w:t>
            </w:r>
          </w:p>
        </w:tc>
        <w:tc>
          <w:tcPr>
            <w:tcW w:w="0" w:type="dxa"/>
            <w:vAlign w:val="bottom"/>
          </w:tcPr>
          <w:p>
            <w:pPr>
              <w:spacing w:after="0"/>
              <w:rPr>
                <w:sz w:val="1"/>
                <w:szCs w:val="1"/>
                <w:color w:val="auto"/>
              </w:rPr>
            </w:pPr>
          </w:p>
        </w:tc>
      </w:tr>
      <w:tr>
        <w:trPr>
          <w:trHeight w:val="168"/>
        </w:trPr>
        <w:tc>
          <w:tcPr>
            <w:tcW w:w="42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Collateralized Mortgage Obligations</w:t>
            </w:r>
          </w:p>
        </w:tc>
        <w:tc>
          <w:tcPr>
            <w:tcW w:w="8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1,004</w:t>
            </w:r>
          </w:p>
        </w:tc>
        <w:tc>
          <w:tcPr>
            <w:tcW w:w="980" w:type="dxa"/>
            <w:vAlign w:val="bottom"/>
          </w:tcPr>
          <w:p>
            <w:pPr>
              <w:spacing w:after="0"/>
              <w:rPr>
                <w:sz w:val="14"/>
                <w:szCs w:val="14"/>
                <w:color w:val="auto"/>
              </w:rPr>
            </w:pPr>
          </w:p>
        </w:tc>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1,001</w:t>
            </w:r>
          </w:p>
        </w:tc>
        <w:tc>
          <w:tcPr>
            <w:tcW w:w="0" w:type="dxa"/>
            <w:vAlign w:val="bottom"/>
          </w:tcPr>
          <w:p>
            <w:pPr>
              <w:spacing w:after="0"/>
              <w:rPr>
                <w:sz w:val="1"/>
                <w:szCs w:val="1"/>
                <w:color w:val="auto"/>
              </w:rPr>
            </w:pPr>
          </w:p>
        </w:tc>
      </w:tr>
      <w:tr>
        <w:trPr>
          <w:trHeight w:val="168"/>
        </w:trPr>
        <w:tc>
          <w:tcPr>
            <w:tcW w:w="42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 primarily U.S. Treasuries</w:t>
            </w:r>
          </w:p>
        </w:tc>
        <w:tc>
          <w:tcPr>
            <w:tcW w:w="8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8,223</w:t>
            </w:r>
          </w:p>
        </w:tc>
        <w:tc>
          <w:tcPr>
            <w:tcW w:w="980" w:type="dxa"/>
            <w:vAlign w:val="bottom"/>
          </w:tcPr>
          <w:p>
            <w:pPr>
              <w:spacing w:after="0"/>
              <w:rPr>
                <w:sz w:val="14"/>
                <w:szCs w:val="14"/>
                <w:color w:val="auto"/>
              </w:rPr>
            </w:pPr>
          </w:p>
        </w:tc>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299</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7,924</w:t>
            </w:r>
          </w:p>
        </w:tc>
        <w:tc>
          <w:tcPr>
            <w:tcW w:w="0" w:type="dxa"/>
            <w:vAlign w:val="bottom"/>
          </w:tcPr>
          <w:p>
            <w:pPr>
              <w:spacing w:after="0"/>
              <w:rPr>
                <w:sz w:val="1"/>
                <w:szCs w:val="1"/>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Obligations of State and Political Subdivisions</w:t>
            </w:r>
          </w:p>
        </w:tc>
        <w:tc>
          <w:tcPr>
            <w:tcW w:w="8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293</w:t>
            </w:r>
          </w:p>
        </w:tc>
        <w:tc>
          <w:tcPr>
            <w:tcW w:w="980" w:type="dxa"/>
            <w:vAlign w:val="bottom"/>
          </w:tcPr>
          <w:p>
            <w:pPr>
              <w:spacing w:after="0"/>
              <w:rPr>
                <w:sz w:val="14"/>
                <w:szCs w:val="14"/>
                <w:color w:val="auto"/>
              </w:rPr>
            </w:pPr>
          </w:p>
        </w:tc>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w:t>
            </w:r>
          </w:p>
        </w:tc>
        <w:tc>
          <w:tcPr>
            <w:tcW w:w="480" w:type="dxa"/>
            <w:vAlign w:val="bottom"/>
          </w:tcPr>
          <w:p>
            <w:pPr>
              <w:spacing w:after="0"/>
              <w:rPr>
                <w:sz w:val="14"/>
                <w:szCs w:val="14"/>
                <w:color w:val="auto"/>
              </w:rPr>
            </w:pPr>
          </w:p>
        </w:tc>
        <w:tc>
          <w:tcPr>
            <w:tcW w:w="9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292</w:t>
            </w:r>
          </w:p>
        </w:tc>
        <w:tc>
          <w:tcPr>
            <w:tcW w:w="0" w:type="dxa"/>
            <w:vAlign w:val="bottom"/>
          </w:tcPr>
          <w:p>
            <w:pPr>
              <w:spacing w:after="0"/>
              <w:rPr>
                <w:sz w:val="1"/>
                <w:szCs w:val="1"/>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Debt Securities Issued by Foreign Governments</w:t>
            </w:r>
          </w:p>
        </w:tc>
        <w:tc>
          <w:tcPr>
            <w:tcW w:w="8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6,189</w:t>
            </w:r>
          </w:p>
        </w:tc>
        <w:tc>
          <w:tcPr>
            <w:tcW w:w="980" w:type="dxa"/>
            <w:vAlign w:val="bottom"/>
          </w:tcPr>
          <w:p>
            <w:pPr>
              <w:spacing w:after="0"/>
              <w:rPr>
                <w:sz w:val="14"/>
                <w:szCs w:val="14"/>
                <w:color w:val="auto"/>
              </w:rPr>
            </w:pPr>
          </w:p>
        </w:tc>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74</w:t>
            </w:r>
          </w:p>
        </w:tc>
        <w:tc>
          <w:tcPr>
            <w:tcW w:w="480" w:type="dxa"/>
            <w:vAlign w:val="bottom"/>
          </w:tcPr>
          <w:p>
            <w:pPr>
              <w:spacing w:after="0"/>
              <w:rPr>
                <w:sz w:val="14"/>
                <w:szCs w:val="14"/>
                <w:color w:val="auto"/>
              </w:rPr>
            </w:pPr>
          </w:p>
        </w:tc>
        <w:tc>
          <w:tcPr>
            <w:tcW w:w="9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6,243</w:t>
            </w:r>
          </w:p>
        </w:tc>
        <w:tc>
          <w:tcPr>
            <w:tcW w:w="0" w:type="dxa"/>
            <w:vAlign w:val="bottom"/>
          </w:tcPr>
          <w:p>
            <w:pPr>
              <w:spacing w:after="0"/>
              <w:rPr>
                <w:sz w:val="1"/>
                <w:szCs w:val="1"/>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Debt Securities</w:t>
            </w:r>
          </w:p>
        </w:tc>
        <w:tc>
          <w:tcPr>
            <w:tcW w:w="8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986</w:t>
            </w:r>
          </w:p>
        </w:tc>
        <w:tc>
          <w:tcPr>
            <w:tcW w:w="980" w:type="dxa"/>
            <w:vAlign w:val="bottom"/>
          </w:tcPr>
          <w:p>
            <w:pPr>
              <w:spacing w:after="0"/>
              <w:rPr>
                <w:sz w:val="14"/>
                <w:szCs w:val="14"/>
                <w:color w:val="auto"/>
              </w:rPr>
            </w:pPr>
          </w:p>
        </w:tc>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30</w:t>
            </w:r>
          </w:p>
        </w:tc>
        <w:tc>
          <w:tcPr>
            <w:tcW w:w="480" w:type="dxa"/>
            <w:vAlign w:val="bottom"/>
          </w:tcPr>
          <w:p>
            <w:pPr>
              <w:spacing w:after="0"/>
              <w:rPr>
                <w:sz w:val="14"/>
                <w:szCs w:val="14"/>
                <w:color w:val="auto"/>
              </w:rPr>
            </w:pPr>
          </w:p>
        </w:tc>
        <w:tc>
          <w:tcPr>
            <w:tcW w:w="9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12</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1,004</w:t>
            </w:r>
          </w:p>
        </w:tc>
        <w:tc>
          <w:tcPr>
            <w:tcW w:w="0" w:type="dxa"/>
            <w:vAlign w:val="bottom"/>
          </w:tcPr>
          <w:p>
            <w:pPr>
              <w:spacing w:after="0"/>
              <w:rPr>
                <w:sz w:val="1"/>
                <w:szCs w:val="1"/>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Collateralized Mortgage Obligations (b)</w:t>
            </w:r>
          </w:p>
        </w:tc>
        <w:tc>
          <w:tcPr>
            <w:tcW w:w="8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191</w:t>
            </w:r>
          </w:p>
        </w:tc>
        <w:tc>
          <w:tcPr>
            <w:tcW w:w="980" w:type="dxa"/>
            <w:vAlign w:val="bottom"/>
          </w:tcPr>
          <w:p>
            <w:pPr>
              <w:spacing w:after="0"/>
              <w:rPr>
                <w:sz w:val="14"/>
                <w:szCs w:val="14"/>
                <w:color w:val="auto"/>
              </w:rPr>
            </w:pPr>
          </w:p>
        </w:tc>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w:t>
            </w:r>
          </w:p>
        </w:tc>
        <w:tc>
          <w:tcPr>
            <w:tcW w:w="480" w:type="dxa"/>
            <w:vAlign w:val="bottom"/>
          </w:tcPr>
          <w:p>
            <w:pPr>
              <w:spacing w:after="0"/>
              <w:rPr>
                <w:sz w:val="14"/>
                <w:szCs w:val="14"/>
                <w:color w:val="auto"/>
              </w:rPr>
            </w:pPr>
          </w:p>
        </w:tc>
        <w:tc>
          <w:tcPr>
            <w:tcW w:w="9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186</w:t>
            </w:r>
          </w:p>
        </w:tc>
        <w:tc>
          <w:tcPr>
            <w:tcW w:w="0" w:type="dxa"/>
            <w:vAlign w:val="bottom"/>
          </w:tcPr>
          <w:p>
            <w:pPr>
              <w:spacing w:after="0"/>
              <w:rPr>
                <w:sz w:val="1"/>
                <w:szCs w:val="1"/>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Securities</w:t>
            </w:r>
          </w:p>
        </w:tc>
        <w:tc>
          <w:tcPr>
            <w:tcW w:w="8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1,004</w:t>
            </w:r>
          </w:p>
        </w:tc>
        <w:tc>
          <w:tcPr>
            <w:tcW w:w="980" w:type="dxa"/>
            <w:vAlign w:val="bottom"/>
          </w:tcPr>
          <w:p>
            <w:pPr>
              <w:spacing w:after="0"/>
              <w:rPr>
                <w:sz w:val="14"/>
                <w:szCs w:val="14"/>
                <w:color w:val="auto"/>
              </w:rPr>
            </w:pPr>
          </w:p>
        </w:tc>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143</w:t>
            </w:r>
          </w:p>
        </w:tc>
        <w:tc>
          <w:tcPr>
            <w:tcW w:w="480" w:type="dxa"/>
            <w:vAlign w:val="bottom"/>
          </w:tcPr>
          <w:p>
            <w:pPr>
              <w:spacing w:after="0"/>
              <w:rPr>
                <w:sz w:val="14"/>
                <w:szCs w:val="14"/>
                <w:color w:val="auto"/>
              </w:rPr>
            </w:pPr>
          </w:p>
        </w:tc>
        <w:tc>
          <w:tcPr>
            <w:tcW w:w="9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1,147</w:t>
            </w:r>
          </w:p>
        </w:tc>
        <w:tc>
          <w:tcPr>
            <w:tcW w:w="0" w:type="dxa"/>
            <w:vAlign w:val="bottom"/>
          </w:tcPr>
          <w:p>
            <w:pPr>
              <w:spacing w:after="0"/>
              <w:rPr>
                <w:sz w:val="1"/>
                <w:szCs w:val="1"/>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primarily Asset-Backed Securities</w:t>
            </w:r>
          </w:p>
        </w:tc>
        <w:tc>
          <w:tcPr>
            <w:tcW w:w="8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283</w:t>
            </w:r>
          </w:p>
        </w:tc>
        <w:tc>
          <w:tcPr>
            <w:tcW w:w="980" w:type="dxa"/>
            <w:vAlign w:val="bottom"/>
          </w:tcPr>
          <w:p>
            <w:pPr>
              <w:spacing w:after="0"/>
              <w:rPr>
                <w:sz w:val="14"/>
                <w:szCs w:val="14"/>
                <w:color w:val="auto"/>
              </w:rPr>
            </w:pPr>
          </w:p>
        </w:tc>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w:t>
            </w:r>
          </w:p>
        </w:tc>
        <w:tc>
          <w:tcPr>
            <w:tcW w:w="480" w:type="dxa"/>
            <w:vAlign w:val="bottom"/>
          </w:tcPr>
          <w:p>
            <w:pPr>
              <w:spacing w:after="0"/>
              <w:rPr>
                <w:sz w:val="14"/>
                <w:szCs w:val="14"/>
                <w:color w:val="auto"/>
              </w:rPr>
            </w:pPr>
          </w:p>
        </w:tc>
        <w:tc>
          <w:tcPr>
            <w:tcW w:w="9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286</w:t>
            </w:r>
          </w:p>
        </w:tc>
        <w:tc>
          <w:tcPr>
            <w:tcW w:w="0" w:type="dxa"/>
            <w:vAlign w:val="bottom"/>
          </w:tcPr>
          <w:p>
            <w:pPr>
              <w:spacing w:after="0"/>
              <w:rPr>
                <w:sz w:val="1"/>
                <w:szCs w:val="1"/>
                <w:color w:val="auto"/>
              </w:rPr>
            </w:pPr>
          </w:p>
        </w:tc>
      </w:tr>
      <w:tr>
        <w:trPr>
          <w:trHeight w:val="168"/>
        </w:trPr>
        <w:tc>
          <w:tcPr>
            <w:tcW w:w="420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Total Available-for-Sale Securities</w:t>
            </w: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200" w:type="dxa"/>
            <w:vAlign w:val="bottom"/>
            <w:vMerge w:val="continue"/>
          </w:tcPr>
          <w:p>
            <w:pPr>
              <w:spacing w:after="0"/>
              <w:rPr>
                <w:sz w:val="14"/>
                <w:szCs w:val="14"/>
                <w:color w:val="auto"/>
              </w:rPr>
            </w:pPr>
          </w:p>
        </w:tc>
        <w:tc>
          <w:tcPr>
            <w:tcW w:w="8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38,402</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278</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825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37,855</w:t>
            </w:r>
          </w:p>
        </w:tc>
        <w:tc>
          <w:tcPr>
            <w:tcW w:w="0" w:type="dxa"/>
            <w:vAlign w:val="bottom"/>
          </w:tcPr>
          <w:p>
            <w:pPr>
              <w:spacing w:after="0"/>
              <w:rPr>
                <w:sz w:val="1"/>
                <w:szCs w:val="1"/>
                <w:color w:val="auto"/>
              </w:rPr>
            </w:pPr>
          </w:p>
        </w:tc>
      </w:tr>
      <w:tr>
        <w:trPr>
          <w:trHeight w:val="245"/>
        </w:trPr>
        <w:tc>
          <w:tcPr>
            <w:tcW w:w="4200" w:type="dxa"/>
            <w:vAlign w:val="bottom"/>
          </w:tcPr>
          <w:p>
            <w:pPr>
              <w:spacing w:after="0"/>
              <w:rPr>
                <w:sz w:val="21"/>
                <w:szCs w:val="21"/>
                <w:color w:val="auto"/>
              </w:rPr>
            </w:pPr>
          </w:p>
        </w:tc>
        <w:tc>
          <w:tcPr>
            <w:tcW w:w="16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96"/>
        </w:trPr>
        <w:tc>
          <w:tcPr>
            <w:tcW w:w="4200" w:type="dxa"/>
            <w:vAlign w:val="bottom"/>
          </w:tcPr>
          <w:p>
            <w:pPr>
              <w:spacing w:after="0"/>
              <w:rPr>
                <w:sz w:val="20"/>
                <w:szCs w:val="20"/>
                <w:color w:val="auto"/>
              </w:rPr>
            </w:pPr>
            <w:r>
              <w:rPr>
                <w:rFonts w:ascii="Courier New" w:cs="Courier New" w:eastAsia="Courier New" w:hAnsi="Courier New"/>
                <w:sz w:val="15"/>
                <w:szCs w:val="15"/>
                <w:color w:val="auto"/>
              </w:rPr>
              <w:t>December 31, 1995 (in millions)</w:t>
            </w:r>
          </w:p>
        </w:tc>
        <w:tc>
          <w:tcPr>
            <w:tcW w:w="1660" w:type="dxa"/>
            <w:vAlign w:val="bottom"/>
            <w:gridSpan w:val="2"/>
            <w:vMerge w:val="restart"/>
          </w:tcPr>
          <w:p>
            <w:pPr>
              <w:ind w:left="620"/>
              <w:spacing w:after="0"/>
              <w:rPr>
                <w:sz w:val="20"/>
                <w:szCs w:val="20"/>
                <w:color w:val="auto"/>
              </w:rPr>
            </w:pPr>
            <w:r>
              <w:rPr>
                <w:rFonts w:ascii="Courier New" w:cs="Courier New" w:eastAsia="Courier New" w:hAnsi="Courier New"/>
                <w:sz w:val="15"/>
                <w:szCs w:val="15"/>
                <w:color w:val="auto"/>
              </w:rPr>
              <w:t>Amortized</w:t>
            </w:r>
          </w:p>
        </w:tc>
        <w:tc>
          <w:tcPr>
            <w:tcW w:w="198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Gross</w:t>
            </w:r>
          </w:p>
        </w:tc>
        <w:tc>
          <w:tcPr>
            <w:tcW w:w="14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Gross</w:t>
            </w:r>
          </w:p>
        </w:tc>
        <w:tc>
          <w:tcPr>
            <w:tcW w:w="220" w:type="dxa"/>
            <w:vAlign w:val="bottom"/>
          </w:tcPr>
          <w:p>
            <w:pPr>
              <w:spacing w:after="0"/>
              <w:rPr>
                <w:sz w:val="24"/>
                <w:szCs w:val="24"/>
                <w:color w:val="auto"/>
              </w:rPr>
            </w:pPr>
          </w:p>
        </w:tc>
        <w:tc>
          <w:tcPr>
            <w:tcW w:w="7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Fair</w:t>
            </w:r>
          </w:p>
        </w:tc>
        <w:tc>
          <w:tcPr>
            <w:tcW w:w="0" w:type="dxa"/>
            <w:vAlign w:val="bottom"/>
          </w:tcPr>
          <w:p>
            <w:pPr>
              <w:spacing w:after="0"/>
              <w:rPr>
                <w:sz w:val="1"/>
                <w:szCs w:val="1"/>
                <w:color w:val="auto"/>
              </w:rPr>
            </w:pPr>
          </w:p>
        </w:tc>
      </w:tr>
      <w:tr>
        <w:trPr>
          <w:trHeight w:val="168"/>
        </w:trPr>
        <w:tc>
          <w:tcPr>
            <w:tcW w:w="420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9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Unrealized</w:t>
            </w:r>
          </w:p>
        </w:tc>
        <w:tc>
          <w:tcPr>
            <w:tcW w:w="14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Unrealized</w:t>
            </w: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00" w:type="dxa"/>
            <w:vAlign w:val="bottom"/>
          </w:tcPr>
          <w:p>
            <w:pPr>
              <w:spacing w:after="0"/>
              <w:rPr>
                <w:sz w:val="14"/>
                <w:szCs w:val="14"/>
                <w:color w:val="auto"/>
              </w:rPr>
            </w:pPr>
          </w:p>
        </w:tc>
        <w:tc>
          <w:tcPr>
            <w:tcW w:w="166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Cost</w:t>
            </w:r>
          </w:p>
        </w:tc>
        <w:tc>
          <w:tcPr>
            <w:tcW w:w="1980" w:type="dxa"/>
            <w:vAlign w:val="bottom"/>
            <w:gridSpan w:val="2"/>
          </w:tcPr>
          <w:p>
            <w:pPr>
              <w:jc w:val="right"/>
              <w:ind w:right="767"/>
              <w:spacing w:after="0" w:line="168" w:lineRule="exact"/>
              <w:rPr>
                <w:sz w:val="20"/>
                <w:szCs w:val="20"/>
                <w:color w:val="auto"/>
              </w:rPr>
            </w:pPr>
            <w:r>
              <w:rPr>
                <w:rFonts w:ascii="Courier New" w:cs="Courier New" w:eastAsia="Courier New" w:hAnsi="Courier New"/>
                <w:sz w:val="15"/>
                <w:szCs w:val="15"/>
                <w:color w:val="auto"/>
              </w:rPr>
              <w:t>Gains</w:t>
            </w:r>
          </w:p>
        </w:tc>
        <w:tc>
          <w:tcPr>
            <w:tcW w:w="14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Losses</w:t>
            </w:r>
          </w:p>
        </w:tc>
        <w:tc>
          <w:tcPr>
            <w:tcW w:w="22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Value(a)</w:t>
            </w:r>
          </w:p>
        </w:tc>
        <w:tc>
          <w:tcPr>
            <w:tcW w:w="0" w:type="dxa"/>
            <w:vAlign w:val="bottom"/>
          </w:tcPr>
          <w:p>
            <w:pPr>
              <w:spacing w:after="0"/>
              <w:rPr>
                <w:sz w:val="1"/>
                <w:szCs w:val="1"/>
                <w:color w:val="auto"/>
              </w:rPr>
            </w:pPr>
          </w:p>
        </w:tc>
      </w:tr>
      <w:tr>
        <w:trPr>
          <w:trHeight w:val="245"/>
        </w:trPr>
        <w:tc>
          <w:tcPr>
            <w:tcW w:w="4200" w:type="dxa"/>
            <w:vAlign w:val="bottom"/>
            <w:vMerge w:val="restart"/>
          </w:tcPr>
          <w:p>
            <w:pPr>
              <w:spacing w:after="0"/>
              <w:rPr>
                <w:sz w:val="20"/>
                <w:szCs w:val="20"/>
                <w:color w:val="auto"/>
              </w:rPr>
            </w:pPr>
            <w:r>
              <w:rPr>
                <w:rFonts w:ascii="Courier New" w:cs="Courier New" w:eastAsia="Courier New" w:hAnsi="Courier New"/>
                <w:sz w:val="15"/>
                <w:szCs w:val="15"/>
                <w:color w:val="auto"/>
              </w:rPr>
              <w:t>U.S. Government and Federal</w:t>
            </w:r>
          </w:p>
        </w:tc>
        <w:tc>
          <w:tcPr>
            <w:tcW w:w="166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4"/>
              </w:rPr>
              <w:t>------------</w:t>
            </w:r>
          </w:p>
        </w:tc>
        <w:tc>
          <w:tcPr>
            <w:tcW w:w="19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91"/>
        </w:trPr>
        <w:tc>
          <w:tcPr>
            <w:tcW w:w="420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Agency/Corporation Obligations:</w:t>
            </w:r>
          </w:p>
        </w:tc>
        <w:tc>
          <w:tcPr>
            <w:tcW w:w="800" w:type="dxa"/>
            <w:vAlign w:val="bottom"/>
            <w:vMerge w:val="restart"/>
          </w:tcPr>
          <w:p>
            <w:pPr>
              <w:ind w:left="620"/>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19,029</w:t>
            </w:r>
          </w:p>
        </w:tc>
        <w:tc>
          <w:tcPr>
            <w:tcW w:w="9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205</w:t>
            </w:r>
          </w:p>
        </w:tc>
        <w:tc>
          <w:tcPr>
            <w:tcW w:w="48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2</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19,232</w:t>
            </w:r>
          </w:p>
        </w:tc>
        <w:tc>
          <w:tcPr>
            <w:tcW w:w="0" w:type="dxa"/>
            <w:vAlign w:val="bottom"/>
          </w:tcPr>
          <w:p>
            <w:pPr>
              <w:spacing w:after="0"/>
              <w:rPr>
                <w:sz w:val="1"/>
                <w:szCs w:val="1"/>
                <w:color w:val="auto"/>
              </w:rPr>
            </w:pPr>
          </w:p>
        </w:tc>
      </w:tr>
      <w:tr>
        <w:trPr>
          <w:trHeight w:val="168"/>
        </w:trPr>
        <w:tc>
          <w:tcPr>
            <w:tcW w:w="42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Mortgage-Backed Securities</w:t>
            </w:r>
          </w:p>
        </w:tc>
        <w:tc>
          <w:tcPr>
            <w:tcW w:w="8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Collateralized Mortgage Obligations</w:t>
            </w:r>
          </w:p>
        </w:tc>
        <w:tc>
          <w:tcPr>
            <w:tcW w:w="8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1,132</w:t>
            </w:r>
          </w:p>
        </w:tc>
        <w:tc>
          <w:tcPr>
            <w:tcW w:w="980" w:type="dxa"/>
            <w:vAlign w:val="bottom"/>
          </w:tcPr>
          <w:p>
            <w:pPr>
              <w:spacing w:after="0"/>
              <w:rPr>
                <w:sz w:val="14"/>
                <w:szCs w:val="14"/>
                <w:color w:val="auto"/>
              </w:rPr>
            </w:pPr>
          </w:p>
        </w:tc>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1,124</w:t>
            </w:r>
          </w:p>
        </w:tc>
        <w:tc>
          <w:tcPr>
            <w:tcW w:w="0" w:type="dxa"/>
            <w:vAlign w:val="bottom"/>
          </w:tcPr>
          <w:p>
            <w:pPr>
              <w:spacing w:after="0"/>
              <w:rPr>
                <w:sz w:val="1"/>
                <w:szCs w:val="1"/>
                <w:color w:val="auto"/>
              </w:rPr>
            </w:pPr>
          </w:p>
        </w:tc>
      </w:tr>
      <w:tr>
        <w:trPr>
          <w:trHeight w:val="168"/>
        </w:trPr>
        <w:tc>
          <w:tcPr>
            <w:tcW w:w="42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 primarily U.S. Treasuries</w:t>
            </w:r>
          </w:p>
        </w:tc>
        <w:tc>
          <w:tcPr>
            <w:tcW w:w="8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5,020</w:t>
            </w:r>
          </w:p>
        </w:tc>
        <w:tc>
          <w:tcPr>
            <w:tcW w:w="980" w:type="dxa"/>
            <w:vAlign w:val="bottom"/>
          </w:tcPr>
          <w:p>
            <w:pPr>
              <w:spacing w:after="0"/>
              <w:rPr>
                <w:sz w:val="14"/>
                <w:szCs w:val="14"/>
                <w:color w:val="auto"/>
              </w:rPr>
            </w:pPr>
          </w:p>
        </w:tc>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w:t>
            </w:r>
          </w:p>
        </w:tc>
        <w:tc>
          <w:tcPr>
            <w:tcW w:w="480" w:type="dxa"/>
            <w:vAlign w:val="bottom"/>
          </w:tcPr>
          <w:p>
            <w:pPr>
              <w:spacing w:after="0"/>
              <w:rPr>
                <w:sz w:val="14"/>
                <w:szCs w:val="14"/>
                <w:color w:val="auto"/>
              </w:rPr>
            </w:pPr>
          </w:p>
        </w:tc>
        <w:tc>
          <w:tcPr>
            <w:tcW w:w="9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53</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4,971</w:t>
            </w:r>
          </w:p>
        </w:tc>
        <w:tc>
          <w:tcPr>
            <w:tcW w:w="0" w:type="dxa"/>
            <w:vAlign w:val="bottom"/>
          </w:tcPr>
          <w:p>
            <w:pPr>
              <w:spacing w:after="0"/>
              <w:rPr>
                <w:sz w:val="1"/>
                <w:szCs w:val="1"/>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Obligations of State and Political Subdivisions</w:t>
            </w:r>
          </w:p>
        </w:tc>
        <w:tc>
          <w:tcPr>
            <w:tcW w:w="8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633</w:t>
            </w:r>
          </w:p>
        </w:tc>
        <w:tc>
          <w:tcPr>
            <w:tcW w:w="980" w:type="dxa"/>
            <w:vAlign w:val="bottom"/>
          </w:tcPr>
          <w:p>
            <w:pPr>
              <w:spacing w:after="0"/>
              <w:rPr>
                <w:sz w:val="14"/>
                <w:szCs w:val="14"/>
                <w:color w:val="auto"/>
              </w:rPr>
            </w:pPr>
          </w:p>
        </w:tc>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6</w:t>
            </w:r>
          </w:p>
        </w:tc>
        <w:tc>
          <w:tcPr>
            <w:tcW w:w="480" w:type="dxa"/>
            <w:vAlign w:val="bottom"/>
          </w:tcPr>
          <w:p>
            <w:pPr>
              <w:spacing w:after="0"/>
              <w:rPr>
                <w:sz w:val="14"/>
                <w:szCs w:val="14"/>
                <w:color w:val="auto"/>
              </w:rPr>
            </w:pPr>
          </w:p>
        </w:tc>
        <w:tc>
          <w:tcPr>
            <w:tcW w:w="9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639</w:t>
            </w:r>
          </w:p>
        </w:tc>
        <w:tc>
          <w:tcPr>
            <w:tcW w:w="0" w:type="dxa"/>
            <w:vAlign w:val="bottom"/>
          </w:tcPr>
          <w:p>
            <w:pPr>
              <w:spacing w:after="0"/>
              <w:rPr>
                <w:sz w:val="1"/>
                <w:szCs w:val="1"/>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Debt Securities Issued by Foreign Governments</w:t>
            </w:r>
          </w:p>
        </w:tc>
        <w:tc>
          <w:tcPr>
            <w:tcW w:w="8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8,084</w:t>
            </w:r>
          </w:p>
        </w:tc>
        <w:tc>
          <w:tcPr>
            <w:tcW w:w="980" w:type="dxa"/>
            <w:vAlign w:val="bottom"/>
          </w:tcPr>
          <w:p>
            <w:pPr>
              <w:spacing w:after="0"/>
              <w:rPr>
                <w:sz w:val="14"/>
                <w:szCs w:val="14"/>
                <w:color w:val="auto"/>
              </w:rPr>
            </w:pPr>
          </w:p>
        </w:tc>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234</w:t>
            </w:r>
          </w:p>
        </w:tc>
        <w:tc>
          <w:tcPr>
            <w:tcW w:w="480" w:type="dxa"/>
            <w:vAlign w:val="bottom"/>
          </w:tcPr>
          <w:p>
            <w:pPr>
              <w:spacing w:after="0"/>
              <w:rPr>
                <w:sz w:val="14"/>
                <w:szCs w:val="14"/>
                <w:color w:val="auto"/>
              </w:rPr>
            </w:pPr>
          </w:p>
        </w:tc>
        <w:tc>
          <w:tcPr>
            <w:tcW w:w="9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146</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8,172</w:t>
            </w:r>
          </w:p>
        </w:tc>
        <w:tc>
          <w:tcPr>
            <w:tcW w:w="0" w:type="dxa"/>
            <w:vAlign w:val="bottom"/>
          </w:tcPr>
          <w:p>
            <w:pPr>
              <w:spacing w:after="0"/>
              <w:rPr>
                <w:sz w:val="1"/>
                <w:szCs w:val="1"/>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Debt Securities</w:t>
            </w:r>
          </w:p>
        </w:tc>
        <w:tc>
          <w:tcPr>
            <w:tcW w:w="8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716</w:t>
            </w:r>
          </w:p>
        </w:tc>
        <w:tc>
          <w:tcPr>
            <w:tcW w:w="980" w:type="dxa"/>
            <w:vAlign w:val="bottom"/>
          </w:tcPr>
          <w:p>
            <w:pPr>
              <w:spacing w:after="0"/>
              <w:rPr>
                <w:sz w:val="14"/>
                <w:szCs w:val="14"/>
                <w:color w:val="auto"/>
              </w:rPr>
            </w:pPr>
          </w:p>
        </w:tc>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31</w:t>
            </w:r>
          </w:p>
        </w:tc>
        <w:tc>
          <w:tcPr>
            <w:tcW w:w="480" w:type="dxa"/>
            <w:vAlign w:val="bottom"/>
          </w:tcPr>
          <w:p>
            <w:pPr>
              <w:spacing w:after="0"/>
              <w:rPr>
                <w:sz w:val="14"/>
                <w:szCs w:val="14"/>
                <w:color w:val="auto"/>
              </w:rPr>
            </w:pPr>
          </w:p>
        </w:tc>
        <w:tc>
          <w:tcPr>
            <w:tcW w:w="9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737</w:t>
            </w:r>
          </w:p>
        </w:tc>
        <w:tc>
          <w:tcPr>
            <w:tcW w:w="0" w:type="dxa"/>
            <w:vAlign w:val="bottom"/>
          </w:tcPr>
          <w:p>
            <w:pPr>
              <w:spacing w:after="0"/>
              <w:rPr>
                <w:sz w:val="1"/>
                <w:szCs w:val="1"/>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Collateralized Mortgage Obligations (b)</w:t>
            </w:r>
          </w:p>
        </w:tc>
        <w:tc>
          <w:tcPr>
            <w:tcW w:w="8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246</w:t>
            </w:r>
          </w:p>
        </w:tc>
        <w:tc>
          <w:tcPr>
            <w:tcW w:w="980" w:type="dxa"/>
            <w:vAlign w:val="bottom"/>
          </w:tcPr>
          <w:p>
            <w:pPr>
              <w:spacing w:after="0"/>
              <w:rPr>
                <w:sz w:val="14"/>
                <w:szCs w:val="14"/>
                <w:color w:val="auto"/>
              </w:rPr>
            </w:pPr>
          </w:p>
        </w:tc>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245</w:t>
            </w:r>
          </w:p>
        </w:tc>
        <w:tc>
          <w:tcPr>
            <w:tcW w:w="0" w:type="dxa"/>
            <w:vAlign w:val="bottom"/>
          </w:tcPr>
          <w:p>
            <w:pPr>
              <w:spacing w:after="0"/>
              <w:rPr>
                <w:sz w:val="1"/>
                <w:szCs w:val="1"/>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Securities</w:t>
            </w:r>
          </w:p>
        </w:tc>
        <w:tc>
          <w:tcPr>
            <w:tcW w:w="8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999</w:t>
            </w:r>
          </w:p>
        </w:tc>
        <w:tc>
          <w:tcPr>
            <w:tcW w:w="980" w:type="dxa"/>
            <w:vAlign w:val="bottom"/>
          </w:tcPr>
          <w:p>
            <w:pPr>
              <w:spacing w:after="0"/>
              <w:rPr>
                <w:sz w:val="14"/>
                <w:szCs w:val="14"/>
                <w:color w:val="auto"/>
              </w:rPr>
            </w:pPr>
          </w:p>
        </w:tc>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169</w:t>
            </w:r>
          </w:p>
        </w:tc>
        <w:tc>
          <w:tcPr>
            <w:tcW w:w="480" w:type="dxa"/>
            <w:vAlign w:val="bottom"/>
          </w:tcPr>
          <w:p>
            <w:pPr>
              <w:spacing w:after="0"/>
              <w:rPr>
                <w:sz w:val="14"/>
                <w:szCs w:val="14"/>
                <w:color w:val="auto"/>
              </w:rPr>
            </w:pPr>
          </w:p>
        </w:tc>
        <w:tc>
          <w:tcPr>
            <w:tcW w:w="9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1,164</w:t>
            </w:r>
          </w:p>
        </w:tc>
        <w:tc>
          <w:tcPr>
            <w:tcW w:w="0" w:type="dxa"/>
            <w:vAlign w:val="bottom"/>
          </w:tcPr>
          <w:p>
            <w:pPr>
              <w:spacing w:after="0"/>
              <w:rPr>
                <w:sz w:val="1"/>
                <w:szCs w:val="1"/>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primarily Asset-Backed Securities</w:t>
            </w:r>
          </w:p>
        </w:tc>
        <w:tc>
          <w:tcPr>
            <w:tcW w:w="8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853</w:t>
            </w:r>
          </w:p>
        </w:tc>
        <w:tc>
          <w:tcPr>
            <w:tcW w:w="980" w:type="dxa"/>
            <w:vAlign w:val="bottom"/>
          </w:tcPr>
          <w:p>
            <w:pPr>
              <w:spacing w:after="0"/>
              <w:rPr>
                <w:sz w:val="14"/>
                <w:szCs w:val="14"/>
                <w:color w:val="auto"/>
              </w:rPr>
            </w:pPr>
          </w:p>
        </w:tc>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9</w:t>
            </w:r>
          </w:p>
        </w:tc>
        <w:tc>
          <w:tcPr>
            <w:tcW w:w="480" w:type="dxa"/>
            <w:vAlign w:val="bottom"/>
          </w:tcPr>
          <w:p>
            <w:pPr>
              <w:spacing w:after="0"/>
              <w:rPr>
                <w:sz w:val="14"/>
                <w:szCs w:val="14"/>
                <w:color w:val="auto"/>
              </w:rPr>
            </w:pPr>
          </w:p>
        </w:tc>
        <w:tc>
          <w:tcPr>
            <w:tcW w:w="9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857</w:t>
            </w:r>
          </w:p>
        </w:tc>
        <w:tc>
          <w:tcPr>
            <w:tcW w:w="0" w:type="dxa"/>
            <w:vAlign w:val="bottom"/>
          </w:tcPr>
          <w:p>
            <w:pPr>
              <w:spacing w:after="0"/>
              <w:rPr>
                <w:sz w:val="1"/>
                <w:szCs w:val="1"/>
                <w:color w:val="auto"/>
              </w:rPr>
            </w:pPr>
          </w:p>
        </w:tc>
      </w:tr>
      <w:tr>
        <w:trPr>
          <w:trHeight w:val="168"/>
        </w:trPr>
        <w:tc>
          <w:tcPr>
            <w:tcW w:w="420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Total Available-for-Sale Securities</w:t>
            </w: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200" w:type="dxa"/>
            <w:vAlign w:val="bottom"/>
            <w:vMerge w:val="continue"/>
          </w:tcPr>
          <w:p>
            <w:pPr>
              <w:spacing w:after="0"/>
              <w:rPr>
                <w:sz w:val="14"/>
                <w:szCs w:val="14"/>
                <w:color w:val="auto"/>
              </w:rPr>
            </w:pPr>
          </w:p>
        </w:tc>
        <w:tc>
          <w:tcPr>
            <w:tcW w:w="8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36,712</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658</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229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37,141</w:t>
            </w:r>
          </w:p>
        </w:tc>
        <w:tc>
          <w:tcPr>
            <w:tcW w:w="0" w:type="dxa"/>
            <w:vAlign w:val="bottom"/>
          </w:tcPr>
          <w:p>
            <w:pPr>
              <w:spacing w:after="0"/>
              <w:rPr>
                <w:sz w:val="1"/>
                <w:szCs w:val="1"/>
                <w:color w:val="auto"/>
              </w:rPr>
            </w:pPr>
          </w:p>
        </w:tc>
      </w:tr>
      <w:tr>
        <w:trPr>
          <w:trHeight w:val="245"/>
        </w:trPr>
        <w:tc>
          <w:tcPr>
            <w:tcW w:w="4200" w:type="dxa"/>
            <w:vAlign w:val="bottom"/>
          </w:tcPr>
          <w:p>
            <w:pPr>
              <w:spacing w:after="0"/>
              <w:rPr>
                <w:sz w:val="21"/>
                <w:szCs w:val="21"/>
                <w:color w:val="auto"/>
              </w:rPr>
            </w:pPr>
          </w:p>
        </w:tc>
        <w:tc>
          <w:tcPr>
            <w:tcW w:w="16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jc w:val="both"/>
        <w:ind w:left="540" w:right="3240" w:hanging="530"/>
        <w:spacing w:after="0" w:line="264" w:lineRule="auto"/>
        <w:tabs>
          <w:tab w:leader="none" w:pos="5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Corporation's portfolio of securities generally consists of investment-grade securities. The fair value of actively-traded securities is determined by the secondary market, while the fair value for nonactively-traded securities is based on independent broker quotations.</w:t>
      </w:r>
    </w:p>
    <w:p>
      <w:pPr>
        <w:jc w:val="both"/>
        <w:ind w:left="540" w:right="3240" w:hanging="530"/>
        <w:spacing w:after="0" w:line="272" w:lineRule="auto"/>
        <w:tabs>
          <w:tab w:leader="none" w:pos="5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Collateralized mortgage obligations of private issuers generally have underlying collateral consisting of obligations of U.S. Government and Federal agencies and corporations.</w:t>
      </w:r>
    </w:p>
    <w:p>
      <w:pPr>
        <w:spacing w:after="0" w:line="200" w:lineRule="exact"/>
        <w:rPr>
          <w:sz w:val="20"/>
          <w:szCs w:val="20"/>
          <w:color w:val="auto"/>
        </w:rPr>
      </w:pPr>
    </w:p>
    <w:p>
      <w:pPr>
        <w:spacing w:after="0" w:line="20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40"/>
          </w:cols>
          <w:pgMar w:left="220" w:top="598" w:right="1439"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Held-to-Maturity Securities</w:t>
      </w:r>
    </w:p>
    <w:p>
      <w:pPr>
        <w:spacing w:after="0" w:line="166" w:lineRule="exact"/>
        <w:rPr>
          <w:sz w:val="20"/>
          <w:szCs w:val="20"/>
          <w:color w:val="auto"/>
        </w:rPr>
      </w:pPr>
    </w:p>
    <w:p>
      <w:pPr>
        <w:ind w:right="3240"/>
        <w:spacing w:after="0" w:line="344" w:lineRule="auto"/>
        <w:rPr>
          <w:sz w:val="20"/>
          <w:szCs w:val="20"/>
          <w:color w:val="auto"/>
        </w:rPr>
      </w:pPr>
      <w:r>
        <w:rPr>
          <w:rFonts w:ascii="Courier New" w:cs="Courier New" w:eastAsia="Courier New" w:hAnsi="Courier New"/>
          <w:sz w:val="15"/>
          <w:szCs w:val="15"/>
          <w:color w:val="auto"/>
        </w:rPr>
        <w:t>The amortized cost and estimated fair value of held-to-maturity securities for the dates indicated were as follows: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20"/>
                <w:szCs w:val="20"/>
                <w:color w:val="auto"/>
              </w:rPr>
            </w:pPr>
            <w:r>
              <w:rPr>
                <w:rFonts w:ascii="Courier New" w:cs="Courier New" w:eastAsia="Courier New" w:hAnsi="Courier New"/>
                <w:sz w:val="15"/>
                <w:szCs w:val="15"/>
                <w:color w:val="auto"/>
              </w:rPr>
              <w:t>June 30, 1996 (in millions)</w:t>
            </w:r>
          </w:p>
        </w:tc>
        <w:tc>
          <w:tcPr>
            <w:tcW w:w="1880" w:type="dxa"/>
            <w:vAlign w:val="bottom"/>
            <w:gridSpan w:val="2"/>
            <w:vMerge w:val="restart"/>
          </w:tcPr>
          <w:p>
            <w:pPr>
              <w:ind w:left="560"/>
              <w:spacing w:after="0"/>
              <w:rPr>
                <w:sz w:val="20"/>
                <w:szCs w:val="20"/>
                <w:color w:val="auto"/>
              </w:rPr>
            </w:pPr>
            <w:r>
              <w:rPr>
                <w:rFonts w:ascii="Courier New" w:cs="Courier New" w:eastAsia="Courier New" w:hAnsi="Courier New"/>
                <w:sz w:val="15"/>
                <w:szCs w:val="15"/>
                <w:color w:val="auto"/>
              </w:rPr>
              <w:t>Amortized</w:t>
            </w:r>
          </w:p>
        </w:tc>
        <w:tc>
          <w:tcPr>
            <w:tcW w:w="780" w:type="dxa"/>
            <w:vAlign w:val="bottom"/>
          </w:tcPr>
          <w:p>
            <w:pPr>
              <w:ind w:left="340"/>
              <w:spacing w:after="0"/>
              <w:rPr>
                <w:sz w:val="20"/>
                <w:szCs w:val="20"/>
                <w:color w:val="auto"/>
              </w:rPr>
            </w:pPr>
            <w:r>
              <w:rPr>
                <w:rFonts w:ascii="Courier New" w:cs="Courier New" w:eastAsia="Courier New" w:hAnsi="Courier New"/>
                <w:sz w:val="15"/>
                <w:szCs w:val="15"/>
                <w:color w:val="auto"/>
                <w:w w:val="93"/>
              </w:rPr>
              <w:t>Gross</w:t>
            </w:r>
          </w:p>
        </w:tc>
        <w:tc>
          <w:tcPr>
            <w:tcW w:w="84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w w:val="93"/>
              </w:rPr>
              <w:t>Gross</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restart"/>
          </w:tcPr>
          <w:p>
            <w:pPr>
              <w:spacing w:after="0"/>
              <w:rPr>
                <w:sz w:val="20"/>
                <w:szCs w:val="20"/>
                <w:color w:val="auto"/>
              </w:rPr>
            </w:pPr>
            <w:r>
              <w:rPr>
                <w:rFonts w:ascii="Courier New" w:cs="Courier New" w:eastAsia="Courier New" w:hAnsi="Courier New"/>
                <w:sz w:val="15"/>
                <w:szCs w:val="15"/>
                <w:color w:val="auto"/>
              </w:rPr>
              <w:t>Fair</w:t>
            </w:r>
          </w:p>
        </w:tc>
        <w:tc>
          <w:tcPr>
            <w:tcW w:w="0" w:type="dxa"/>
            <w:vAlign w:val="bottom"/>
          </w:tcPr>
          <w:p>
            <w:pPr>
              <w:spacing w:after="0"/>
              <w:rPr>
                <w:sz w:val="1"/>
                <w:szCs w:val="1"/>
                <w:color w:val="auto"/>
              </w:rPr>
            </w:pPr>
          </w:p>
        </w:tc>
      </w:tr>
      <w:tr>
        <w:trPr>
          <w:trHeight w:val="168"/>
        </w:trPr>
        <w:tc>
          <w:tcPr>
            <w:tcW w:w="434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6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Unrealized</w:t>
            </w:r>
          </w:p>
        </w:tc>
        <w:tc>
          <w:tcPr>
            <w:tcW w:w="13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Unrealized</w:t>
            </w: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spacing w:after="0"/>
              <w:rPr>
                <w:sz w:val="14"/>
                <w:szCs w:val="14"/>
                <w:color w:val="auto"/>
              </w:rPr>
            </w:pPr>
          </w:p>
        </w:tc>
        <w:tc>
          <w:tcPr>
            <w:tcW w:w="18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Cost</w:t>
            </w:r>
          </w:p>
        </w:tc>
        <w:tc>
          <w:tcPr>
            <w:tcW w:w="7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3"/>
              </w:rPr>
              <w:t>Gains</w:t>
            </w:r>
          </w:p>
        </w:tc>
        <w:tc>
          <w:tcPr>
            <w:tcW w:w="840" w:type="dxa"/>
            <w:vAlign w:val="bottom"/>
          </w:tcPr>
          <w:p>
            <w:pPr>
              <w:spacing w:after="0"/>
              <w:rPr>
                <w:sz w:val="14"/>
                <w:szCs w:val="14"/>
                <w:color w:val="auto"/>
              </w:rPr>
            </w:pPr>
          </w:p>
        </w:tc>
        <w:tc>
          <w:tcPr>
            <w:tcW w:w="13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Losses</w:t>
            </w:r>
          </w:p>
        </w:tc>
        <w:tc>
          <w:tcPr>
            <w:tcW w:w="26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Value(a)</w:t>
            </w:r>
          </w:p>
        </w:tc>
        <w:tc>
          <w:tcPr>
            <w:tcW w:w="0" w:type="dxa"/>
            <w:vAlign w:val="bottom"/>
          </w:tcPr>
          <w:p>
            <w:pPr>
              <w:spacing w:after="0"/>
              <w:rPr>
                <w:sz w:val="1"/>
                <w:szCs w:val="1"/>
                <w:color w:val="auto"/>
              </w:rPr>
            </w:pPr>
          </w:p>
        </w:tc>
      </w:tr>
      <w:tr>
        <w:trPr>
          <w:trHeight w:val="245"/>
        </w:trPr>
        <w:tc>
          <w:tcPr>
            <w:tcW w:w="4340" w:type="dxa"/>
            <w:vAlign w:val="bottom"/>
            <w:vMerge w:val="restart"/>
          </w:tcPr>
          <w:p>
            <w:pPr>
              <w:spacing w:after="0"/>
              <w:rPr>
                <w:sz w:val="20"/>
                <w:szCs w:val="20"/>
                <w:color w:val="auto"/>
              </w:rPr>
            </w:pPr>
            <w:r>
              <w:rPr>
                <w:rFonts w:ascii="Courier New" w:cs="Courier New" w:eastAsia="Courier New" w:hAnsi="Courier New"/>
                <w:sz w:val="15"/>
                <w:szCs w:val="15"/>
                <w:color w:val="auto"/>
              </w:rPr>
              <w:t>U.S. Government and Federal</w:t>
            </w:r>
          </w:p>
        </w:tc>
        <w:tc>
          <w:tcPr>
            <w:tcW w:w="18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1"/>
                <w:szCs w:val="21"/>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91"/>
        </w:trPr>
        <w:tc>
          <w:tcPr>
            <w:tcW w:w="43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4340" w:type="dxa"/>
            <w:vAlign w:val="bottom"/>
          </w:tcPr>
          <w:p>
            <w:pPr>
              <w:ind w:left="440"/>
              <w:spacing w:after="0"/>
              <w:rPr>
                <w:sz w:val="20"/>
                <w:szCs w:val="20"/>
                <w:color w:val="auto"/>
              </w:rPr>
            </w:pPr>
            <w:r>
              <w:rPr>
                <w:rFonts w:ascii="Courier New" w:cs="Courier New" w:eastAsia="Courier New" w:hAnsi="Courier New"/>
                <w:sz w:val="15"/>
                <w:szCs w:val="15"/>
                <w:color w:val="auto"/>
              </w:rPr>
              <w:t>Agency/Corporation Obligations:</w:t>
            </w:r>
          </w:p>
        </w:tc>
        <w:tc>
          <w:tcPr>
            <w:tcW w:w="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340" w:type="dxa"/>
            <w:vAlign w:val="bottom"/>
          </w:tcPr>
          <w:p>
            <w:pPr>
              <w:ind w:left="700"/>
              <w:spacing w:after="0"/>
              <w:rPr>
                <w:sz w:val="20"/>
                <w:szCs w:val="20"/>
                <w:color w:val="auto"/>
              </w:rPr>
            </w:pPr>
            <w:r>
              <w:rPr>
                <w:rFonts w:ascii="Courier New" w:cs="Courier New" w:eastAsia="Courier New" w:hAnsi="Courier New"/>
                <w:sz w:val="15"/>
                <w:szCs w:val="15"/>
                <w:color w:val="auto"/>
              </w:rPr>
              <w:t>Mortgage-Backed Securities</w:t>
            </w:r>
          </w:p>
        </w:tc>
        <w:tc>
          <w:tcPr>
            <w:tcW w:w="8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88"/>
              </w:rPr>
              <w:t>1,653</w:t>
            </w:r>
          </w:p>
        </w:tc>
        <w:tc>
          <w:tcPr>
            <w:tcW w:w="7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w:t>
            </w: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77"/>
              </w:rPr>
              <w:t>30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1,624</w:t>
            </w:r>
          </w:p>
        </w:tc>
        <w:tc>
          <w:tcPr>
            <w:tcW w:w="0" w:type="dxa"/>
            <w:vAlign w:val="bottom"/>
          </w:tcPr>
          <w:p>
            <w:pPr>
              <w:spacing w:after="0"/>
              <w:rPr>
                <w:sz w:val="1"/>
                <w:szCs w:val="1"/>
                <w:color w:val="auto"/>
              </w:rPr>
            </w:pPr>
          </w:p>
        </w:tc>
      </w:tr>
      <w:tr>
        <w:trPr>
          <w:trHeight w:val="168"/>
        </w:trPr>
        <w:tc>
          <w:tcPr>
            <w:tcW w:w="43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Collateralized Mortgage Obligations</w:t>
            </w:r>
          </w:p>
        </w:tc>
        <w:tc>
          <w:tcPr>
            <w:tcW w:w="840" w:type="dxa"/>
            <w:vAlign w:val="bottom"/>
          </w:tcPr>
          <w:p>
            <w:pPr>
              <w:spacing w:after="0"/>
              <w:rPr>
                <w:sz w:val="14"/>
                <w:szCs w:val="14"/>
                <w:color w:val="auto"/>
              </w:rPr>
            </w:pPr>
          </w:p>
        </w:tc>
        <w:tc>
          <w:tcPr>
            <w:tcW w:w="10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88"/>
              </w:rPr>
              <w:t>2,261</w:t>
            </w:r>
          </w:p>
        </w:tc>
        <w:tc>
          <w:tcPr>
            <w:tcW w:w="780" w:type="dxa"/>
            <w:vAlign w:val="bottom"/>
          </w:tcPr>
          <w:p>
            <w:pPr>
              <w:spacing w:after="0"/>
              <w:rPr>
                <w:sz w:val="14"/>
                <w:szCs w:val="14"/>
                <w:color w:val="auto"/>
              </w:rPr>
            </w:pPr>
          </w:p>
        </w:tc>
        <w:tc>
          <w:tcPr>
            <w:tcW w:w="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w:t>
            </w:r>
          </w:p>
        </w:tc>
        <w:tc>
          <w:tcPr>
            <w:tcW w:w="660" w:type="dxa"/>
            <w:vAlign w:val="bottom"/>
          </w:tcPr>
          <w:p>
            <w:pPr>
              <w:spacing w:after="0"/>
              <w:rPr>
                <w:sz w:val="14"/>
                <w:szCs w:val="14"/>
                <w:color w:val="auto"/>
              </w:rPr>
            </w:pPr>
          </w:p>
        </w:tc>
        <w:tc>
          <w:tcPr>
            <w:tcW w:w="7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77"/>
              </w:rPr>
              <w:t>22</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2,243</w:t>
            </w:r>
          </w:p>
        </w:tc>
        <w:tc>
          <w:tcPr>
            <w:tcW w:w="0" w:type="dxa"/>
            <w:vAlign w:val="bottom"/>
          </w:tcPr>
          <w:p>
            <w:pPr>
              <w:spacing w:after="0"/>
              <w:rPr>
                <w:sz w:val="1"/>
                <w:szCs w:val="1"/>
                <w:color w:val="auto"/>
              </w:rPr>
            </w:pPr>
          </w:p>
        </w:tc>
      </w:tr>
      <w:tr>
        <w:trPr>
          <w:trHeight w:val="168"/>
        </w:trPr>
        <w:tc>
          <w:tcPr>
            <w:tcW w:w="43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 primarily U.S. Treasuries</w:t>
            </w:r>
          </w:p>
        </w:tc>
        <w:tc>
          <w:tcPr>
            <w:tcW w:w="840" w:type="dxa"/>
            <w:vAlign w:val="bottom"/>
          </w:tcPr>
          <w:p>
            <w:pPr>
              <w:spacing w:after="0"/>
              <w:rPr>
                <w:sz w:val="14"/>
                <w:szCs w:val="14"/>
                <w:color w:val="auto"/>
              </w:rPr>
            </w:pPr>
          </w:p>
        </w:tc>
        <w:tc>
          <w:tcPr>
            <w:tcW w:w="10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82</w:t>
            </w:r>
          </w:p>
        </w:tc>
        <w:tc>
          <w:tcPr>
            <w:tcW w:w="780" w:type="dxa"/>
            <w:vAlign w:val="bottom"/>
          </w:tcPr>
          <w:p>
            <w:pPr>
              <w:spacing w:after="0"/>
              <w:rPr>
                <w:sz w:val="14"/>
                <w:szCs w:val="14"/>
                <w:color w:val="auto"/>
              </w:rPr>
            </w:pPr>
          </w:p>
        </w:tc>
        <w:tc>
          <w:tcPr>
            <w:tcW w:w="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88"/>
              </w:rPr>
              <w:t>--</w:t>
            </w:r>
          </w:p>
        </w:tc>
        <w:tc>
          <w:tcPr>
            <w:tcW w:w="660" w:type="dxa"/>
            <w:vAlign w:val="bottom"/>
          </w:tcPr>
          <w:p>
            <w:pPr>
              <w:spacing w:after="0"/>
              <w:rPr>
                <w:sz w:val="14"/>
                <w:szCs w:val="14"/>
                <w:color w:val="auto"/>
              </w:rPr>
            </w:pPr>
          </w:p>
        </w:tc>
        <w:tc>
          <w:tcPr>
            <w:tcW w:w="7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77"/>
              </w:rPr>
              <w:t>--</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w:t>
            </w:r>
          </w:p>
        </w:tc>
        <w:tc>
          <w:tcPr>
            <w:tcW w:w="0" w:type="dxa"/>
            <w:vAlign w:val="bottom"/>
          </w:tcPr>
          <w:p>
            <w:pPr>
              <w:spacing w:after="0"/>
              <w:rPr>
                <w:sz w:val="1"/>
                <w:szCs w:val="1"/>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primarily Asset-Backed Securities (b)</w:t>
            </w:r>
          </w:p>
        </w:tc>
        <w:tc>
          <w:tcPr>
            <w:tcW w:w="840" w:type="dxa"/>
            <w:vAlign w:val="bottom"/>
          </w:tcPr>
          <w:p>
            <w:pPr>
              <w:spacing w:after="0"/>
              <w:rPr>
                <w:sz w:val="14"/>
                <w:szCs w:val="14"/>
                <w:color w:val="auto"/>
              </w:rPr>
            </w:pPr>
          </w:p>
        </w:tc>
        <w:tc>
          <w:tcPr>
            <w:tcW w:w="10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129</w:t>
            </w:r>
          </w:p>
        </w:tc>
        <w:tc>
          <w:tcPr>
            <w:tcW w:w="780" w:type="dxa"/>
            <w:vAlign w:val="bottom"/>
          </w:tcPr>
          <w:p>
            <w:pPr>
              <w:spacing w:after="0"/>
              <w:rPr>
                <w:sz w:val="14"/>
                <w:szCs w:val="14"/>
                <w:color w:val="auto"/>
              </w:rPr>
            </w:pPr>
          </w:p>
        </w:tc>
        <w:tc>
          <w:tcPr>
            <w:tcW w:w="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w:t>
            </w:r>
          </w:p>
        </w:tc>
        <w:tc>
          <w:tcPr>
            <w:tcW w:w="660" w:type="dxa"/>
            <w:vAlign w:val="bottom"/>
          </w:tcPr>
          <w:p>
            <w:pPr>
              <w:spacing w:after="0"/>
              <w:rPr>
                <w:sz w:val="14"/>
                <w:szCs w:val="14"/>
                <w:color w:val="auto"/>
              </w:rPr>
            </w:pPr>
          </w:p>
        </w:tc>
        <w:tc>
          <w:tcPr>
            <w:tcW w:w="7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77"/>
              </w:rPr>
              <w:t>--</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w:t>
            </w:r>
          </w:p>
        </w:tc>
        <w:tc>
          <w:tcPr>
            <w:tcW w:w="0" w:type="dxa"/>
            <w:vAlign w:val="bottom"/>
          </w:tcPr>
          <w:p>
            <w:pPr>
              <w:spacing w:after="0"/>
              <w:rPr>
                <w:sz w:val="1"/>
                <w:szCs w:val="1"/>
                <w:color w:val="auto"/>
              </w:rPr>
            </w:pPr>
          </w:p>
        </w:tc>
      </w:tr>
      <w:tr>
        <w:trPr>
          <w:trHeight w:val="168"/>
        </w:trPr>
        <w:tc>
          <w:tcPr>
            <w:tcW w:w="434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Held-to-Maturity Securities</w:t>
            </w:r>
          </w:p>
        </w:tc>
        <w:tc>
          <w:tcPr>
            <w:tcW w:w="188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40" w:type="dxa"/>
            <w:vAlign w:val="bottom"/>
            <w:vMerge w:val="continue"/>
          </w:tcPr>
          <w:p>
            <w:pPr>
              <w:spacing w:after="0"/>
              <w:rPr>
                <w:sz w:val="14"/>
                <w:szCs w:val="14"/>
                <w:color w:val="auto"/>
              </w:rPr>
            </w:pPr>
          </w:p>
        </w:tc>
        <w:tc>
          <w:tcPr>
            <w:tcW w:w="8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88"/>
              </w:rPr>
              <w:t>4,125</w:t>
            </w:r>
          </w:p>
        </w:tc>
        <w:tc>
          <w:tcPr>
            <w:tcW w:w="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7</w:t>
            </w:r>
          </w:p>
        </w:tc>
        <w:tc>
          <w:tcPr>
            <w:tcW w:w="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77"/>
              </w:rPr>
              <w:t>52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4,080</w:t>
            </w:r>
          </w:p>
        </w:tc>
        <w:tc>
          <w:tcPr>
            <w:tcW w:w="0" w:type="dxa"/>
            <w:vAlign w:val="bottom"/>
          </w:tcPr>
          <w:p>
            <w:pPr>
              <w:spacing w:after="0"/>
              <w:rPr>
                <w:sz w:val="1"/>
                <w:szCs w:val="1"/>
                <w:color w:val="auto"/>
              </w:rPr>
            </w:pPr>
          </w:p>
        </w:tc>
      </w:tr>
      <w:tr>
        <w:trPr>
          <w:trHeight w:val="245"/>
        </w:trPr>
        <w:tc>
          <w:tcPr>
            <w:tcW w:w="4340" w:type="dxa"/>
            <w:vAlign w:val="bottom"/>
          </w:tcPr>
          <w:p>
            <w:pPr>
              <w:spacing w:after="0"/>
              <w:rPr>
                <w:sz w:val="21"/>
                <w:szCs w:val="21"/>
                <w:color w:val="auto"/>
              </w:rPr>
            </w:pPr>
          </w:p>
        </w:tc>
        <w:tc>
          <w:tcPr>
            <w:tcW w:w="18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27"/>
        </w:trPr>
        <w:tc>
          <w:tcPr>
            <w:tcW w:w="4340" w:type="dxa"/>
            <w:vAlign w:val="bottom"/>
          </w:tcPr>
          <w:p>
            <w:pPr>
              <w:spacing w:after="0"/>
              <w:rPr>
                <w:sz w:val="20"/>
                <w:szCs w:val="20"/>
                <w:color w:val="auto"/>
              </w:rPr>
            </w:pPr>
            <w:r>
              <w:rPr>
                <w:rFonts w:ascii="Courier New" w:cs="Courier New" w:eastAsia="Courier New" w:hAnsi="Courier New"/>
                <w:sz w:val="15"/>
                <w:szCs w:val="15"/>
                <w:color w:val="auto"/>
              </w:rPr>
              <w:t>December 31, 1995 (in millions)</w:t>
            </w:r>
          </w:p>
        </w:tc>
        <w:tc>
          <w:tcPr>
            <w:tcW w:w="1880" w:type="dxa"/>
            <w:vAlign w:val="bottom"/>
            <w:gridSpan w:val="2"/>
            <w:vMerge w:val="restart"/>
          </w:tcPr>
          <w:p>
            <w:pPr>
              <w:ind w:left="480"/>
              <w:spacing w:after="0"/>
              <w:rPr>
                <w:sz w:val="20"/>
                <w:szCs w:val="20"/>
                <w:color w:val="auto"/>
              </w:rPr>
            </w:pPr>
            <w:r>
              <w:rPr>
                <w:rFonts w:ascii="Courier New" w:cs="Courier New" w:eastAsia="Courier New" w:hAnsi="Courier New"/>
                <w:sz w:val="15"/>
                <w:szCs w:val="15"/>
                <w:color w:val="auto"/>
              </w:rPr>
              <w:t>Amortized</w:t>
            </w:r>
          </w:p>
        </w:tc>
        <w:tc>
          <w:tcPr>
            <w:tcW w:w="780" w:type="dxa"/>
            <w:vAlign w:val="bottom"/>
          </w:tcPr>
          <w:p>
            <w:pPr>
              <w:ind w:left="340"/>
              <w:spacing w:after="0"/>
              <w:rPr>
                <w:sz w:val="20"/>
                <w:szCs w:val="20"/>
                <w:color w:val="auto"/>
              </w:rPr>
            </w:pPr>
            <w:r>
              <w:rPr>
                <w:rFonts w:ascii="Courier New" w:cs="Courier New" w:eastAsia="Courier New" w:hAnsi="Courier New"/>
                <w:sz w:val="15"/>
                <w:szCs w:val="15"/>
                <w:color w:val="auto"/>
                <w:w w:val="93"/>
              </w:rPr>
              <w:t>Gross</w:t>
            </w:r>
          </w:p>
        </w:tc>
        <w:tc>
          <w:tcPr>
            <w:tcW w:w="8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w w:val="93"/>
              </w:rPr>
              <w:t>Gross</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Fair</w:t>
            </w:r>
          </w:p>
        </w:tc>
        <w:tc>
          <w:tcPr>
            <w:tcW w:w="0" w:type="dxa"/>
            <w:vAlign w:val="bottom"/>
          </w:tcPr>
          <w:p>
            <w:pPr>
              <w:spacing w:after="0"/>
              <w:rPr>
                <w:sz w:val="1"/>
                <w:szCs w:val="1"/>
                <w:color w:val="auto"/>
              </w:rPr>
            </w:pPr>
          </w:p>
        </w:tc>
      </w:tr>
      <w:tr>
        <w:trPr>
          <w:trHeight w:val="168"/>
        </w:trPr>
        <w:tc>
          <w:tcPr>
            <w:tcW w:w="434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6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Unrealized</w:t>
            </w:r>
          </w:p>
        </w:tc>
        <w:tc>
          <w:tcPr>
            <w:tcW w:w="13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Unrealized</w:t>
            </w: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spacing w:after="0"/>
              <w:rPr>
                <w:sz w:val="14"/>
                <w:szCs w:val="14"/>
                <w:color w:val="auto"/>
              </w:rPr>
            </w:pPr>
          </w:p>
        </w:tc>
        <w:tc>
          <w:tcPr>
            <w:tcW w:w="8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4"/>
              </w:rPr>
              <w:t>Cost</w:t>
            </w:r>
          </w:p>
        </w:tc>
        <w:tc>
          <w:tcPr>
            <w:tcW w:w="1040" w:type="dxa"/>
            <w:vAlign w:val="bottom"/>
          </w:tcPr>
          <w:p>
            <w:pPr>
              <w:spacing w:after="0"/>
              <w:rPr>
                <w:sz w:val="14"/>
                <w:szCs w:val="14"/>
                <w:color w:val="auto"/>
              </w:rPr>
            </w:pPr>
          </w:p>
        </w:tc>
        <w:tc>
          <w:tcPr>
            <w:tcW w:w="7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3"/>
              </w:rPr>
              <w:t>Gains</w:t>
            </w:r>
          </w:p>
        </w:tc>
        <w:tc>
          <w:tcPr>
            <w:tcW w:w="840" w:type="dxa"/>
            <w:vAlign w:val="bottom"/>
          </w:tcPr>
          <w:p>
            <w:pPr>
              <w:spacing w:after="0"/>
              <w:rPr>
                <w:sz w:val="14"/>
                <w:szCs w:val="14"/>
                <w:color w:val="auto"/>
              </w:rPr>
            </w:pPr>
          </w:p>
        </w:tc>
        <w:tc>
          <w:tcPr>
            <w:tcW w:w="13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Losses</w:t>
            </w:r>
          </w:p>
        </w:tc>
        <w:tc>
          <w:tcPr>
            <w:tcW w:w="26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Value(a)</w:t>
            </w:r>
          </w:p>
        </w:tc>
        <w:tc>
          <w:tcPr>
            <w:tcW w:w="0" w:type="dxa"/>
            <w:vAlign w:val="bottom"/>
          </w:tcPr>
          <w:p>
            <w:pPr>
              <w:spacing w:after="0"/>
              <w:rPr>
                <w:sz w:val="1"/>
                <w:szCs w:val="1"/>
                <w:color w:val="auto"/>
              </w:rPr>
            </w:pPr>
          </w:p>
        </w:tc>
      </w:tr>
      <w:tr>
        <w:trPr>
          <w:trHeight w:val="245"/>
        </w:trPr>
        <w:tc>
          <w:tcPr>
            <w:tcW w:w="4340" w:type="dxa"/>
            <w:vAlign w:val="bottom"/>
            <w:vMerge w:val="restart"/>
          </w:tcPr>
          <w:p>
            <w:pPr>
              <w:spacing w:after="0"/>
              <w:rPr>
                <w:sz w:val="20"/>
                <w:szCs w:val="20"/>
                <w:color w:val="auto"/>
              </w:rPr>
            </w:pPr>
            <w:r>
              <w:rPr>
                <w:rFonts w:ascii="Courier New" w:cs="Courier New" w:eastAsia="Courier New" w:hAnsi="Courier New"/>
                <w:sz w:val="15"/>
                <w:szCs w:val="15"/>
                <w:color w:val="auto"/>
              </w:rPr>
              <w:t>U.S. Government and Federal</w:t>
            </w:r>
          </w:p>
        </w:tc>
        <w:tc>
          <w:tcPr>
            <w:tcW w:w="188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91"/>
        </w:trPr>
        <w:tc>
          <w:tcPr>
            <w:tcW w:w="43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Agency/Corporation Obligations:</w:t>
            </w:r>
          </w:p>
        </w:tc>
        <w:tc>
          <w:tcPr>
            <w:tcW w:w="840" w:type="dxa"/>
            <w:vAlign w:val="bottom"/>
            <w:vMerge w:val="restart"/>
          </w:tcPr>
          <w:p>
            <w:pPr>
              <w:ind w:left="480"/>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w w:val="88"/>
              </w:rPr>
              <w:t>1,782</w:t>
            </w:r>
          </w:p>
        </w:tc>
        <w:tc>
          <w:tcPr>
            <w:tcW w:w="78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w w:val="88"/>
              </w:rPr>
              <w:t>24</w:t>
            </w:r>
          </w:p>
        </w:tc>
        <w:tc>
          <w:tcPr>
            <w:tcW w:w="6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1</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1,805</w:t>
            </w:r>
          </w:p>
        </w:tc>
        <w:tc>
          <w:tcPr>
            <w:tcW w:w="0" w:type="dxa"/>
            <w:vAlign w:val="bottom"/>
          </w:tcPr>
          <w:p>
            <w:pPr>
              <w:spacing w:after="0"/>
              <w:rPr>
                <w:sz w:val="1"/>
                <w:szCs w:val="1"/>
                <w:color w:val="auto"/>
              </w:rPr>
            </w:pPr>
          </w:p>
        </w:tc>
      </w:tr>
      <w:tr>
        <w:trPr>
          <w:trHeight w:val="168"/>
        </w:trPr>
        <w:tc>
          <w:tcPr>
            <w:tcW w:w="43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Mortgage-Backed Securities</w:t>
            </w:r>
          </w:p>
        </w:tc>
        <w:tc>
          <w:tcPr>
            <w:tcW w:w="8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Collateralized Mortgage Obligations</w:t>
            </w:r>
          </w:p>
        </w:tc>
        <w:tc>
          <w:tcPr>
            <w:tcW w:w="840" w:type="dxa"/>
            <w:vAlign w:val="bottom"/>
          </w:tcPr>
          <w:p>
            <w:pPr>
              <w:spacing w:after="0"/>
              <w:rPr>
                <w:sz w:val="14"/>
                <w:szCs w:val="14"/>
                <w:color w:val="auto"/>
              </w:rPr>
            </w:pPr>
          </w:p>
        </w:tc>
        <w:tc>
          <w:tcPr>
            <w:tcW w:w="10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88"/>
              </w:rPr>
              <w:t>2,624</w:t>
            </w:r>
          </w:p>
        </w:tc>
        <w:tc>
          <w:tcPr>
            <w:tcW w:w="780" w:type="dxa"/>
            <w:vAlign w:val="bottom"/>
          </w:tcPr>
          <w:p>
            <w:pPr>
              <w:spacing w:after="0"/>
              <w:rPr>
                <w:sz w:val="14"/>
                <w:szCs w:val="14"/>
                <w:color w:val="auto"/>
              </w:rPr>
            </w:pPr>
          </w:p>
        </w:tc>
        <w:tc>
          <w:tcPr>
            <w:tcW w:w="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88"/>
              </w:rPr>
              <w:t>11</w:t>
            </w:r>
          </w:p>
        </w:tc>
        <w:tc>
          <w:tcPr>
            <w:tcW w:w="660" w:type="dxa"/>
            <w:vAlign w:val="bottom"/>
          </w:tcPr>
          <w:p>
            <w:pPr>
              <w:spacing w:after="0"/>
              <w:rPr>
                <w:sz w:val="14"/>
                <w:szCs w:val="14"/>
                <w:color w:val="auto"/>
              </w:rPr>
            </w:pPr>
          </w:p>
        </w:tc>
        <w:tc>
          <w:tcPr>
            <w:tcW w:w="7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2,629</w:t>
            </w:r>
          </w:p>
        </w:tc>
        <w:tc>
          <w:tcPr>
            <w:tcW w:w="0" w:type="dxa"/>
            <w:vAlign w:val="bottom"/>
          </w:tcPr>
          <w:p>
            <w:pPr>
              <w:spacing w:after="0"/>
              <w:rPr>
                <w:sz w:val="1"/>
                <w:szCs w:val="1"/>
                <w:color w:val="auto"/>
              </w:rPr>
            </w:pPr>
          </w:p>
        </w:tc>
      </w:tr>
      <w:tr>
        <w:trPr>
          <w:trHeight w:val="168"/>
        </w:trPr>
        <w:tc>
          <w:tcPr>
            <w:tcW w:w="43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 primarily U.S. Treasuries</w:t>
            </w:r>
          </w:p>
        </w:tc>
        <w:tc>
          <w:tcPr>
            <w:tcW w:w="840" w:type="dxa"/>
            <w:vAlign w:val="bottom"/>
          </w:tcPr>
          <w:p>
            <w:pPr>
              <w:spacing w:after="0"/>
              <w:rPr>
                <w:sz w:val="14"/>
                <w:szCs w:val="14"/>
                <w:color w:val="auto"/>
              </w:rPr>
            </w:pPr>
          </w:p>
        </w:tc>
        <w:tc>
          <w:tcPr>
            <w:tcW w:w="10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82</w:t>
            </w:r>
          </w:p>
        </w:tc>
        <w:tc>
          <w:tcPr>
            <w:tcW w:w="780" w:type="dxa"/>
            <w:vAlign w:val="bottom"/>
          </w:tcPr>
          <w:p>
            <w:pPr>
              <w:spacing w:after="0"/>
              <w:rPr>
                <w:sz w:val="14"/>
                <w:szCs w:val="14"/>
                <w:color w:val="auto"/>
              </w:rPr>
            </w:pPr>
          </w:p>
        </w:tc>
        <w:tc>
          <w:tcPr>
            <w:tcW w:w="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88"/>
              </w:rPr>
              <w:t>--</w:t>
            </w:r>
          </w:p>
        </w:tc>
        <w:tc>
          <w:tcPr>
            <w:tcW w:w="660" w:type="dxa"/>
            <w:vAlign w:val="bottom"/>
          </w:tcPr>
          <w:p>
            <w:pPr>
              <w:spacing w:after="0"/>
              <w:rPr>
                <w:sz w:val="14"/>
                <w:szCs w:val="14"/>
                <w:color w:val="auto"/>
              </w:rPr>
            </w:pPr>
          </w:p>
        </w:tc>
        <w:tc>
          <w:tcPr>
            <w:tcW w:w="7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77"/>
              </w:rPr>
              <w:t>--</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w:t>
            </w:r>
          </w:p>
        </w:tc>
        <w:tc>
          <w:tcPr>
            <w:tcW w:w="0" w:type="dxa"/>
            <w:vAlign w:val="bottom"/>
          </w:tcPr>
          <w:p>
            <w:pPr>
              <w:spacing w:after="0"/>
              <w:rPr>
                <w:sz w:val="1"/>
                <w:szCs w:val="1"/>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primarily Asset-Backed Securities (b)</w:t>
            </w:r>
          </w:p>
        </w:tc>
        <w:tc>
          <w:tcPr>
            <w:tcW w:w="840" w:type="dxa"/>
            <w:vAlign w:val="bottom"/>
          </w:tcPr>
          <w:p>
            <w:pPr>
              <w:spacing w:after="0"/>
              <w:rPr>
                <w:sz w:val="14"/>
                <w:szCs w:val="14"/>
                <w:color w:val="auto"/>
              </w:rPr>
            </w:pPr>
          </w:p>
        </w:tc>
        <w:tc>
          <w:tcPr>
            <w:tcW w:w="10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140</w:t>
            </w:r>
          </w:p>
        </w:tc>
        <w:tc>
          <w:tcPr>
            <w:tcW w:w="780" w:type="dxa"/>
            <w:vAlign w:val="bottom"/>
          </w:tcPr>
          <w:p>
            <w:pPr>
              <w:spacing w:after="0"/>
              <w:rPr>
                <w:sz w:val="14"/>
                <w:szCs w:val="14"/>
                <w:color w:val="auto"/>
              </w:rPr>
            </w:pPr>
          </w:p>
        </w:tc>
        <w:tc>
          <w:tcPr>
            <w:tcW w:w="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w:t>
            </w:r>
          </w:p>
        </w:tc>
        <w:tc>
          <w:tcPr>
            <w:tcW w:w="660" w:type="dxa"/>
            <w:vAlign w:val="bottom"/>
          </w:tcPr>
          <w:p>
            <w:pPr>
              <w:spacing w:after="0"/>
              <w:rPr>
                <w:sz w:val="14"/>
                <w:szCs w:val="14"/>
                <w:color w:val="auto"/>
              </w:rPr>
            </w:pPr>
          </w:p>
        </w:tc>
        <w:tc>
          <w:tcPr>
            <w:tcW w:w="7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77"/>
              </w:rPr>
              <w:t>--</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w:t>
            </w:r>
          </w:p>
        </w:tc>
        <w:tc>
          <w:tcPr>
            <w:tcW w:w="0" w:type="dxa"/>
            <w:vAlign w:val="bottom"/>
          </w:tcPr>
          <w:p>
            <w:pPr>
              <w:spacing w:after="0"/>
              <w:rPr>
                <w:sz w:val="1"/>
                <w:szCs w:val="1"/>
                <w:color w:val="auto"/>
              </w:rPr>
            </w:pPr>
          </w:p>
        </w:tc>
      </w:tr>
      <w:tr>
        <w:trPr>
          <w:trHeight w:val="168"/>
        </w:trPr>
        <w:tc>
          <w:tcPr>
            <w:tcW w:w="434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Held-to-Maturity Securities</w:t>
            </w:r>
          </w:p>
        </w:tc>
        <w:tc>
          <w:tcPr>
            <w:tcW w:w="188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40" w:type="dxa"/>
            <w:vAlign w:val="bottom"/>
            <w:vMerge w:val="continue"/>
          </w:tcPr>
          <w:p>
            <w:pPr>
              <w:spacing w:after="0"/>
              <w:rPr>
                <w:sz w:val="14"/>
                <w:szCs w:val="14"/>
                <w:color w:val="auto"/>
              </w:rPr>
            </w:pPr>
          </w:p>
        </w:tc>
        <w:tc>
          <w:tcPr>
            <w:tcW w:w="8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88"/>
              </w:rPr>
              <w:t>4,628</w:t>
            </w:r>
          </w:p>
        </w:tc>
        <w:tc>
          <w:tcPr>
            <w:tcW w:w="7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88"/>
              </w:rPr>
              <w:t>38</w:t>
            </w: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4,659</w:t>
            </w:r>
          </w:p>
        </w:tc>
        <w:tc>
          <w:tcPr>
            <w:tcW w:w="0" w:type="dxa"/>
            <w:vAlign w:val="bottom"/>
          </w:tcPr>
          <w:p>
            <w:pPr>
              <w:spacing w:after="0"/>
              <w:rPr>
                <w:sz w:val="1"/>
                <w:szCs w:val="1"/>
                <w:color w:val="auto"/>
              </w:rPr>
            </w:pPr>
          </w:p>
        </w:tc>
      </w:tr>
      <w:tr>
        <w:trPr>
          <w:trHeight w:val="245"/>
        </w:trPr>
        <w:tc>
          <w:tcPr>
            <w:tcW w:w="4340" w:type="dxa"/>
            <w:vAlign w:val="bottom"/>
          </w:tcPr>
          <w:p>
            <w:pPr>
              <w:spacing w:after="0"/>
              <w:rPr>
                <w:sz w:val="21"/>
                <w:szCs w:val="21"/>
                <w:color w:val="auto"/>
              </w:rPr>
            </w:pPr>
          </w:p>
        </w:tc>
        <w:tc>
          <w:tcPr>
            <w:tcW w:w="18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left="540" w:right="3240" w:hanging="530"/>
        <w:spacing w:after="0" w:line="264" w:lineRule="auto"/>
        <w:tabs>
          <w:tab w:leader="none" w:pos="5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Corporation's portfolio of securities generally consists of investment-grade securities. The fair value of actively-traded securities is determined by the secondary market, while the fair value for nonactively-traded securities is based on independent broker quotations.</w:t>
      </w:r>
    </w:p>
    <w:p>
      <w:pPr>
        <w:jc w:val="both"/>
        <w:ind w:left="540" w:right="3240" w:hanging="530"/>
        <w:spacing w:after="0" w:line="272" w:lineRule="auto"/>
        <w:tabs>
          <w:tab w:leader="none" w:pos="5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Also includes collateralized mortgage obligations of private issuers which generally have underlying collateral consisting of obligations of U.S. Government and Federal agencies and corporations.</w:t>
      </w:r>
    </w:p>
    <w:p>
      <w:pPr>
        <w:spacing w:after="0" w:line="200" w:lineRule="exact"/>
        <w:rPr>
          <w:sz w:val="20"/>
          <w:szCs w:val="20"/>
          <w:color w:val="auto"/>
        </w:rPr>
      </w:pPr>
    </w:p>
    <w:p>
      <w:pPr>
        <w:spacing w:after="0" w:line="20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40"/>
          </w:cols>
          <w:pgMar w:left="220" w:top="429" w:right="1439"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NOTE 6 - LOANS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20"/>
                <w:szCs w:val="20"/>
                <w:color w:val="auto"/>
              </w:rPr>
            </w:pPr>
            <w:r>
              <w:rPr>
                <w:rFonts w:ascii="Courier New" w:cs="Courier New" w:eastAsia="Courier New" w:hAnsi="Courier New"/>
                <w:sz w:val="15"/>
                <w:szCs w:val="15"/>
                <w:color w:val="auto"/>
                <w:w w:val="98"/>
              </w:rPr>
              <w:t>For a discussion of the accounting</w:t>
            </w:r>
          </w:p>
        </w:tc>
        <w:tc>
          <w:tcPr>
            <w:tcW w:w="398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policies  relating to loans, including</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securities classified as loans which are subject to the</w:t>
            </w:r>
          </w:p>
        </w:tc>
        <w:tc>
          <w:tcPr>
            <w:tcW w:w="21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5"/>
              </w:rPr>
              <w:t>provisions of SFAS 115,</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reference is made to Note One and</w:t>
            </w:r>
          </w:p>
        </w:tc>
        <w:tc>
          <w:tcPr>
            <w:tcW w:w="3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page 63 of the  Corporation's  1995</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Annual</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Report.  The  following  table reflects the amortized cost and estimated fair</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value of loans measured pursuant to SFAS 115 (which are all available-for-sale),</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6220" w:type="dxa"/>
            <w:vAlign w:val="bottom"/>
            <w:gridSpan w:val="3"/>
          </w:tcPr>
          <w:p>
            <w:pPr>
              <w:spacing w:after="0"/>
              <w:rPr>
                <w:sz w:val="20"/>
                <w:szCs w:val="20"/>
                <w:color w:val="auto"/>
              </w:rPr>
            </w:pPr>
            <w:r>
              <w:rPr>
                <w:rFonts w:ascii="Courier New" w:cs="Courier New" w:eastAsia="Courier New" w:hAnsi="Courier New"/>
                <w:sz w:val="15"/>
                <w:szCs w:val="15"/>
                <w:color w:val="auto"/>
                <w:w w:val="99"/>
              </w:rPr>
              <w:t>including the impact of related derivatives, for the dates indicated.</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4"/>
        </w:trPr>
        <w:tc>
          <w:tcPr>
            <w:tcW w:w="302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1800" w:type="dxa"/>
            <w:vAlign w:val="bottom"/>
          </w:tcPr>
          <w:p>
            <w:pPr>
              <w:spacing w:after="0"/>
              <w:rPr>
                <w:sz w:val="24"/>
                <w:szCs w:val="24"/>
                <w:color w:val="auto"/>
              </w:rPr>
            </w:pPr>
          </w:p>
        </w:tc>
        <w:tc>
          <w:tcPr>
            <w:tcW w:w="1400" w:type="dxa"/>
            <w:vAlign w:val="bottom"/>
            <w:vMerge w:val="restart"/>
          </w:tcPr>
          <w:p>
            <w:pPr>
              <w:spacing w:after="0"/>
              <w:rPr>
                <w:sz w:val="20"/>
                <w:szCs w:val="20"/>
                <w:color w:val="auto"/>
              </w:rPr>
            </w:pPr>
            <w:r>
              <w:rPr>
                <w:rFonts w:ascii="Courier New" w:cs="Courier New" w:eastAsia="Courier New" w:hAnsi="Courier New"/>
                <w:sz w:val="15"/>
                <w:szCs w:val="15"/>
                <w:color w:val="auto"/>
              </w:rPr>
              <w:t>Amortized</w:t>
            </w:r>
          </w:p>
        </w:tc>
        <w:tc>
          <w:tcPr>
            <w:tcW w:w="780" w:type="dxa"/>
            <w:vAlign w:val="bottom"/>
          </w:tcPr>
          <w:p>
            <w:pPr>
              <w:ind w:left="340"/>
              <w:spacing w:after="0"/>
              <w:rPr>
                <w:sz w:val="20"/>
                <w:szCs w:val="20"/>
                <w:color w:val="auto"/>
              </w:rPr>
            </w:pPr>
            <w:r>
              <w:rPr>
                <w:rFonts w:ascii="Courier New" w:cs="Courier New" w:eastAsia="Courier New" w:hAnsi="Courier New"/>
                <w:sz w:val="15"/>
                <w:szCs w:val="15"/>
                <w:color w:val="auto"/>
                <w:w w:val="93"/>
              </w:rPr>
              <w:t>Gross</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5"/>
              </w:rPr>
              <w:t>Unrealized</w:t>
            </w:r>
          </w:p>
        </w:tc>
        <w:tc>
          <w:tcPr>
            <w:tcW w:w="0" w:type="dxa"/>
            <w:vAlign w:val="bottom"/>
          </w:tcPr>
          <w:p>
            <w:pPr>
              <w:spacing w:after="0"/>
              <w:rPr>
                <w:sz w:val="1"/>
                <w:szCs w:val="1"/>
                <w:color w:val="auto"/>
              </w:rPr>
            </w:pPr>
          </w:p>
        </w:tc>
      </w:tr>
      <w:tr>
        <w:trPr>
          <w:trHeight w:val="168"/>
        </w:trPr>
        <w:tc>
          <w:tcPr>
            <w:tcW w:w="3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Cost</w:t>
            </w:r>
          </w:p>
        </w:tc>
        <w:tc>
          <w:tcPr>
            <w:tcW w:w="7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3"/>
              </w:rPr>
              <w:t>Gains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020" w:type="dxa"/>
            <w:vAlign w:val="bottom"/>
          </w:tcPr>
          <w:p>
            <w:pPr>
              <w:spacing w:after="0"/>
              <w:rPr>
                <w:sz w:val="21"/>
                <w:szCs w:val="21"/>
                <w:color w:val="auto"/>
              </w:rPr>
            </w:pPr>
          </w:p>
        </w:tc>
        <w:tc>
          <w:tcPr>
            <w:tcW w:w="32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427"/>
        </w:trPr>
        <w:tc>
          <w:tcPr>
            <w:tcW w:w="3020" w:type="dxa"/>
            <w:vAlign w:val="bottom"/>
          </w:tcPr>
          <w:p>
            <w:pPr>
              <w:spacing w:after="0"/>
              <w:rPr>
                <w:sz w:val="20"/>
                <w:szCs w:val="20"/>
                <w:color w:val="auto"/>
              </w:rPr>
            </w:pPr>
            <w:r>
              <w:rPr>
                <w:rFonts w:ascii="Courier New" w:cs="Courier New" w:eastAsia="Courier New" w:hAnsi="Courier New"/>
                <w:sz w:val="15"/>
                <w:szCs w:val="15"/>
                <w:color w:val="auto"/>
              </w:rPr>
              <w:t>June 30, 1996</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2,461</w:t>
            </w:r>
          </w:p>
        </w:tc>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76</w:t>
            </w:r>
          </w:p>
        </w:tc>
        <w:tc>
          <w:tcPr>
            <w:tcW w:w="0" w:type="dxa"/>
            <w:vAlign w:val="bottom"/>
          </w:tcPr>
          <w:p>
            <w:pPr>
              <w:spacing w:after="0"/>
              <w:rPr>
                <w:sz w:val="1"/>
                <w:szCs w:val="1"/>
                <w:color w:val="auto"/>
              </w:rPr>
            </w:pPr>
          </w:p>
        </w:tc>
      </w:tr>
      <w:tr>
        <w:trPr>
          <w:trHeight w:val="168"/>
        </w:trPr>
        <w:tc>
          <w:tcPr>
            <w:tcW w:w="3020" w:type="dxa"/>
            <w:vAlign w:val="bottom"/>
            <w:vMerge w:val="restart"/>
          </w:tcPr>
          <w:p>
            <w:pPr>
              <w:spacing w:after="0"/>
              <w:rPr>
                <w:sz w:val="20"/>
                <w:szCs w:val="20"/>
                <w:color w:val="auto"/>
              </w:rPr>
            </w:pPr>
            <w:r>
              <w:rPr>
                <w:rFonts w:ascii="Courier New" w:cs="Courier New" w:eastAsia="Courier New" w:hAnsi="Courier New"/>
                <w:sz w:val="15"/>
                <w:szCs w:val="15"/>
                <w:color w:val="auto"/>
              </w:rPr>
              <w:t>December 31, 1995</w:t>
            </w:r>
          </w:p>
        </w:tc>
        <w:tc>
          <w:tcPr>
            <w:tcW w:w="32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020" w:type="dxa"/>
            <w:vAlign w:val="bottom"/>
            <w:vMerge w:val="continue"/>
          </w:tcPr>
          <w:p>
            <w:pPr>
              <w:spacing w:after="0"/>
              <w:rPr>
                <w:sz w:val="14"/>
                <w:szCs w:val="14"/>
                <w:color w:val="auto"/>
              </w:rPr>
            </w:pP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2,849</w:t>
            </w:r>
          </w:p>
        </w:tc>
        <w:tc>
          <w:tcPr>
            <w:tcW w:w="7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47</w:t>
            </w:r>
          </w:p>
        </w:tc>
        <w:tc>
          <w:tcPr>
            <w:tcW w:w="0" w:type="dxa"/>
            <w:vAlign w:val="bottom"/>
          </w:tcPr>
          <w:p>
            <w:pPr>
              <w:spacing w:after="0"/>
              <w:rPr>
                <w:sz w:val="1"/>
                <w:szCs w:val="1"/>
                <w:color w:val="auto"/>
              </w:rPr>
            </w:pPr>
          </w:p>
        </w:tc>
      </w:tr>
      <w:tr>
        <w:trPr>
          <w:trHeight w:val="245"/>
        </w:trPr>
        <w:tc>
          <w:tcPr>
            <w:tcW w:w="3020" w:type="dxa"/>
            <w:vAlign w:val="bottom"/>
          </w:tcPr>
          <w:p>
            <w:pPr>
              <w:spacing w:after="0"/>
              <w:rPr>
                <w:sz w:val="21"/>
                <w:szCs w:val="21"/>
                <w:color w:val="auto"/>
              </w:rPr>
            </w:pPr>
          </w:p>
        </w:tc>
        <w:tc>
          <w:tcPr>
            <w:tcW w:w="32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jc w:val="both"/>
        <w:ind w:right="440"/>
        <w:spacing w:after="0" w:line="273" w:lineRule="auto"/>
        <w:rPr>
          <w:sz w:val="20"/>
          <w:szCs w:val="20"/>
          <w:color w:val="auto"/>
        </w:rPr>
      </w:pPr>
      <w:r>
        <w:rPr>
          <w:rFonts w:ascii="Courier New" w:cs="Courier New" w:eastAsia="Courier New" w:hAnsi="Courier New"/>
          <w:sz w:val="15"/>
          <w:szCs w:val="15"/>
          <w:color w:val="auto"/>
        </w:rPr>
        <w:t>The second quarter and first six months of 1996 included a net loss of $30 million and $65 million, respectively, related to the disposition of available-for-sale emerging market securities, compared with a net loss of $50 million and $26 million, respectively, in the same 1995 periods.</w:t>
      </w:r>
    </w:p>
    <w:p>
      <w:pPr>
        <w:spacing w:after="0" w:line="68" w:lineRule="exact"/>
        <w:rPr>
          <w:sz w:val="20"/>
          <w:szCs w:val="20"/>
          <w:color w:val="auto"/>
        </w:rPr>
      </w:pPr>
    </w:p>
    <w:p>
      <w:pPr>
        <w:jc w:val="both"/>
        <w:ind w:right="440"/>
        <w:spacing w:after="0" w:line="290" w:lineRule="auto"/>
        <w:rPr>
          <w:sz w:val="20"/>
          <w:szCs w:val="20"/>
          <w:color w:val="auto"/>
        </w:rPr>
      </w:pPr>
      <w:r>
        <w:rPr>
          <w:rFonts w:ascii="Courier New" w:cs="Courier New" w:eastAsia="Courier New" w:hAnsi="Courier New"/>
          <w:sz w:val="15"/>
          <w:szCs w:val="15"/>
          <w:color w:val="auto"/>
        </w:rPr>
        <w:t>The following table sets forth impaired loan disclosures under SFAS 114. The Corporation uses the discounted cash flow method as its primary method for valuing impaired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Impaired Loans with an Allowance</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Impaired Loans without an Allowance (a)</w:t>
      </w:r>
    </w:p>
    <w:p>
      <w:pPr>
        <w:spacing w:after="0" w:line="14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Total Impaired Loans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Allowance for Impaired Loans under</w:t>
      </w:r>
    </w:p>
    <w:p>
      <w:pPr>
        <w:spacing w:after="0" w:line="2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SFAS 114 (b)</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Average Balance of Impaired Loans</w:t>
      </w:r>
    </w:p>
    <w:p>
      <w:pPr>
        <w:spacing w:after="0" w:line="2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during the six months ended June 30,</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Income Recognized on Impaired</w:t>
      </w:r>
    </w:p>
    <w:p>
      <w:pPr>
        <w:spacing w:after="0" w:line="2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Loans during the six months ended June 30,</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540" w:right="440" w:hanging="530"/>
        <w:spacing w:after="0" w:line="249" w:lineRule="auto"/>
        <w:tabs>
          <w:tab w:leader="none" w:pos="5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Impaired loans for which the discounted cash flows, collateral value or market price equals or exceeds the carrying value of the loan. Such loans do not require an allowance under SFAS 114.</w:t>
      </w:r>
    </w:p>
    <w:p>
      <w:pPr>
        <w:spacing w:after="0" w:line="1" w:lineRule="exact"/>
        <w:rPr>
          <w:rFonts w:ascii="Courier New" w:cs="Courier New" w:eastAsia="Courier New" w:hAnsi="Courier New"/>
          <w:sz w:val="15"/>
          <w:szCs w:val="15"/>
          <w:color w:val="auto"/>
        </w:rPr>
      </w:pPr>
    </w:p>
    <w:p>
      <w:pPr>
        <w:ind w:left="540" w:right="1300" w:hanging="530"/>
        <w:spacing w:after="0" w:line="307" w:lineRule="auto"/>
        <w:tabs>
          <w:tab w:leader="none" w:pos="5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Allowance for Impaired Loans under SFAS 114 is a part of the Corporation's overall Allowance for Credit Losses.</w:t>
      </w:r>
    </w:p>
    <w:p>
      <w:pPr>
        <w:spacing w:after="0" w:line="38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rPr>
              <w:t>Gross</w:t>
            </w:r>
          </w:p>
        </w:tc>
        <w:tc>
          <w:tcPr>
            <w:tcW w:w="400" w:type="dxa"/>
            <w:vAlign w:val="bottom"/>
          </w:tcPr>
          <w:p>
            <w:pPr>
              <w:spacing w:after="0"/>
              <w:rPr>
                <w:sz w:val="14"/>
                <w:szCs w:val="14"/>
                <w:color w:val="auto"/>
              </w:rPr>
            </w:pPr>
          </w:p>
        </w:tc>
        <w:tc>
          <w:tcPr>
            <w:tcW w:w="62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Fair</w:t>
            </w:r>
          </w:p>
        </w:tc>
        <w:tc>
          <w:tcPr>
            <w:tcW w:w="0" w:type="dxa"/>
            <w:vAlign w:val="bottom"/>
          </w:tcPr>
          <w:p>
            <w:pPr>
              <w:spacing w:after="0"/>
              <w:rPr>
                <w:sz w:val="1"/>
                <w:szCs w:val="1"/>
                <w:color w:val="auto"/>
              </w:rPr>
            </w:pPr>
          </w:p>
        </w:tc>
      </w:tr>
      <w:tr>
        <w:trPr>
          <w:trHeight w:val="168"/>
        </w:trPr>
        <w:tc>
          <w:tcPr>
            <w:tcW w:w="1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Unrealized</w:t>
            </w:r>
          </w:p>
        </w:tc>
        <w:tc>
          <w:tcPr>
            <w:tcW w:w="4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Losses</w:t>
            </w:r>
          </w:p>
        </w:tc>
        <w:tc>
          <w:tcPr>
            <w:tcW w:w="400" w:type="dxa"/>
            <w:vAlign w:val="bottom"/>
          </w:tcPr>
          <w:p>
            <w:pPr>
              <w:spacing w:after="0"/>
              <w:rPr>
                <w:sz w:val="14"/>
                <w:szCs w:val="14"/>
                <w:color w:val="auto"/>
              </w:rPr>
            </w:pPr>
          </w:p>
        </w:tc>
        <w:tc>
          <w:tcPr>
            <w:tcW w:w="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Value</w:t>
            </w:r>
          </w:p>
        </w:tc>
        <w:tc>
          <w:tcPr>
            <w:tcW w:w="0" w:type="dxa"/>
            <w:vAlign w:val="bottom"/>
          </w:tcPr>
          <w:p>
            <w:pPr>
              <w:spacing w:after="0"/>
              <w:rPr>
                <w:sz w:val="1"/>
                <w:szCs w:val="1"/>
                <w:color w:val="auto"/>
              </w:rPr>
            </w:pPr>
          </w:p>
        </w:tc>
      </w:tr>
      <w:tr>
        <w:trPr>
          <w:trHeight w:val="245"/>
        </w:trPr>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27"/>
        </w:trPr>
        <w:tc>
          <w:tcPr>
            <w:tcW w:w="2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651</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1,886</w:t>
            </w:r>
          </w:p>
        </w:tc>
        <w:tc>
          <w:tcPr>
            <w:tcW w:w="0" w:type="dxa"/>
            <w:vAlign w:val="bottom"/>
          </w:tcPr>
          <w:p>
            <w:pPr>
              <w:spacing w:after="0"/>
              <w:rPr>
                <w:sz w:val="1"/>
                <w:szCs w:val="1"/>
                <w:color w:val="auto"/>
              </w:rPr>
            </w:pPr>
          </w:p>
        </w:tc>
      </w:tr>
      <w:tr>
        <w:trPr>
          <w:trHeight w:val="168"/>
        </w:trPr>
        <w:tc>
          <w:tcPr>
            <w:tcW w:w="1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917</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1,979</w:t>
            </w:r>
          </w:p>
        </w:tc>
        <w:tc>
          <w:tcPr>
            <w:tcW w:w="0" w:type="dxa"/>
            <w:vAlign w:val="bottom"/>
          </w:tcPr>
          <w:p>
            <w:pPr>
              <w:spacing w:after="0"/>
              <w:rPr>
                <w:sz w:val="1"/>
                <w:szCs w:val="1"/>
                <w:color w:val="auto"/>
              </w:rPr>
            </w:pPr>
          </w:p>
        </w:tc>
      </w:tr>
      <w:tr>
        <w:trPr>
          <w:trHeight w:val="245"/>
        </w:trPr>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 w:type="dxa"/>
            <w:vAlign w:val="bottom"/>
          </w:tcPr>
          <w:p>
            <w:pPr>
              <w:spacing w:after="0"/>
              <w:rPr>
                <w:sz w:val="14"/>
                <w:szCs w:val="14"/>
                <w:color w:val="auto"/>
              </w:rPr>
            </w:pPr>
          </w:p>
        </w:tc>
        <w:tc>
          <w:tcPr>
            <w:tcW w:w="11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June 30,</w:t>
            </w:r>
          </w:p>
        </w:tc>
        <w:tc>
          <w:tcPr>
            <w:tcW w:w="10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4"/>
              </w:rPr>
              <w:t>June 30,</w:t>
            </w:r>
          </w:p>
        </w:tc>
      </w:tr>
      <w:tr>
        <w:trPr>
          <w:trHeight w:val="168"/>
        </w:trPr>
        <w:tc>
          <w:tcPr>
            <w:tcW w:w="180" w:type="dxa"/>
            <w:vAlign w:val="bottom"/>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1996</w:t>
            </w:r>
          </w:p>
        </w:tc>
        <w:tc>
          <w:tcPr>
            <w:tcW w:w="5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1995</w:t>
            </w:r>
          </w:p>
        </w:tc>
      </w:tr>
      <w:tr>
        <w:trPr>
          <w:trHeight w:val="245"/>
        </w:trPr>
        <w:tc>
          <w:tcPr>
            <w:tcW w:w="130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427"/>
        </w:trPr>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480</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721</w:t>
            </w:r>
          </w:p>
        </w:tc>
      </w:tr>
      <w:tr>
        <w:trPr>
          <w:trHeight w:val="168"/>
        </w:trPr>
        <w:tc>
          <w:tcPr>
            <w:tcW w:w="180" w:type="dxa"/>
            <w:vAlign w:val="bottom"/>
          </w:tcPr>
          <w:p>
            <w:pPr>
              <w:spacing w:after="0"/>
              <w:rPr>
                <w:sz w:val="14"/>
                <w:szCs w:val="14"/>
                <w:color w:val="auto"/>
              </w:rPr>
            </w:pP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699</w:t>
            </w:r>
          </w:p>
        </w:tc>
        <w:tc>
          <w:tcPr>
            <w:tcW w:w="5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890</w:t>
            </w:r>
          </w:p>
        </w:tc>
      </w:tr>
      <w:tr>
        <w:trPr>
          <w:trHeight w:val="168"/>
        </w:trPr>
        <w:tc>
          <w:tcPr>
            <w:tcW w:w="13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w w:val="95"/>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1,179</w:t>
            </w:r>
          </w:p>
        </w:tc>
        <w:tc>
          <w:tcPr>
            <w:tcW w:w="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1,611</w:t>
            </w:r>
          </w:p>
        </w:tc>
      </w:tr>
      <w:tr>
        <w:trPr>
          <w:trHeight w:val="245"/>
        </w:trPr>
        <w:tc>
          <w:tcPr>
            <w:tcW w:w="1300" w:type="dxa"/>
            <w:vAlign w:val="bottom"/>
            <w:gridSpan w:val="2"/>
          </w:tcPr>
          <w:p>
            <w:pPr>
              <w:jc w:val="right"/>
              <w:ind w:right="347"/>
              <w:spacing w:after="0"/>
              <w:rPr>
                <w:sz w:val="20"/>
                <w:szCs w:val="20"/>
                <w:color w:val="auto"/>
              </w:rPr>
            </w:pPr>
            <w:r>
              <w:rPr>
                <w:rFonts w:ascii="Courier New" w:cs="Courier New" w:eastAsia="Courier New" w:hAnsi="Courier New"/>
                <w:sz w:val="15"/>
                <w:szCs w:val="15"/>
                <w:color w:val="auto"/>
                <w:w w:val="95"/>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427"/>
        </w:trPr>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164</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228</w:t>
            </w:r>
          </w:p>
        </w:tc>
      </w:tr>
      <w:tr>
        <w:trPr>
          <w:trHeight w:val="245"/>
        </w:trPr>
        <w:tc>
          <w:tcPr>
            <w:tcW w:w="1300" w:type="dxa"/>
            <w:vAlign w:val="bottom"/>
            <w:gridSpan w:val="2"/>
          </w:tcPr>
          <w:p>
            <w:pPr>
              <w:jc w:val="right"/>
              <w:ind w:right="347"/>
              <w:spacing w:after="0"/>
              <w:rPr>
                <w:sz w:val="20"/>
                <w:szCs w:val="20"/>
                <w:color w:val="auto"/>
              </w:rPr>
            </w:pPr>
            <w:r>
              <w:rPr>
                <w:rFonts w:ascii="Courier New" w:cs="Courier New" w:eastAsia="Courier New" w:hAnsi="Courier New"/>
                <w:sz w:val="15"/>
                <w:szCs w:val="15"/>
                <w:color w:val="auto"/>
                <w:w w:val="95"/>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427"/>
        </w:trPr>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1,208</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1,637</w:t>
            </w:r>
          </w:p>
        </w:tc>
      </w:tr>
      <w:tr>
        <w:trPr>
          <w:trHeight w:val="245"/>
        </w:trPr>
        <w:tc>
          <w:tcPr>
            <w:tcW w:w="1300" w:type="dxa"/>
            <w:vAlign w:val="bottom"/>
            <w:gridSpan w:val="2"/>
          </w:tcPr>
          <w:p>
            <w:pPr>
              <w:jc w:val="right"/>
              <w:ind w:right="347"/>
              <w:spacing w:after="0"/>
              <w:rPr>
                <w:sz w:val="20"/>
                <w:szCs w:val="20"/>
                <w:color w:val="auto"/>
              </w:rPr>
            </w:pPr>
            <w:r>
              <w:rPr>
                <w:rFonts w:ascii="Courier New" w:cs="Courier New" w:eastAsia="Courier New" w:hAnsi="Courier New"/>
                <w:sz w:val="15"/>
                <w:szCs w:val="15"/>
                <w:color w:val="auto"/>
                <w:w w:val="95"/>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427"/>
        </w:trPr>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15</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245"/>
        </w:trPr>
        <w:tc>
          <w:tcPr>
            <w:tcW w:w="1300" w:type="dxa"/>
            <w:vAlign w:val="bottom"/>
            <w:gridSpan w:val="2"/>
          </w:tcPr>
          <w:p>
            <w:pPr>
              <w:jc w:val="right"/>
              <w:ind w:right="347"/>
              <w:spacing w:after="0"/>
              <w:rPr>
                <w:sz w:val="20"/>
                <w:szCs w:val="20"/>
                <w:color w:val="auto"/>
              </w:rPr>
            </w:pPr>
            <w:r>
              <w:rPr>
                <w:rFonts w:ascii="Courier New" w:cs="Courier New" w:eastAsia="Courier New" w:hAnsi="Courier New"/>
                <w:sz w:val="15"/>
                <w:szCs w:val="15"/>
                <w:color w:val="auto"/>
                <w:w w:val="95"/>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440" w:space="620"/>
            <w:col w:w="2360"/>
          </w:cols>
          <w:pgMar w:left="220" w:top="598" w:right="1259"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NOTE 7 - POSTRETIREMENT MEDICAL AND LIFE INSURANCE BENEFITS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jc w:val="both"/>
        <w:ind w:right="3239"/>
        <w:spacing w:after="0" w:line="247" w:lineRule="auto"/>
        <w:rPr>
          <w:sz w:val="20"/>
          <w:szCs w:val="20"/>
          <w:color w:val="auto"/>
        </w:rPr>
      </w:pPr>
      <w:r>
        <w:rPr>
          <w:rFonts w:ascii="Courier New" w:cs="Courier New" w:eastAsia="Courier New" w:hAnsi="Courier New"/>
          <w:sz w:val="15"/>
          <w:szCs w:val="15"/>
          <w:color w:val="auto"/>
        </w:rPr>
        <w:t>Effective January 1, 1995, the Corporation adopted Statement of Financial Accounting Standards No. 106, "Employers' Accounting for Postretirement Benefits Other Than Pensions" ("SFAS 106"), for postretirement medical benefits for its foreign plans. Consistent with the January 1, 1993 adoption of SFAS 106 for domestic plans, the Corporation elected to expense the entire unrecognized accumulated obligation as of the date of adoption of SFAS 106 related to its foreign plans via a one-time pre-tax charge of $17 million ($11 million after-tax).</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 RESTRUCTURING CHARGES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jc w:val="both"/>
        <w:ind w:right="3239"/>
        <w:spacing w:after="0" w:line="272" w:lineRule="auto"/>
        <w:rPr>
          <w:sz w:val="20"/>
          <w:szCs w:val="20"/>
          <w:color w:val="auto"/>
        </w:rPr>
      </w:pPr>
      <w:r>
        <w:rPr>
          <w:rFonts w:ascii="Courier New" w:cs="Courier New" w:eastAsia="Courier New" w:hAnsi="Courier New"/>
          <w:sz w:val="14"/>
          <w:szCs w:val="14"/>
          <w:color w:val="auto"/>
        </w:rPr>
        <w:t>See Note 2 for a discussion of the merger-related restructuring charge. For a discussion of the Corporation's restructuring charges taken in prior years, reference is made to Note Fifteen of the Corporation's 1995 Annual Report. At June 30, 1996, the reserve balance related to prior years' restructuring charges was approximately $95 million relating substantially to the disposition of certain facilities, premises and equipment and the termination of leases.</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 COMMITMENTS AND CONTINGENCIES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jc w:val="both"/>
        <w:ind w:right="3239"/>
        <w:spacing w:after="0" w:line="307" w:lineRule="auto"/>
        <w:rPr>
          <w:sz w:val="20"/>
          <w:szCs w:val="20"/>
          <w:color w:val="auto"/>
        </w:rPr>
      </w:pPr>
      <w:r>
        <w:rPr>
          <w:rFonts w:ascii="Courier New" w:cs="Courier New" w:eastAsia="Courier New" w:hAnsi="Courier New"/>
          <w:sz w:val="15"/>
          <w:szCs w:val="15"/>
          <w:color w:val="auto"/>
        </w:rPr>
        <w:t>For a discussion of certain legal proceedings, see Part II, Item 1 of this Form 10-Q.</w:t>
      </w:r>
    </w:p>
    <w:p>
      <w:pPr>
        <w:spacing w:after="0" w:line="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 DERIVATIVE AND FOREIGN EXCHANGE FINANCIAL INSTRUMENTS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jc w:val="both"/>
        <w:ind w:right="3239"/>
        <w:spacing w:after="0" w:line="245" w:lineRule="auto"/>
        <w:rPr>
          <w:sz w:val="20"/>
          <w:szCs w:val="20"/>
          <w:color w:val="auto"/>
        </w:rPr>
      </w:pPr>
      <w:r>
        <w:rPr>
          <w:rFonts w:ascii="Courier New" w:cs="Courier New" w:eastAsia="Courier New" w:hAnsi="Courier New"/>
          <w:sz w:val="15"/>
          <w:szCs w:val="15"/>
          <w:color w:val="auto"/>
        </w:rPr>
        <w:t>The Corporation utilizes various derivative and foreign exchange financial instruments for trading purposes and for purposes other than trading, such as asset/liability management ("ALM"). These financial instruments represent contracts with counterparties where payments are made to or from the counterparty based upon specific interest rates, currency levels, other market rates or on terms predetermined by the contract. Such derivative and foreign exchange transactions involve, to varying degrees, credit risk and market risk. For a discussion of the credit and market risks involved with derivative and foreign exchange financial instruments, reference is made to pages 32 and 38-44 and Note Eighteen of the Corporation's 1995 Annual Report.</w:t>
      </w:r>
    </w:p>
    <w:p>
      <w:pPr>
        <w:spacing w:after="0" w:line="90"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5"/>
          <w:szCs w:val="15"/>
          <w:color w:val="auto"/>
        </w:rPr>
        <w:t>Derivative and Foreign Exchange Instruments Used for Trading Purposes: The financial instruments used for the Corporation's trading activities are disclosed in Note 4 of this Form 10-Q. The credit risk relating to the Corporation's trading activities is recorded on the balance sheet. The effects of market risk (gains or losses) on the Corporation's trading activities have been reflected in trading revenue, as the trading instruments are marked-to-market on a daily basis.</w:t>
      </w:r>
    </w:p>
    <w:p>
      <w:pPr>
        <w:spacing w:after="0" w:line="82"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5"/>
          <w:szCs w:val="15"/>
          <w:color w:val="auto"/>
        </w:rPr>
        <w:t>Derivative and Foreign Exchange Instruments Used for Purposes Other Than Trading: The Corporation's principal objective in using off-balance sheet instruments for purposes other than trading is for its ALM activities. A discussion of the Corporation's objectives and strategies for employing derivative and foreign exchange instruments for ALM activities is included on pages 41 and 44 of the Corporation's 1995 Annual Report.</w:t>
      </w:r>
    </w:p>
    <w:p>
      <w:pPr>
        <w:spacing w:after="0" w:line="81" w:lineRule="exact"/>
        <w:rPr>
          <w:sz w:val="20"/>
          <w:szCs w:val="20"/>
          <w:color w:val="auto"/>
        </w:rPr>
      </w:pPr>
    </w:p>
    <w:p>
      <w:pPr>
        <w:jc w:val="both"/>
        <w:ind w:right="3239"/>
        <w:spacing w:after="0" w:line="287" w:lineRule="auto"/>
        <w:rPr>
          <w:sz w:val="20"/>
          <w:szCs w:val="20"/>
          <w:color w:val="auto"/>
        </w:rPr>
      </w:pPr>
      <w:r>
        <w:rPr>
          <w:rFonts w:ascii="Courier New" w:cs="Courier New" w:eastAsia="Courier New" w:hAnsi="Courier New"/>
          <w:sz w:val="14"/>
          <w:szCs w:val="14"/>
          <w:color w:val="auto"/>
        </w:rPr>
        <w:t>At June 30, 1996, gross deferred gains and gross deferred losses relating to closed derivative contracts used in ALM activities were $631 million and $699 million, respectively. See page 56 of the Corporation's 1995 Annual Report for the accounting method used for these contracts and see page 41 of this Form 10-Q for the Amortization of Net Deferred Gains (Losses) on Closed ALM Contracts.</w:t>
      </w:r>
    </w:p>
    <w:p>
      <w:pPr>
        <w:spacing w:after="0" w:line="61" w:lineRule="exact"/>
        <w:rPr>
          <w:sz w:val="20"/>
          <w:szCs w:val="20"/>
          <w:color w:val="auto"/>
        </w:rPr>
      </w:pPr>
    </w:p>
    <w:p>
      <w:pPr>
        <w:jc w:val="both"/>
        <w:ind w:right="3239"/>
        <w:spacing w:after="0" w:line="298" w:lineRule="auto"/>
        <w:rPr>
          <w:sz w:val="20"/>
          <w:szCs w:val="20"/>
          <w:color w:val="auto"/>
        </w:rPr>
      </w:pPr>
      <w:r>
        <w:rPr>
          <w:rFonts w:ascii="Courier New" w:cs="Courier New" w:eastAsia="Courier New" w:hAnsi="Courier New"/>
          <w:sz w:val="14"/>
          <w:szCs w:val="14"/>
          <w:color w:val="auto"/>
        </w:rPr>
        <w:t>The Corporation also uses selected derivative financial instruments to manage the sensitivity to changes in market interest rates on anticipated transactions; however, such transactions are not significant. Accordingly, at June 30, 1996, deferred gains and losses associated with such transactions were immaterial.</w:t>
      </w:r>
    </w:p>
    <w:p>
      <w:pPr>
        <w:spacing w:after="0" w:line="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598" w:right="1440" w:bottom="1440" w:gutter="0" w:footer="0" w:header="0"/>
        </w:sectPr>
      </w:pPr>
    </w:p>
    <w:bookmarkStart w:id="13" w:name="page14"/>
    <w:bookmarkEnd w:id="13"/>
    <w:p>
      <w:pPr>
        <w:jc w:val="both"/>
        <w:ind w:right="4040"/>
        <w:spacing w:after="0" w:line="280" w:lineRule="auto"/>
        <w:rPr>
          <w:sz w:val="20"/>
          <w:szCs w:val="20"/>
          <w:color w:val="auto"/>
        </w:rPr>
      </w:pPr>
      <w:r>
        <w:rPr>
          <w:rFonts w:ascii="Courier New" w:cs="Courier New" w:eastAsia="Courier New" w:hAnsi="Courier New"/>
          <w:sz w:val="14"/>
          <w:szCs w:val="14"/>
          <w:color w:val="auto"/>
        </w:rPr>
        <w:t>The following table summarizes the aggregate notional amounts of interest rate and foreign exchange contracts as well as the credit exposure related to these instruments (after taking into account the effects of legally enforceable master netting agreements) for the dates indicated below. The table should be read in conjunction with the descriptions of these products and their risks included on pages 74-75 of the Corporation's 1995 Annual Report.</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40" w:type="dxa"/>
            <w:vAlign w:val="bottom"/>
            <w:gridSpan w:val="3"/>
          </w:tcPr>
          <w:p>
            <w:pPr>
              <w:jc w:val="right"/>
              <w:ind w:right="707"/>
              <w:spacing w:after="0"/>
              <w:rPr>
                <w:sz w:val="20"/>
                <w:szCs w:val="20"/>
                <w:color w:val="auto"/>
              </w:rPr>
            </w:pPr>
            <w:r>
              <w:rPr>
                <w:rFonts w:ascii="Courier New" w:cs="Courier New" w:eastAsia="Courier New" w:hAnsi="Courier New"/>
                <w:sz w:val="15"/>
                <w:szCs w:val="15"/>
                <w:color w:val="auto"/>
              </w:rPr>
              <w:t>Notional Amounts (a)</w:t>
            </w:r>
          </w:p>
        </w:tc>
        <w:tc>
          <w:tcPr>
            <w:tcW w:w="400" w:type="dxa"/>
            <w:vAlign w:val="bottom"/>
          </w:tcPr>
          <w:p>
            <w:pPr>
              <w:spacing w:after="0"/>
              <w:rPr>
                <w:sz w:val="14"/>
                <w:szCs w:val="14"/>
                <w:color w:val="auto"/>
              </w:rPr>
            </w:pPr>
          </w:p>
        </w:tc>
        <w:tc>
          <w:tcPr>
            <w:tcW w:w="210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Credit Exposure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40" w:type="dxa"/>
            <w:vAlign w:val="bottom"/>
          </w:tcPr>
          <w:p>
            <w:pPr>
              <w:spacing w:after="0"/>
              <w:rPr>
                <w:sz w:val="14"/>
                <w:szCs w:val="14"/>
                <w:color w:val="auto"/>
              </w:rPr>
            </w:pPr>
          </w:p>
        </w:tc>
        <w:tc>
          <w:tcPr>
            <w:tcW w:w="324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7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640" w:type="dxa"/>
            <w:vAlign w:val="bottom"/>
            <w:vMerge w:val="restart"/>
          </w:tcPr>
          <w:p>
            <w:pPr>
              <w:spacing w:after="0"/>
              <w:rPr>
                <w:sz w:val="20"/>
                <w:szCs w:val="20"/>
                <w:color w:val="auto"/>
              </w:rPr>
            </w:pPr>
            <w:r>
              <w:rPr>
                <w:rFonts w:ascii="Courier New" w:cs="Courier New" w:eastAsia="Courier New" w:hAnsi="Courier New"/>
                <w:sz w:val="15"/>
                <w:szCs w:val="15"/>
                <w:color w:val="auto"/>
              </w:rPr>
              <w:t>(in billions)</w:t>
            </w:r>
          </w:p>
        </w:tc>
        <w:tc>
          <w:tcPr>
            <w:tcW w:w="14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June 30,</w:t>
            </w:r>
          </w:p>
        </w:tc>
        <w:tc>
          <w:tcPr>
            <w:tcW w:w="18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December 31,</w:t>
            </w:r>
          </w:p>
        </w:tc>
        <w:tc>
          <w:tcPr>
            <w:tcW w:w="400" w:type="dxa"/>
            <w:vAlign w:val="bottom"/>
          </w:tcPr>
          <w:p>
            <w:pPr>
              <w:spacing w:after="0"/>
              <w:rPr>
                <w:sz w:val="14"/>
                <w:szCs w:val="14"/>
                <w:color w:val="auto"/>
              </w:rPr>
            </w:pP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June 30,</w:t>
            </w: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68"/>
        </w:trPr>
        <w:tc>
          <w:tcPr>
            <w:tcW w:w="46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1996</w:t>
            </w:r>
          </w:p>
        </w:tc>
        <w:tc>
          <w:tcPr>
            <w:tcW w:w="80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1995</w:t>
            </w:r>
          </w:p>
        </w:tc>
        <w:tc>
          <w:tcPr>
            <w:tcW w:w="40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1996</w:t>
            </w:r>
          </w:p>
        </w:tc>
        <w:tc>
          <w:tcPr>
            <w:tcW w:w="8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45"/>
        </w:trPr>
        <w:tc>
          <w:tcPr>
            <w:tcW w:w="4640" w:type="dxa"/>
            <w:vAlign w:val="bottom"/>
          </w:tcPr>
          <w:p>
            <w:pPr>
              <w:spacing w:after="0"/>
              <w:rPr>
                <w:sz w:val="21"/>
                <w:szCs w:val="21"/>
                <w:color w:val="auto"/>
              </w:rPr>
            </w:pPr>
          </w:p>
        </w:tc>
        <w:tc>
          <w:tcPr>
            <w:tcW w:w="14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1"/>
                <w:szCs w:val="21"/>
                <w:color w:val="auto"/>
              </w:rPr>
            </w:pP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9"/>
              </w:rPr>
              <w:t>--------</w:t>
            </w:r>
          </w:p>
        </w:tc>
        <w:tc>
          <w:tcPr>
            <w:tcW w:w="154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59"/>
        </w:trPr>
        <w:tc>
          <w:tcPr>
            <w:tcW w:w="4640" w:type="dxa"/>
            <w:vAlign w:val="bottom"/>
          </w:tcPr>
          <w:p>
            <w:pPr>
              <w:spacing w:after="0"/>
              <w:rPr>
                <w:sz w:val="20"/>
                <w:szCs w:val="20"/>
                <w:color w:val="auto"/>
              </w:rPr>
            </w:pPr>
            <w:r>
              <w:rPr>
                <w:rFonts w:ascii="Courier New" w:cs="Courier New" w:eastAsia="Courier New" w:hAnsi="Courier New"/>
                <w:sz w:val="15"/>
                <w:szCs w:val="15"/>
                <w:color w:val="auto"/>
              </w:rPr>
              <w:t>Interest Rate Contracts</w:t>
            </w: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640" w:type="dxa"/>
            <w:vAlign w:val="bottom"/>
          </w:tcPr>
          <w:p>
            <w:pPr>
              <w:spacing w:after="0"/>
              <w:rPr>
                <w:sz w:val="20"/>
                <w:szCs w:val="20"/>
                <w:color w:val="auto"/>
              </w:rPr>
            </w:pPr>
            <w:r>
              <w:rPr>
                <w:rFonts w:ascii="Courier New" w:cs="Courier New" w:eastAsia="Courier New" w:hAnsi="Courier New"/>
                <w:sz w:val="15"/>
                <w:szCs w:val="15"/>
                <w:color w:val="auto"/>
              </w:rPr>
              <w:t>Futures, Forwards and Forward Rate Agreements</w:t>
            </w: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Trading</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1,223.8</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1,047.5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0.6</w:t>
            </w:r>
          </w:p>
        </w:tc>
        <w:tc>
          <w:tcPr>
            <w:tcW w:w="8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Asset and Liability Management</w:t>
            </w:r>
          </w:p>
        </w:tc>
        <w:tc>
          <w:tcPr>
            <w:tcW w:w="40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72.6</w:t>
            </w:r>
          </w:p>
        </w:tc>
        <w:tc>
          <w:tcPr>
            <w:tcW w:w="80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40.0</w:t>
            </w:r>
          </w:p>
        </w:tc>
        <w:tc>
          <w:tcPr>
            <w:tcW w:w="40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w:t>
            </w:r>
          </w:p>
        </w:tc>
        <w:tc>
          <w:tcPr>
            <w:tcW w:w="0" w:type="dxa"/>
            <w:vAlign w:val="bottom"/>
          </w:tcPr>
          <w:p>
            <w:pPr>
              <w:spacing w:after="0"/>
              <w:rPr>
                <w:sz w:val="1"/>
                <w:szCs w:val="1"/>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Rate Swaps</w:t>
            </w:r>
          </w:p>
        </w:tc>
        <w:tc>
          <w:tcPr>
            <w:tcW w:w="400" w:type="dxa"/>
            <w:vAlign w:val="bottom"/>
          </w:tcPr>
          <w:p>
            <w:pPr>
              <w:spacing w:after="0"/>
              <w:rPr>
                <w:sz w:val="14"/>
                <w:szCs w:val="14"/>
                <w:color w:val="auto"/>
              </w:rPr>
            </w:pPr>
          </w:p>
        </w:tc>
        <w:tc>
          <w:tcPr>
            <w:tcW w:w="10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2,061.8</w:t>
            </w:r>
          </w:p>
        </w:tc>
        <w:tc>
          <w:tcPr>
            <w:tcW w:w="800" w:type="dxa"/>
            <w:vAlign w:val="bottom"/>
          </w:tcPr>
          <w:p>
            <w:pPr>
              <w:spacing w:after="0"/>
              <w:rPr>
                <w:sz w:val="14"/>
                <w:szCs w:val="14"/>
                <w:color w:val="auto"/>
              </w:rPr>
            </w:pPr>
          </w:p>
        </w:tc>
        <w:tc>
          <w:tcPr>
            <w:tcW w:w="10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1,692.6</w:t>
            </w:r>
          </w:p>
        </w:tc>
        <w:tc>
          <w:tcPr>
            <w:tcW w:w="400" w:type="dxa"/>
            <w:vAlign w:val="bottom"/>
          </w:tcPr>
          <w:p>
            <w:pPr>
              <w:spacing w:after="0"/>
              <w:rPr>
                <w:sz w:val="14"/>
                <w:szCs w:val="14"/>
                <w:color w:val="auto"/>
              </w:rPr>
            </w:pPr>
          </w:p>
        </w:tc>
        <w:tc>
          <w:tcPr>
            <w:tcW w:w="12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10.3</w:t>
            </w:r>
          </w:p>
        </w:tc>
        <w:tc>
          <w:tcPr>
            <w:tcW w:w="880" w:type="dxa"/>
            <w:vAlign w:val="bottom"/>
          </w:tcPr>
          <w:p>
            <w:pPr>
              <w:spacing w:after="0"/>
              <w:rPr>
                <w:sz w:val="14"/>
                <w:szCs w:val="14"/>
                <w:color w:val="auto"/>
              </w:rPr>
            </w:pPr>
          </w:p>
        </w:tc>
        <w:tc>
          <w:tcPr>
            <w:tcW w:w="6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10.4</w:t>
            </w: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Trading</w:t>
            </w:r>
          </w:p>
        </w:tc>
        <w:tc>
          <w:tcPr>
            <w:tcW w:w="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Asset and Liability Management</w:t>
            </w:r>
          </w:p>
        </w:tc>
        <w:tc>
          <w:tcPr>
            <w:tcW w:w="40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96.8</w:t>
            </w:r>
          </w:p>
        </w:tc>
        <w:tc>
          <w:tcPr>
            <w:tcW w:w="80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69.7</w:t>
            </w:r>
          </w:p>
        </w:tc>
        <w:tc>
          <w:tcPr>
            <w:tcW w:w="40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0.5</w:t>
            </w:r>
          </w:p>
        </w:tc>
        <w:tc>
          <w:tcPr>
            <w:tcW w:w="88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0.3</w:t>
            </w:r>
          </w:p>
        </w:tc>
        <w:tc>
          <w:tcPr>
            <w:tcW w:w="0" w:type="dxa"/>
            <w:vAlign w:val="bottom"/>
          </w:tcPr>
          <w:p>
            <w:pPr>
              <w:spacing w:after="0"/>
              <w:rPr>
                <w:sz w:val="1"/>
                <w:szCs w:val="1"/>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Purchased Options</w:t>
            </w:r>
          </w:p>
        </w:tc>
        <w:tc>
          <w:tcPr>
            <w:tcW w:w="400" w:type="dxa"/>
            <w:vAlign w:val="bottom"/>
          </w:tcPr>
          <w:p>
            <w:pPr>
              <w:spacing w:after="0"/>
              <w:rPr>
                <w:sz w:val="14"/>
                <w:szCs w:val="14"/>
                <w:color w:val="auto"/>
              </w:rPr>
            </w:pPr>
          </w:p>
        </w:tc>
        <w:tc>
          <w:tcPr>
            <w:tcW w:w="10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142.0</w:t>
            </w:r>
          </w:p>
        </w:tc>
        <w:tc>
          <w:tcPr>
            <w:tcW w:w="800" w:type="dxa"/>
            <w:vAlign w:val="bottom"/>
          </w:tcPr>
          <w:p>
            <w:pPr>
              <w:spacing w:after="0"/>
              <w:rPr>
                <w:sz w:val="14"/>
                <w:szCs w:val="14"/>
                <w:color w:val="auto"/>
              </w:rPr>
            </w:pPr>
          </w:p>
        </w:tc>
        <w:tc>
          <w:tcPr>
            <w:tcW w:w="10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147.2</w:t>
            </w:r>
          </w:p>
        </w:tc>
        <w:tc>
          <w:tcPr>
            <w:tcW w:w="400" w:type="dxa"/>
            <w:vAlign w:val="bottom"/>
          </w:tcPr>
          <w:p>
            <w:pPr>
              <w:spacing w:after="0"/>
              <w:rPr>
                <w:sz w:val="14"/>
                <w:szCs w:val="14"/>
                <w:color w:val="auto"/>
              </w:rPr>
            </w:pPr>
          </w:p>
        </w:tc>
        <w:tc>
          <w:tcPr>
            <w:tcW w:w="12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1.4</w:t>
            </w:r>
          </w:p>
        </w:tc>
        <w:tc>
          <w:tcPr>
            <w:tcW w:w="880" w:type="dxa"/>
            <w:vAlign w:val="bottom"/>
          </w:tcPr>
          <w:p>
            <w:pPr>
              <w:spacing w:after="0"/>
              <w:rPr>
                <w:sz w:val="14"/>
                <w:szCs w:val="14"/>
                <w:color w:val="auto"/>
              </w:rPr>
            </w:pPr>
          </w:p>
        </w:tc>
        <w:tc>
          <w:tcPr>
            <w:tcW w:w="6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0.7</w:t>
            </w: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Trading</w:t>
            </w:r>
          </w:p>
        </w:tc>
        <w:tc>
          <w:tcPr>
            <w:tcW w:w="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Asset and Liability Management</w:t>
            </w:r>
          </w:p>
        </w:tc>
        <w:tc>
          <w:tcPr>
            <w:tcW w:w="40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65.1</w:t>
            </w:r>
          </w:p>
        </w:tc>
        <w:tc>
          <w:tcPr>
            <w:tcW w:w="80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26.0</w:t>
            </w:r>
          </w:p>
        </w:tc>
        <w:tc>
          <w:tcPr>
            <w:tcW w:w="40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Written Options</w:t>
            </w:r>
          </w:p>
        </w:tc>
        <w:tc>
          <w:tcPr>
            <w:tcW w:w="400" w:type="dxa"/>
            <w:vAlign w:val="bottom"/>
          </w:tcPr>
          <w:p>
            <w:pPr>
              <w:spacing w:after="0"/>
              <w:rPr>
                <w:sz w:val="14"/>
                <w:szCs w:val="14"/>
                <w:color w:val="auto"/>
              </w:rPr>
            </w:pPr>
          </w:p>
        </w:tc>
        <w:tc>
          <w:tcPr>
            <w:tcW w:w="10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156.5</w:t>
            </w:r>
          </w:p>
        </w:tc>
        <w:tc>
          <w:tcPr>
            <w:tcW w:w="800" w:type="dxa"/>
            <w:vAlign w:val="bottom"/>
          </w:tcPr>
          <w:p>
            <w:pPr>
              <w:spacing w:after="0"/>
              <w:rPr>
                <w:sz w:val="14"/>
                <w:szCs w:val="14"/>
                <w:color w:val="auto"/>
              </w:rPr>
            </w:pPr>
          </w:p>
        </w:tc>
        <w:tc>
          <w:tcPr>
            <w:tcW w:w="10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161.0</w:t>
            </w:r>
          </w:p>
        </w:tc>
        <w:tc>
          <w:tcPr>
            <w:tcW w:w="400" w:type="dxa"/>
            <w:vAlign w:val="bottom"/>
          </w:tcPr>
          <w:p>
            <w:pPr>
              <w:spacing w:after="0"/>
              <w:rPr>
                <w:sz w:val="14"/>
                <w:szCs w:val="14"/>
                <w:color w:val="auto"/>
              </w:rPr>
            </w:pPr>
          </w:p>
        </w:tc>
        <w:tc>
          <w:tcPr>
            <w:tcW w:w="12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6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Trading</w:t>
            </w:r>
          </w:p>
        </w:tc>
        <w:tc>
          <w:tcPr>
            <w:tcW w:w="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Asset and Liability Management</w:t>
            </w:r>
          </w:p>
        </w:tc>
        <w:tc>
          <w:tcPr>
            <w:tcW w:w="40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33.1</w:t>
            </w:r>
          </w:p>
        </w:tc>
        <w:tc>
          <w:tcPr>
            <w:tcW w:w="80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w:t>
            </w:r>
          </w:p>
        </w:tc>
        <w:tc>
          <w:tcPr>
            <w:tcW w:w="40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64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Total Interest Rate Contracts</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640" w:type="dxa"/>
            <w:vAlign w:val="bottom"/>
            <w:vMerge w:val="continue"/>
          </w:tcPr>
          <w:p>
            <w:pPr>
              <w:spacing w:after="0"/>
              <w:rPr>
                <w:sz w:val="14"/>
                <w:szCs w:val="14"/>
                <w:color w:val="auto"/>
              </w:rPr>
            </w:pPr>
          </w:p>
        </w:tc>
        <w:tc>
          <w:tcPr>
            <w:tcW w:w="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3,851.7</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3,190.4</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12.8</w:t>
            </w:r>
          </w:p>
        </w:tc>
        <w:tc>
          <w:tcPr>
            <w:tcW w:w="8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12.8</w:t>
            </w:r>
          </w:p>
        </w:tc>
        <w:tc>
          <w:tcPr>
            <w:tcW w:w="0" w:type="dxa"/>
            <w:vAlign w:val="bottom"/>
          </w:tcPr>
          <w:p>
            <w:pPr>
              <w:spacing w:after="0"/>
              <w:rPr>
                <w:sz w:val="1"/>
                <w:szCs w:val="1"/>
                <w:color w:val="auto"/>
              </w:rPr>
            </w:pPr>
          </w:p>
        </w:tc>
      </w:tr>
      <w:tr>
        <w:trPr>
          <w:trHeight w:val="245"/>
        </w:trPr>
        <w:tc>
          <w:tcPr>
            <w:tcW w:w="4640" w:type="dxa"/>
            <w:vAlign w:val="bottom"/>
          </w:tcPr>
          <w:p>
            <w:pPr>
              <w:spacing w:after="0"/>
              <w:rPr>
                <w:sz w:val="21"/>
                <w:szCs w:val="21"/>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640" w:type="dxa"/>
            <w:vAlign w:val="bottom"/>
          </w:tcPr>
          <w:p>
            <w:pPr>
              <w:spacing w:after="0"/>
              <w:rPr>
                <w:sz w:val="20"/>
                <w:szCs w:val="20"/>
                <w:color w:val="auto"/>
              </w:rPr>
            </w:pPr>
            <w:r>
              <w:rPr>
                <w:rFonts w:ascii="Courier New" w:cs="Courier New" w:eastAsia="Courier New" w:hAnsi="Courier New"/>
                <w:sz w:val="15"/>
                <w:szCs w:val="15"/>
                <w:color w:val="auto"/>
              </w:rPr>
              <w:t>Foreign Exchange Contracts</w:t>
            </w: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Spot, Forward and Futures Contracts</w:t>
            </w:r>
          </w:p>
        </w:tc>
        <w:tc>
          <w:tcPr>
            <w:tcW w:w="40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1,429.3</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1,352.1</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8.0</w:t>
            </w:r>
          </w:p>
        </w:tc>
        <w:tc>
          <w:tcPr>
            <w:tcW w:w="880" w:type="dxa"/>
            <w:vAlign w:val="bottom"/>
            <w:vMerge w:val="restart"/>
          </w:tcPr>
          <w:p>
            <w:pPr>
              <w:ind w:left="480"/>
              <w:spacing w:after="0"/>
              <w:rPr>
                <w:sz w:val="20"/>
                <w:szCs w:val="20"/>
                <w:color w:val="auto"/>
              </w:rPr>
            </w:pPr>
            <w:r>
              <w:rPr>
                <w:rFonts w:ascii="Courier New" w:cs="Courier New" w:eastAsia="Courier New" w:hAnsi="Courier New"/>
                <w:sz w:val="15"/>
                <w:szCs w:val="15"/>
                <w:color w:val="auto"/>
              </w:rPr>
              <w:t>$</w:t>
            </w:r>
          </w:p>
        </w:tc>
        <w:tc>
          <w:tcPr>
            <w:tcW w:w="6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8.8</w:t>
            </w: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Trading</w:t>
            </w:r>
          </w:p>
        </w:tc>
        <w:tc>
          <w:tcPr>
            <w:tcW w:w="4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Asset and Liability Management</w:t>
            </w:r>
          </w:p>
        </w:tc>
        <w:tc>
          <w:tcPr>
            <w:tcW w:w="40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23.5</w:t>
            </w:r>
          </w:p>
        </w:tc>
        <w:tc>
          <w:tcPr>
            <w:tcW w:w="80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10.9</w:t>
            </w:r>
          </w:p>
        </w:tc>
        <w:tc>
          <w:tcPr>
            <w:tcW w:w="40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Foreign Exchange Contracts (b)</w:t>
            </w:r>
          </w:p>
        </w:tc>
        <w:tc>
          <w:tcPr>
            <w:tcW w:w="400" w:type="dxa"/>
            <w:vAlign w:val="bottom"/>
          </w:tcPr>
          <w:p>
            <w:pPr>
              <w:spacing w:after="0"/>
              <w:rPr>
                <w:sz w:val="14"/>
                <w:szCs w:val="14"/>
                <w:color w:val="auto"/>
              </w:rPr>
            </w:pPr>
          </w:p>
        </w:tc>
        <w:tc>
          <w:tcPr>
            <w:tcW w:w="10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365.7</w:t>
            </w:r>
          </w:p>
        </w:tc>
        <w:tc>
          <w:tcPr>
            <w:tcW w:w="800" w:type="dxa"/>
            <w:vAlign w:val="bottom"/>
          </w:tcPr>
          <w:p>
            <w:pPr>
              <w:spacing w:after="0"/>
              <w:rPr>
                <w:sz w:val="14"/>
                <w:szCs w:val="14"/>
                <w:color w:val="auto"/>
              </w:rPr>
            </w:pPr>
          </w:p>
        </w:tc>
        <w:tc>
          <w:tcPr>
            <w:tcW w:w="10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241.6</w:t>
            </w:r>
          </w:p>
        </w:tc>
        <w:tc>
          <w:tcPr>
            <w:tcW w:w="400" w:type="dxa"/>
            <w:vAlign w:val="bottom"/>
          </w:tcPr>
          <w:p>
            <w:pPr>
              <w:spacing w:after="0"/>
              <w:rPr>
                <w:sz w:val="14"/>
                <w:szCs w:val="14"/>
                <w:color w:val="auto"/>
              </w:rPr>
            </w:pPr>
          </w:p>
        </w:tc>
        <w:tc>
          <w:tcPr>
            <w:tcW w:w="12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4.1</w:t>
            </w:r>
          </w:p>
        </w:tc>
        <w:tc>
          <w:tcPr>
            <w:tcW w:w="880" w:type="dxa"/>
            <w:vAlign w:val="bottom"/>
          </w:tcPr>
          <w:p>
            <w:pPr>
              <w:spacing w:after="0"/>
              <w:rPr>
                <w:sz w:val="14"/>
                <w:szCs w:val="14"/>
                <w:color w:val="auto"/>
              </w:rPr>
            </w:pPr>
          </w:p>
        </w:tc>
        <w:tc>
          <w:tcPr>
            <w:tcW w:w="6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3.6</w:t>
            </w: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Trading</w:t>
            </w:r>
          </w:p>
        </w:tc>
        <w:tc>
          <w:tcPr>
            <w:tcW w:w="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Asset and Liability Management</w:t>
            </w:r>
          </w:p>
        </w:tc>
        <w:tc>
          <w:tcPr>
            <w:tcW w:w="40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w:t>
            </w:r>
          </w:p>
        </w:tc>
        <w:tc>
          <w:tcPr>
            <w:tcW w:w="80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w:t>
            </w:r>
          </w:p>
        </w:tc>
        <w:tc>
          <w:tcPr>
            <w:tcW w:w="40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64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Total Foreign Exchange Contracts</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640" w:type="dxa"/>
            <w:vAlign w:val="bottom"/>
            <w:vMerge w:val="continue"/>
          </w:tcPr>
          <w:p>
            <w:pPr>
              <w:spacing w:after="0"/>
              <w:rPr>
                <w:sz w:val="14"/>
                <w:szCs w:val="14"/>
                <w:color w:val="auto"/>
              </w:rPr>
            </w:pPr>
          </w:p>
        </w:tc>
        <w:tc>
          <w:tcPr>
            <w:tcW w:w="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1,821.8</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1,606.2</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12.1</w:t>
            </w:r>
          </w:p>
        </w:tc>
        <w:tc>
          <w:tcPr>
            <w:tcW w:w="8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12.4</w:t>
            </w:r>
          </w:p>
        </w:tc>
        <w:tc>
          <w:tcPr>
            <w:tcW w:w="0" w:type="dxa"/>
            <w:vAlign w:val="bottom"/>
          </w:tcPr>
          <w:p>
            <w:pPr>
              <w:spacing w:after="0"/>
              <w:rPr>
                <w:sz w:val="1"/>
                <w:szCs w:val="1"/>
                <w:color w:val="auto"/>
              </w:rPr>
            </w:pPr>
          </w:p>
        </w:tc>
      </w:tr>
      <w:tr>
        <w:trPr>
          <w:trHeight w:val="245"/>
        </w:trPr>
        <w:tc>
          <w:tcPr>
            <w:tcW w:w="4640" w:type="dxa"/>
            <w:vAlign w:val="bottom"/>
          </w:tcPr>
          <w:p>
            <w:pPr>
              <w:spacing w:after="0"/>
              <w:rPr>
                <w:sz w:val="21"/>
                <w:szCs w:val="21"/>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640" w:type="dxa"/>
            <w:vAlign w:val="bottom"/>
          </w:tcPr>
          <w:p>
            <w:pPr>
              <w:spacing w:after="0"/>
              <w:rPr>
                <w:sz w:val="20"/>
                <w:szCs w:val="20"/>
                <w:color w:val="auto"/>
              </w:rPr>
            </w:pPr>
            <w:r>
              <w:rPr>
                <w:rFonts w:ascii="Courier New" w:cs="Courier New" w:eastAsia="Courier New" w:hAnsi="Courier New"/>
                <w:sz w:val="15"/>
                <w:szCs w:val="15"/>
                <w:color w:val="auto"/>
              </w:rPr>
              <w:t>Stock Index Options and Commodity</w:t>
            </w: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Contracts</w:t>
            </w:r>
          </w:p>
        </w:tc>
        <w:tc>
          <w:tcPr>
            <w:tcW w:w="40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56.0</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37.7</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2.0</w:t>
            </w:r>
          </w:p>
        </w:tc>
        <w:tc>
          <w:tcPr>
            <w:tcW w:w="880" w:type="dxa"/>
            <w:vAlign w:val="bottom"/>
            <w:vMerge w:val="restart"/>
          </w:tcPr>
          <w:p>
            <w:pPr>
              <w:ind w:left="480"/>
              <w:spacing w:after="0"/>
              <w:rPr>
                <w:sz w:val="20"/>
                <w:szCs w:val="20"/>
                <w:color w:val="auto"/>
              </w:rPr>
            </w:pPr>
            <w:r>
              <w:rPr>
                <w:rFonts w:ascii="Courier New" w:cs="Courier New" w:eastAsia="Courier New" w:hAnsi="Courier New"/>
                <w:sz w:val="15"/>
                <w:szCs w:val="15"/>
                <w:color w:val="auto"/>
              </w:rPr>
              <w:t>$</w:t>
            </w:r>
          </w:p>
        </w:tc>
        <w:tc>
          <w:tcPr>
            <w:tcW w:w="6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Trading</w:t>
            </w:r>
          </w:p>
        </w:tc>
        <w:tc>
          <w:tcPr>
            <w:tcW w:w="4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6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Stock Index Options and</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4640" w:type="dxa"/>
            <w:vAlign w:val="bottom"/>
            <w:vMerge w:val="continue"/>
          </w:tcPr>
          <w:p>
            <w:pPr>
              <w:spacing w:after="0"/>
              <w:rPr>
                <w:sz w:val="7"/>
                <w:szCs w:val="7"/>
                <w:color w:val="auto"/>
              </w:rPr>
            </w:pPr>
          </w:p>
        </w:tc>
        <w:tc>
          <w:tcPr>
            <w:tcW w:w="40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56.0</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37.7</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2.0</w:t>
            </w:r>
          </w:p>
        </w:tc>
        <w:tc>
          <w:tcPr>
            <w:tcW w:w="880" w:type="dxa"/>
            <w:vAlign w:val="bottom"/>
            <w:vMerge w:val="restart"/>
          </w:tcPr>
          <w:p>
            <w:pPr>
              <w:ind w:left="480"/>
              <w:spacing w:after="0"/>
              <w:rPr>
                <w:sz w:val="20"/>
                <w:szCs w:val="20"/>
                <w:color w:val="auto"/>
              </w:rPr>
            </w:pPr>
            <w:r>
              <w:rPr>
                <w:rFonts w:ascii="Courier New" w:cs="Courier New" w:eastAsia="Courier New" w:hAnsi="Courier New"/>
                <w:sz w:val="15"/>
                <w:szCs w:val="15"/>
                <w:color w:val="auto"/>
              </w:rPr>
              <w:t>$</w:t>
            </w:r>
          </w:p>
        </w:tc>
        <w:tc>
          <w:tcPr>
            <w:tcW w:w="6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68"/>
        </w:trPr>
        <w:tc>
          <w:tcPr>
            <w:tcW w:w="4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Commodity Contracts</w:t>
            </w:r>
          </w:p>
        </w:tc>
        <w:tc>
          <w:tcPr>
            <w:tcW w:w="4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640" w:type="dxa"/>
            <w:vAlign w:val="bottom"/>
          </w:tcPr>
          <w:p>
            <w:pPr>
              <w:spacing w:after="0"/>
              <w:rPr>
                <w:sz w:val="21"/>
                <w:szCs w:val="21"/>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640" w:type="dxa"/>
            <w:vAlign w:val="bottom"/>
          </w:tcPr>
          <w:p>
            <w:pPr>
              <w:spacing w:after="0"/>
              <w:rPr>
                <w:sz w:val="20"/>
                <w:szCs w:val="20"/>
                <w:color w:val="auto"/>
              </w:rPr>
            </w:pPr>
            <w:r>
              <w:rPr>
                <w:rFonts w:ascii="Courier New" w:cs="Courier New" w:eastAsia="Courier New" w:hAnsi="Courier New"/>
                <w:sz w:val="15"/>
                <w:szCs w:val="15"/>
                <w:color w:val="auto"/>
              </w:rPr>
              <w:t>Total Credit Exposure Recorded on the Balance Sheet</w:t>
            </w: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26.9</w:t>
            </w:r>
          </w:p>
        </w:tc>
        <w:tc>
          <w:tcPr>
            <w:tcW w:w="8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26.2</w:t>
            </w:r>
          </w:p>
        </w:tc>
        <w:tc>
          <w:tcPr>
            <w:tcW w:w="0" w:type="dxa"/>
            <w:vAlign w:val="bottom"/>
          </w:tcPr>
          <w:p>
            <w:pPr>
              <w:spacing w:after="0"/>
              <w:rPr>
                <w:sz w:val="1"/>
                <w:szCs w:val="1"/>
                <w:color w:val="auto"/>
              </w:rPr>
            </w:pPr>
          </w:p>
        </w:tc>
      </w:tr>
      <w:tr>
        <w:trPr>
          <w:trHeight w:val="245"/>
        </w:trPr>
        <w:tc>
          <w:tcPr>
            <w:tcW w:w="4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jc w:val="both"/>
        <w:ind w:left="540" w:right="4040" w:hanging="530"/>
        <w:spacing w:after="0" w:line="242" w:lineRule="auto"/>
        <w:tabs>
          <w:tab w:leader="none" w:pos="5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notional amounts of exchange-traded interest rates contracts, foreign exchange contracts, and stock index options and commodity contracts were $515.7 billion, $5.1 billion and $10.1 billion, respectively, at June 30, 1996, compared with $417.7 billion, $10.6 billion and $5.1 billion, respectively, at December 31, 1995. The credit risk amounts of these contracts were minimal since exchange-traded contracts principally settle daily in cash.</w:t>
      </w:r>
    </w:p>
    <w:p>
      <w:pPr>
        <w:spacing w:after="0" w:line="4" w:lineRule="exact"/>
        <w:rPr>
          <w:rFonts w:ascii="Courier New" w:cs="Courier New" w:eastAsia="Courier New" w:hAnsi="Courier New"/>
          <w:sz w:val="15"/>
          <w:szCs w:val="15"/>
          <w:color w:val="auto"/>
        </w:rPr>
      </w:pPr>
    </w:p>
    <w:p>
      <w:pPr>
        <w:jc w:val="both"/>
        <w:ind w:left="540" w:right="4040" w:hanging="530"/>
        <w:spacing w:after="0" w:line="255" w:lineRule="auto"/>
        <w:tabs>
          <w:tab w:leader="none" w:pos="5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notional amounts of purchased options, written options and cross-currency interest rate swaps of $131.7 billion, $150.8 billion and $86.5 billion, respectively, at June 30, 1996, compared with $92.2 billion, $92.4 billion and $58.6 billion, respectively, at December 31, 1995.</w:t>
      </w:r>
    </w:p>
    <w:p>
      <w:pPr>
        <w:spacing w:after="0" w:line="200" w:lineRule="exact"/>
        <w:rPr>
          <w:sz w:val="20"/>
          <w:szCs w:val="20"/>
          <w:color w:val="auto"/>
        </w:rPr>
      </w:pPr>
    </w:p>
    <w:p>
      <w:pPr>
        <w:spacing w:after="0" w:line="2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1040"/>
          </w:cols>
          <w:pgMar w:left="220" w:top="598" w:right="6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0"/>
        </w:trPr>
        <w:tc>
          <w:tcPr>
            <w:tcW w:w="6140" w:type="dxa"/>
            <w:vAlign w:val="bottom"/>
            <w:gridSpan w:val="3"/>
          </w:tcPr>
          <w:p>
            <w:pPr>
              <w:spacing w:after="0"/>
              <w:rPr>
                <w:sz w:val="20"/>
                <w:szCs w:val="20"/>
                <w:color w:val="auto"/>
              </w:rPr>
            </w:pPr>
            <w:r>
              <w:rPr>
                <w:rFonts w:ascii="Courier New" w:cs="Courier New" w:eastAsia="Courier New" w:hAnsi="Courier New"/>
                <w:sz w:val="15"/>
                <w:szCs w:val="15"/>
                <w:color w:val="auto"/>
              </w:rPr>
              <w:t>NOTE 11 - OFF-BALANCE SHEET LENDING-RELATED FINANCIAL INSTRUMENTS</w:t>
            </w:r>
          </w:p>
        </w:tc>
        <w:tc>
          <w:tcPr>
            <w:tcW w:w="26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 -----------------------------------------------------------------</w:t>
            </w:r>
          </w:p>
        </w:tc>
        <w:tc>
          <w:tcPr>
            <w:tcW w:w="2620" w:type="dxa"/>
            <w:vAlign w:val="bottom"/>
            <w:vMerge w:val="restart"/>
          </w:tcPr>
          <w:p>
            <w:pPr>
              <w:jc w:val="right"/>
              <w:ind w:right="1687"/>
              <w:spacing w:after="0"/>
              <w:rPr>
                <w:sz w:val="20"/>
                <w:szCs w:val="20"/>
                <w:color w:val="auto"/>
              </w:rPr>
            </w:pPr>
            <w:r>
              <w:rPr>
                <w:rFonts w:ascii="Courier New" w:cs="Courier New" w:eastAsia="Courier New" w:hAnsi="Courier New"/>
                <w:sz w:val="15"/>
                <w:szCs w:val="15"/>
                <w:color w:val="auto"/>
              </w:rPr>
              <w:t>which  is</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The  following  table  summarizes  the</w:t>
            </w:r>
          </w:p>
        </w:tc>
        <w:tc>
          <w:tcPr>
            <w:tcW w:w="28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Corporation's   credit  risk</w:t>
            </w:r>
          </w:p>
        </w:tc>
        <w:tc>
          <w:tcPr>
            <w:tcW w:w="2620" w:type="dxa"/>
            <w:vAlign w:val="bottom"/>
            <w:vMerge w:val="continue"/>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represented</w:t>
            </w:r>
          </w:p>
        </w:tc>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by  contract   amounts</w:t>
            </w:r>
          </w:p>
        </w:tc>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relating  to   lending-related</w:t>
            </w:r>
          </w:p>
        </w:tc>
        <w:tc>
          <w:tcPr>
            <w:tcW w:w="2620" w:type="dxa"/>
            <w:vAlign w:val="bottom"/>
          </w:tcPr>
          <w:p>
            <w:pPr>
              <w:jc w:val="right"/>
              <w:ind w:right="1687"/>
              <w:spacing w:after="0" w:line="168" w:lineRule="exact"/>
              <w:rPr>
                <w:sz w:val="20"/>
                <w:szCs w:val="20"/>
                <w:color w:val="auto"/>
              </w:rPr>
            </w:pPr>
            <w:r>
              <w:rPr>
                <w:rFonts w:ascii="Courier New" w:cs="Courier New" w:eastAsia="Courier New" w:hAnsi="Courier New"/>
                <w:sz w:val="15"/>
                <w:szCs w:val="15"/>
                <w:color w:val="auto"/>
              </w:rPr>
              <w:t>financial</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instruments</w:t>
            </w:r>
          </w:p>
        </w:tc>
        <w:tc>
          <w:tcPr>
            <w:tcW w:w="7620" w:type="dxa"/>
            <w:vAlign w:val="bottom"/>
            <w:gridSpan w:val="3"/>
          </w:tcPr>
          <w:p>
            <w:pPr>
              <w:jc w:val="right"/>
              <w:ind w:right="1687"/>
              <w:spacing w:after="0" w:line="168" w:lineRule="exact"/>
              <w:rPr>
                <w:sz w:val="20"/>
                <w:szCs w:val="20"/>
                <w:color w:val="auto"/>
              </w:rPr>
            </w:pPr>
            <w:r>
              <w:rPr>
                <w:rFonts w:ascii="Courier New" w:cs="Courier New" w:eastAsia="Courier New" w:hAnsi="Courier New"/>
                <w:sz w:val="15"/>
                <w:szCs w:val="15"/>
                <w:color w:val="auto"/>
                <w:w w:val="96"/>
              </w:rPr>
              <w:t>at June 30, 1996 and December 31, 1995. The table should be read in</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conjunction</w:t>
            </w:r>
          </w:p>
        </w:tc>
        <w:tc>
          <w:tcPr>
            <w:tcW w:w="7620" w:type="dxa"/>
            <w:vAlign w:val="bottom"/>
            <w:gridSpan w:val="3"/>
          </w:tcPr>
          <w:p>
            <w:pPr>
              <w:jc w:val="right"/>
              <w:ind w:right="1687"/>
              <w:spacing w:after="0" w:line="168" w:lineRule="exact"/>
              <w:rPr>
                <w:sz w:val="20"/>
                <w:szCs w:val="20"/>
                <w:color w:val="auto"/>
              </w:rPr>
            </w:pPr>
            <w:r>
              <w:rPr>
                <w:rFonts w:ascii="Courier New" w:cs="Courier New" w:eastAsia="Courier New" w:hAnsi="Courier New"/>
                <w:sz w:val="15"/>
                <w:szCs w:val="15"/>
                <w:color w:val="auto"/>
                <w:w w:val="96"/>
              </w:rPr>
              <w:t>with the  description of these products and their risks included on</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6140" w:type="dxa"/>
            <w:vAlign w:val="bottom"/>
            <w:gridSpan w:val="3"/>
          </w:tcPr>
          <w:p>
            <w:pPr>
              <w:spacing w:after="0"/>
              <w:rPr>
                <w:sz w:val="20"/>
                <w:szCs w:val="20"/>
                <w:color w:val="auto"/>
              </w:rPr>
            </w:pPr>
            <w:r>
              <w:rPr>
                <w:rFonts w:ascii="Courier New" w:cs="Courier New" w:eastAsia="Courier New" w:hAnsi="Courier New"/>
                <w:sz w:val="15"/>
                <w:szCs w:val="15"/>
                <w:color w:val="auto"/>
              </w:rPr>
              <w:t>page 75 of the Corporation's 1995 Annual Report.</w:t>
            </w:r>
          </w:p>
        </w:tc>
        <w:tc>
          <w:tcPr>
            <w:tcW w:w="26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6140" w:type="dxa"/>
            <w:vAlign w:val="bottom"/>
            <w:gridSpan w:val="3"/>
          </w:tcPr>
          <w:p>
            <w:pPr>
              <w:spacing w:after="0"/>
              <w:rPr>
                <w:sz w:val="20"/>
                <w:szCs w:val="20"/>
                <w:color w:val="auto"/>
              </w:rPr>
            </w:pPr>
            <w:r>
              <w:rPr>
                <w:rFonts w:ascii="Courier New" w:cs="Courier New" w:eastAsia="Courier New" w:hAnsi="Courier New"/>
                <w:sz w:val="15"/>
                <w:szCs w:val="15"/>
                <w:color w:val="auto"/>
              </w:rPr>
              <w:t>Off-Balance Sheet Lending-Related Financial Instruments</w:t>
            </w:r>
          </w:p>
        </w:tc>
        <w:tc>
          <w:tcPr>
            <w:tcW w:w="26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140" w:type="dxa"/>
            <w:vAlign w:val="bottom"/>
            <w:gridSpan w:val="3"/>
          </w:tcPr>
          <w:p>
            <w:pPr>
              <w:spacing w:after="0"/>
              <w:rPr>
                <w:sz w:val="20"/>
                <w:szCs w:val="20"/>
                <w:color w:val="auto"/>
              </w:rPr>
            </w:pPr>
            <w:r>
              <w:rPr>
                <w:rFonts w:ascii="Courier New" w:cs="Courier New" w:eastAsia="Courier New" w:hAnsi="Courier New"/>
                <w:sz w:val="15"/>
                <w:szCs w:val="15"/>
                <w:color w:val="auto"/>
              </w:rPr>
              <w:t>- -------------------------------------------------------</w:t>
            </w:r>
          </w:p>
        </w:tc>
        <w:tc>
          <w:tcPr>
            <w:tcW w:w="2620" w:type="dxa"/>
            <w:vAlign w:val="bottom"/>
            <w:vMerge w:val="restart"/>
          </w:tcPr>
          <w:p>
            <w:pPr>
              <w:jc w:val="right"/>
              <w:ind w:right="807"/>
              <w:spacing w:after="0"/>
              <w:rPr>
                <w:sz w:val="20"/>
                <w:szCs w:val="20"/>
                <w:color w:val="auto"/>
              </w:rPr>
            </w:pPr>
            <w:r>
              <w:rPr>
                <w:rFonts w:ascii="Courier New" w:cs="Courier New" w:eastAsia="Courier New" w:hAnsi="Courier New"/>
                <w:sz w:val="15"/>
                <w:szCs w:val="15"/>
                <w:color w:val="auto"/>
              </w:rPr>
              <w:t>June 30,</w:t>
            </w:r>
          </w:p>
        </w:tc>
        <w:tc>
          <w:tcPr>
            <w:tcW w:w="19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91"/>
        </w:trPr>
        <w:tc>
          <w:tcPr>
            <w:tcW w:w="1140" w:type="dxa"/>
            <w:vAlign w:val="bottom"/>
            <w:vMerge w:val="restart"/>
          </w:tcPr>
          <w:p>
            <w:pPr>
              <w:spacing w:after="0"/>
              <w:rPr>
                <w:sz w:val="20"/>
                <w:szCs w:val="20"/>
                <w:color w:val="auto"/>
              </w:rPr>
            </w:pPr>
            <w:r>
              <w:rPr>
                <w:rFonts w:ascii="Courier New" w:cs="Courier New" w:eastAsia="Courier New" w:hAnsi="Courier New"/>
                <w:sz w:val="15"/>
                <w:szCs w:val="15"/>
                <w:color w:val="auto"/>
                <w:w w:val="95"/>
              </w:rPr>
              <w:t>(in millions)</w:t>
            </w:r>
          </w:p>
        </w:tc>
        <w:tc>
          <w:tcPr>
            <w:tcW w:w="2200" w:type="dxa"/>
            <w:vAlign w:val="bottom"/>
          </w:tcPr>
          <w:p>
            <w:pPr>
              <w:spacing w:after="0"/>
              <w:rPr>
                <w:sz w:val="7"/>
                <w:szCs w:val="7"/>
                <w:color w:val="auto"/>
              </w:rPr>
            </w:pPr>
          </w:p>
        </w:tc>
        <w:tc>
          <w:tcPr>
            <w:tcW w:w="28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140" w:type="dxa"/>
            <w:vAlign w:val="bottom"/>
            <w:vMerge w:val="continue"/>
          </w:tcPr>
          <w:p>
            <w:pPr>
              <w:spacing w:after="0"/>
              <w:rPr>
                <w:sz w:val="14"/>
                <w:szCs w:val="14"/>
                <w:color w:val="auto"/>
              </w:rPr>
            </w:pPr>
          </w:p>
        </w:tc>
        <w:tc>
          <w:tcPr>
            <w:tcW w:w="22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6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1996</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6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Commitments to Extend Credit</w:t>
            </w:r>
          </w:p>
        </w:tc>
        <w:tc>
          <w:tcPr>
            <w:tcW w:w="2800" w:type="dxa"/>
            <w:vAlign w:val="bottom"/>
          </w:tcPr>
          <w:p>
            <w:pPr>
              <w:spacing w:after="0"/>
              <w:rPr>
                <w:sz w:val="22"/>
                <w:szCs w:val="22"/>
                <w:color w:val="auto"/>
              </w:rPr>
            </w:pPr>
          </w:p>
        </w:tc>
        <w:tc>
          <w:tcPr>
            <w:tcW w:w="26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$97,427(a)</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$ 95,555(a)</w:t>
            </w:r>
          </w:p>
        </w:tc>
        <w:tc>
          <w:tcPr>
            <w:tcW w:w="0" w:type="dxa"/>
            <w:vAlign w:val="bottom"/>
          </w:tcPr>
          <w:p>
            <w:pPr>
              <w:spacing w:after="0"/>
              <w:rPr>
                <w:sz w:val="1"/>
                <w:szCs w:val="1"/>
                <w:color w:val="auto"/>
              </w:rPr>
            </w:pPr>
          </w:p>
        </w:tc>
      </w:tr>
      <w:tr>
        <w:trPr>
          <w:trHeight w:val="168"/>
        </w:trPr>
        <w:tc>
          <w:tcPr>
            <w:tcW w:w="61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Standby Letters of Credit and Guarantees (Net of Risk</w:t>
            </w:r>
          </w:p>
        </w:tc>
        <w:tc>
          <w:tcPr>
            <w:tcW w:w="2620" w:type="dxa"/>
            <w:vAlign w:val="bottom"/>
            <w:vMerge w:val="restart"/>
          </w:tcPr>
          <w:p>
            <w:pPr>
              <w:jc w:val="right"/>
              <w:ind w:right="807"/>
              <w:spacing w:after="0"/>
              <w:rPr>
                <w:sz w:val="20"/>
                <w:szCs w:val="20"/>
                <w:color w:val="auto"/>
              </w:rPr>
            </w:pPr>
            <w:r>
              <w:rPr>
                <w:rFonts w:ascii="Courier New" w:cs="Courier New" w:eastAsia="Courier New" w:hAnsi="Courier New"/>
                <w:sz w:val="15"/>
                <w:szCs w:val="15"/>
                <w:color w:val="auto"/>
              </w:rPr>
              <w:t>24,287</w:t>
            </w:r>
          </w:p>
        </w:tc>
        <w:tc>
          <w:tcPr>
            <w:tcW w:w="19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24,745</w:t>
            </w:r>
          </w:p>
        </w:tc>
        <w:tc>
          <w:tcPr>
            <w:tcW w:w="0" w:type="dxa"/>
            <w:vAlign w:val="bottom"/>
          </w:tcPr>
          <w:p>
            <w:pPr>
              <w:spacing w:after="0"/>
              <w:rPr>
                <w:sz w:val="1"/>
                <w:szCs w:val="1"/>
                <w:color w:val="auto"/>
              </w:rPr>
            </w:pPr>
          </w:p>
        </w:tc>
      </w:tr>
      <w:tr>
        <w:trPr>
          <w:trHeight w:val="168"/>
        </w:trPr>
        <w:tc>
          <w:tcPr>
            <w:tcW w:w="614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rPr>
              <w:t>Participations of $4,348 and $4,861)</w:t>
            </w:r>
          </w:p>
        </w:tc>
        <w:tc>
          <w:tcPr>
            <w:tcW w:w="2620" w:type="dxa"/>
            <w:vAlign w:val="bottom"/>
            <w:vMerge w:val="continue"/>
          </w:tcPr>
          <w:p>
            <w:pPr>
              <w:spacing w:after="0"/>
              <w:rPr>
                <w:sz w:val="14"/>
                <w:szCs w:val="14"/>
                <w:color w:val="auto"/>
              </w:rPr>
            </w:pPr>
          </w:p>
        </w:tc>
        <w:tc>
          <w:tcPr>
            <w:tcW w:w="1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 Letters of Credit</w:t>
            </w:r>
          </w:p>
        </w:tc>
        <w:tc>
          <w:tcPr>
            <w:tcW w:w="2800" w:type="dxa"/>
            <w:vAlign w:val="bottom"/>
          </w:tcPr>
          <w:p>
            <w:pPr>
              <w:spacing w:after="0"/>
              <w:rPr>
                <w:sz w:val="14"/>
                <w:szCs w:val="14"/>
                <w:color w:val="auto"/>
              </w:rPr>
            </w:pPr>
          </w:p>
        </w:tc>
        <w:tc>
          <w:tcPr>
            <w:tcW w:w="26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6,000</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5,907</w:t>
            </w:r>
          </w:p>
        </w:tc>
        <w:tc>
          <w:tcPr>
            <w:tcW w:w="0" w:type="dxa"/>
            <w:vAlign w:val="bottom"/>
          </w:tcPr>
          <w:p>
            <w:pPr>
              <w:spacing w:after="0"/>
              <w:rPr>
                <w:sz w:val="1"/>
                <w:szCs w:val="1"/>
                <w:color w:val="auto"/>
              </w:rPr>
            </w:pPr>
          </w:p>
        </w:tc>
      </w:tr>
      <w:tr>
        <w:trPr>
          <w:trHeight w:val="245"/>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Customers' Securities Lent</w:t>
            </w:r>
          </w:p>
        </w:tc>
        <w:tc>
          <w:tcPr>
            <w:tcW w:w="2800" w:type="dxa"/>
            <w:vAlign w:val="bottom"/>
          </w:tcPr>
          <w:p>
            <w:pPr>
              <w:spacing w:after="0"/>
              <w:rPr>
                <w:sz w:val="21"/>
                <w:szCs w:val="21"/>
                <w:color w:val="auto"/>
              </w:rPr>
            </w:pPr>
          </w:p>
        </w:tc>
        <w:tc>
          <w:tcPr>
            <w:tcW w:w="26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35,908</w:t>
            </w:r>
          </w:p>
        </w:tc>
        <w:tc>
          <w:tcPr>
            <w:tcW w:w="1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27,169</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440" w:right="4820" w:hanging="430"/>
        <w:spacing w:after="0" w:line="344" w:lineRule="auto"/>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credit card commitments of $50.1 billion and $47.6 billion at June 30, 1996 and December 31, 1995, respectively.</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 FAIR VALUE OF FINANCIAL INSTRUMENTS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jc w:val="both"/>
        <w:ind w:right="4380"/>
        <w:spacing w:after="0" w:line="254" w:lineRule="auto"/>
        <w:rPr>
          <w:sz w:val="20"/>
          <w:szCs w:val="20"/>
          <w:color w:val="auto"/>
        </w:rPr>
      </w:pPr>
      <w:r>
        <w:rPr>
          <w:rFonts w:ascii="Courier New" w:cs="Courier New" w:eastAsia="Courier New" w:hAnsi="Courier New"/>
          <w:sz w:val="14"/>
          <w:szCs w:val="14"/>
          <w:color w:val="auto"/>
        </w:rPr>
        <w:t>For a discussion of the Corporation's fair value methodologies, see pages 76-77 of the Corporation's 1995 Annual Report. The following table presents the carrying value and estimated fair value at June 30, 1996 and December 31, 1995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300" w:type="dxa"/>
            <w:vAlign w:val="bottom"/>
            <w:gridSpan w:val="5"/>
          </w:tcPr>
          <w:p>
            <w:pPr>
              <w:spacing w:after="0"/>
              <w:rPr>
                <w:sz w:val="20"/>
                <w:szCs w:val="20"/>
                <w:color w:val="auto"/>
              </w:rPr>
            </w:pPr>
            <w:r>
              <w:rPr>
                <w:rFonts w:ascii="Courier New" w:cs="Courier New" w:eastAsia="Courier New" w:hAnsi="Courier New"/>
                <w:sz w:val="15"/>
                <w:szCs w:val="15"/>
                <w:color w:val="auto"/>
                <w:w w:val="98"/>
              </w:rPr>
              <w:t>of the Corporation's financial assets and liabilities valued under SFAS</w:t>
            </w:r>
          </w:p>
        </w:tc>
        <w:tc>
          <w:tcPr>
            <w:tcW w:w="92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4"/>
              </w:rPr>
              <w:t>107.</w:t>
            </w: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0"/>
        </w:trPr>
        <w:tc>
          <w:tcPr>
            <w:tcW w:w="2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June 30, 1996</w:t>
            </w: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5"/>
              </w:rPr>
              <w:t>December 31, 1995</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900" w:type="dxa"/>
            <w:vAlign w:val="bottom"/>
          </w:tcPr>
          <w:p>
            <w:pPr>
              <w:spacing w:after="0"/>
              <w:rPr>
                <w:sz w:val="14"/>
                <w:szCs w:val="14"/>
                <w:color w:val="auto"/>
              </w:rPr>
            </w:pPr>
          </w:p>
        </w:tc>
        <w:tc>
          <w:tcPr>
            <w:tcW w:w="1480" w:type="dxa"/>
            <w:vAlign w:val="bottom"/>
            <w:vMerge w:val="restart"/>
          </w:tcPr>
          <w:p>
            <w:pPr>
              <w:ind w:left="260"/>
              <w:spacing w:after="0"/>
              <w:rPr>
                <w:sz w:val="20"/>
                <w:szCs w:val="20"/>
                <w:color w:val="auto"/>
              </w:rPr>
            </w:pPr>
            <w:r>
              <w:rPr>
                <w:rFonts w:ascii="Courier New" w:cs="Courier New" w:eastAsia="Courier New" w:hAnsi="Courier New"/>
                <w:sz w:val="7"/>
                <w:szCs w:val="7"/>
                <w:color w:val="auto"/>
                <w:w w:val="95"/>
                <w:vertAlign w:val="subscript"/>
              </w:rPr>
              <w:t>Carrying</w:t>
            </w:r>
            <w:r>
              <w:rPr>
                <w:rFonts w:ascii="Courier New" w:cs="Courier New" w:eastAsia="Courier New" w:hAnsi="Courier New"/>
                <w:sz w:val="4"/>
                <w:szCs w:val="4"/>
                <w:color w:val="auto"/>
                <w:w w:val="95"/>
              </w:rPr>
              <w:t>-------------------------------------------</w:t>
            </w:r>
          </w:p>
        </w:tc>
        <w:tc>
          <w:tcPr>
            <w:tcW w:w="1220" w:type="dxa"/>
            <w:vAlign w:val="bottom"/>
            <w:gridSpan w:val="2"/>
            <w:vMerge w:val="restart"/>
          </w:tcPr>
          <w:p>
            <w:pPr>
              <w:ind w:left="100"/>
              <w:spacing w:after="0"/>
              <w:rPr>
                <w:sz w:val="20"/>
                <w:szCs w:val="20"/>
                <w:color w:val="auto"/>
              </w:rPr>
            </w:pPr>
            <w:r>
              <w:rPr>
                <w:rFonts w:ascii="Courier New" w:cs="Courier New" w:eastAsia="Courier New" w:hAnsi="Courier New"/>
                <w:sz w:val="15"/>
                <w:szCs w:val="15"/>
                <w:color w:val="auto"/>
              </w:rPr>
              <w:t>Estimated</w:t>
            </w:r>
          </w:p>
        </w:tc>
        <w:tc>
          <w:tcPr>
            <w:tcW w:w="1620" w:type="dxa"/>
            <w:vAlign w:val="bottom"/>
            <w:gridSpan w:val="2"/>
            <w:vMerge w:val="restart"/>
          </w:tcPr>
          <w:p>
            <w:pPr>
              <w:ind w:left="100"/>
              <w:spacing w:after="0"/>
              <w:rPr>
                <w:sz w:val="20"/>
                <w:szCs w:val="20"/>
                <w:color w:val="auto"/>
              </w:rPr>
            </w:pPr>
            <w:r>
              <w:rPr>
                <w:rFonts w:ascii="Courier New" w:cs="Courier New" w:eastAsia="Courier New" w:hAnsi="Courier New"/>
                <w:sz w:val="15"/>
                <w:szCs w:val="15"/>
                <w:color w:val="auto"/>
              </w:rPr>
              <w:t>Appreciation/</w:t>
            </w:r>
          </w:p>
        </w:tc>
        <w:tc>
          <w:tcPr>
            <w:tcW w:w="416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(in millions)</w:t>
            </w:r>
          </w:p>
        </w:tc>
        <w:tc>
          <w:tcPr>
            <w:tcW w:w="148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44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Carrying</w:t>
            </w:r>
          </w:p>
        </w:tc>
        <w:tc>
          <w:tcPr>
            <w:tcW w:w="13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Estimated</w:t>
            </w:r>
          </w:p>
        </w:tc>
        <w:tc>
          <w:tcPr>
            <w:tcW w:w="14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Appreciation/</w:t>
            </w:r>
          </w:p>
        </w:tc>
        <w:tc>
          <w:tcPr>
            <w:tcW w:w="0" w:type="dxa"/>
            <w:vAlign w:val="bottom"/>
          </w:tcPr>
          <w:p>
            <w:pPr>
              <w:spacing w:after="0"/>
              <w:rPr>
                <w:sz w:val="1"/>
                <w:szCs w:val="1"/>
                <w:color w:val="auto"/>
              </w:rPr>
            </w:pPr>
          </w:p>
        </w:tc>
      </w:tr>
      <w:tr>
        <w:trPr>
          <w:trHeight w:val="245"/>
        </w:trPr>
        <w:tc>
          <w:tcPr>
            <w:tcW w:w="2900" w:type="dxa"/>
            <w:vAlign w:val="bottom"/>
            <w:vMerge w:val="continue"/>
          </w:tcPr>
          <w:p>
            <w:pPr>
              <w:spacing w:after="0"/>
              <w:rPr>
                <w:sz w:val="21"/>
                <w:szCs w:val="21"/>
                <w:color w:val="auto"/>
              </w:rPr>
            </w:pPr>
          </w:p>
        </w:tc>
        <w:tc>
          <w:tcPr>
            <w:tcW w:w="1480" w:type="dxa"/>
            <w:vAlign w:val="bottom"/>
          </w:tcPr>
          <w:p>
            <w:pPr>
              <w:ind w:left="260"/>
              <w:spacing w:after="0"/>
              <w:rPr>
                <w:sz w:val="20"/>
                <w:szCs w:val="20"/>
                <w:color w:val="auto"/>
              </w:rPr>
            </w:pPr>
            <w:r>
              <w:rPr>
                <w:rFonts w:ascii="Courier New" w:cs="Courier New" w:eastAsia="Courier New" w:hAnsi="Courier New"/>
                <w:sz w:val="15"/>
                <w:szCs w:val="15"/>
                <w:color w:val="auto"/>
              </w:rPr>
              <w:t>Value</w:t>
            </w:r>
          </w:p>
        </w:tc>
        <w:tc>
          <w:tcPr>
            <w:tcW w:w="12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Fair Value</w:t>
            </w:r>
          </w:p>
        </w:tc>
        <w:tc>
          <w:tcPr>
            <w:tcW w:w="1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(Depreciation)</w:t>
            </w:r>
          </w:p>
        </w:tc>
        <w:tc>
          <w:tcPr>
            <w:tcW w:w="14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Value</w:t>
            </w:r>
          </w:p>
        </w:tc>
        <w:tc>
          <w:tcPr>
            <w:tcW w:w="13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Fair Value</w:t>
            </w:r>
          </w:p>
        </w:tc>
        <w:tc>
          <w:tcPr>
            <w:tcW w:w="14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(Depreciation)</w:t>
            </w:r>
          </w:p>
        </w:tc>
        <w:tc>
          <w:tcPr>
            <w:tcW w:w="0" w:type="dxa"/>
            <w:vAlign w:val="bottom"/>
          </w:tcPr>
          <w:p>
            <w:pPr>
              <w:spacing w:after="0"/>
              <w:rPr>
                <w:sz w:val="1"/>
                <w:szCs w:val="1"/>
                <w:color w:val="auto"/>
              </w:rPr>
            </w:pPr>
          </w:p>
        </w:tc>
      </w:tr>
      <w:tr>
        <w:trPr>
          <w:trHeight w:val="427"/>
        </w:trPr>
        <w:tc>
          <w:tcPr>
            <w:tcW w:w="2900" w:type="dxa"/>
            <w:vAlign w:val="bottom"/>
          </w:tcPr>
          <w:p>
            <w:pPr>
              <w:spacing w:after="0"/>
              <w:rPr>
                <w:sz w:val="20"/>
                <w:szCs w:val="20"/>
                <w:color w:val="auto"/>
              </w:rPr>
            </w:pPr>
            <w:r>
              <w:rPr>
                <w:rFonts w:ascii="Courier New" w:cs="Courier New" w:eastAsia="Courier New" w:hAnsi="Courier New"/>
                <w:sz w:val="15"/>
                <w:szCs w:val="15"/>
                <w:color w:val="auto"/>
              </w:rPr>
              <w:t>Total Financial Assets</w:t>
            </w:r>
          </w:p>
        </w:tc>
        <w:tc>
          <w:tcPr>
            <w:tcW w:w="1480" w:type="dxa"/>
            <w:vAlign w:val="bottom"/>
          </w:tcPr>
          <w:p>
            <w:pPr>
              <w:ind w:left="260"/>
              <w:spacing w:after="0"/>
              <w:rPr>
                <w:sz w:val="20"/>
                <w:szCs w:val="20"/>
                <w:color w:val="auto"/>
              </w:rPr>
            </w:pPr>
            <w:r>
              <w:rPr>
                <w:rFonts w:ascii="Courier New" w:cs="Courier New" w:eastAsia="Courier New" w:hAnsi="Courier New"/>
                <w:sz w:val="15"/>
                <w:szCs w:val="15"/>
                <w:color w:val="auto"/>
              </w:rPr>
              <w:t>$ 314,778</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319,252</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4,474</w:t>
            </w:r>
          </w:p>
        </w:tc>
        <w:tc>
          <w:tcPr>
            <w:tcW w:w="4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294,627</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299,879</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5,252</w:t>
            </w:r>
          </w:p>
        </w:tc>
        <w:tc>
          <w:tcPr>
            <w:tcW w:w="0" w:type="dxa"/>
            <w:vAlign w:val="bottom"/>
          </w:tcPr>
          <w:p>
            <w:pPr>
              <w:spacing w:after="0"/>
              <w:rPr>
                <w:sz w:val="1"/>
                <w:szCs w:val="1"/>
                <w:color w:val="auto"/>
              </w:rPr>
            </w:pPr>
          </w:p>
        </w:tc>
      </w:tr>
      <w:tr>
        <w:trPr>
          <w:trHeight w:val="168"/>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Total Financial Liabilities</w:t>
            </w:r>
          </w:p>
        </w:tc>
        <w:tc>
          <w:tcPr>
            <w:tcW w:w="1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92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(349)</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(633)</w:t>
            </w:r>
          </w:p>
        </w:tc>
        <w:tc>
          <w:tcPr>
            <w:tcW w:w="0" w:type="dxa"/>
            <w:vAlign w:val="bottom"/>
          </w:tcPr>
          <w:p>
            <w:pPr>
              <w:spacing w:after="0"/>
              <w:rPr>
                <w:sz w:val="1"/>
                <w:szCs w:val="1"/>
                <w:color w:val="auto"/>
              </w:rPr>
            </w:pPr>
          </w:p>
        </w:tc>
      </w:tr>
      <w:tr>
        <w:trPr>
          <w:trHeight w:val="168"/>
        </w:trPr>
        <w:tc>
          <w:tcPr>
            <w:tcW w:w="2900" w:type="dxa"/>
            <w:vAlign w:val="bottom"/>
            <w:vMerge w:val="continue"/>
          </w:tcPr>
          <w:p>
            <w:pPr>
              <w:spacing w:after="0"/>
              <w:rPr>
                <w:sz w:val="14"/>
                <w:szCs w:val="14"/>
                <w:color w:val="auto"/>
              </w:rPr>
            </w:pPr>
          </w:p>
        </w:tc>
        <w:tc>
          <w:tcPr>
            <w:tcW w:w="1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$ 299,227</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299,576</w:t>
            </w:r>
          </w:p>
        </w:tc>
        <w:tc>
          <w:tcPr>
            <w:tcW w:w="7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283,065</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283,698</w:t>
            </w:r>
          </w:p>
        </w:tc>
        <w:tc>
          <w:tcPr>
            <w:tcW w:w="8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Estimated Fair Value in Excess</w:t>
            </w:r>
          </w:p>
        </w:tc>
        <w:tc>
          <w:tcPr>
            <w:tcW w:w="14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2900" w:type="dxa"/>
            <w:vAlign w:val="bottom"/>
            <w:vMerge w:val="continue"/>
          </w:tcPr>
          <w:p>
            <w:pPr>
              <w:spacing w:after="0"/>
              <w:rPr>
                <w:sz w:val="7"/>
                <w:szCs w:val="7"/>
                <w:color w:val="auto"/>
              </w:rPr>
            </w:pPr>
          </w:p>
        </w:tc>
        <w:tc>
          <w:tcPr>
            <w:tcW w:w="1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7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w w:val="93"/>
              </w:rPr>
              <w:t>4,125</w:t>
            </w:r>
          </w:p>
        </w:tc>
        <w:tc>
          <w:tcPr>
            <w:tcW w:w="480" w:type="dxa"/>
            <w:vAlign w:val="bottom"/>
          </w:tcPr>
          <w:p>
            <w:pPr>
              <w:spacing w:after="0"/>
              <w:rPr>
                <w:sz w:val="7"/>
                <w:szCs w:val="7"/>
                <w:color w:val="auto"/>
              </w:rPr>
            </w:pPr>
          </w:p>
        </w:tc>
        <w:tc>
          <w:tcPr>
            <w:tcW w:w="9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60" w:type="dxa"/>
            <w:vAlign w:val="bottom"/>
          </w:tcPr>
          <w:p>
            <w:pPr>
              <w:spacing w:after="0"/>
              <w:rPr>
                <w:sz w:val="7"/>
                <w:szCs w:val="7"/>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3"/>
              </w:rPr>
              <w:t>4,619</w:t>
            </w:r>
          </w:p>
        </w:tc>
        <w:tc>
          <w:tcPr>
            <w:tcW w:w="0" w:type="dxa"/>
            <w:vAlign w:val="bottom"/>
          </w:tcPr>
          <w:p>
            <w:pPr>
              <w:spacing w:after="0"/>
              <w:rPr>
                <w:sz w:val="1"/>
                <w:szCs w:val="1"/>
                <w:color w:val="auto"/>
              </w:rPr>
            </w:pP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of Carrying Value</w:t>
            </w: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9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right="4460"/>
        <w:spacing w:after="0" w:line="258" w:lineRule="auto"/>
        <w:rPr>
          <w:sz w:val="20"/>
          <w:szCs w:val="20"/>
          <w:color w:val="auto"/>
        </w:rPr>
      </w:pPr>
      <w:r>
        <w:rPr>
          <w:rFonts w:ascii="Courier New" w:cs="Courier New" w:eastAsia="Courier New" w:hAnsi="Courier New"/>
          <w:sz w:val="15"/>
          <w:szCs w:val="15"/>
          <w:color w:val="auto"/>
        </w:rPr>
        <w:t>At June 30, 1996, estimated fair value exceeded carrying value by $4,125 million, compared with $4,619 million at December 31, 1995. The decrease is primarily due to the estimated fair value of loans decreasing in relation to their carrying value (i.e., reduction in the estimated fair value in excess of carrying value) from December 31, 1995, as a result of a rising interest rate environment in 1996.</w:t>
      </w:r>
    </w:p>
    <w:p>
      <w:pPr>
        <w:spacing w:after="0" w:line="81" w:lineRule="exact"/>
        <w:rPr>
          <w:sz w:val="20"/>
          <w:szCs w:val="20"/>
          <w:color w:val="auto"/>
        </w:rPr>
      </w:pPr>
    </w:p>
    <w:p>
      <w:pPr>
        <w:jc w:val="both"/>
        <w:ind w:right="4380"/>
        <w:spacing w:after="0" w:line="264" w:lineRule="auto"/>
        <w:rPr>
          <w:sz w:val="20"/>
          <w:szCs w:val="20"/>
          <w:color w:val="auto"/>
        </w:rPr>
      </w:pPr>
      <w:r>
        <w:rPr>
          <w:rFonts w:ascii="Courier New" w:cs="Courier New" w:eastAsia="Courier New" w:hAnsi="Courier New"/>
          <w:sz w:val="15"/>
          <w:szCs w:val="15"/>
          <w:color w:val="auto"/>
        </w:rPr>
        <w:t>Derivative contracts used for ALM activities are included in the above amounts and are valued using market prices or pricing models consistent with methods used by the Corporation in valuing similar instruments used for trading purposes. The following table presents the carrying value and estimated fair value of derivatives contracts used for ALM activities.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June 30, 1996</w:t>
            </w:r>
          </w:p>
        </w:tc>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gridSpan w:val="2"/>
          </w:tcPr>
          <w:p>
            <w:pPr>
              <w:spacing w:after="0"/>
              <w:rPr>
                <w:sz w:val="20"/>
                <w:szCs w:val="20"/>
                <w:color w:val="auto"/>
              </w:rPr>
            </w:pPr>
            <w:r>
              <w:rPr>
                <w:rFonts w:ascii="Courier New" w:cs="Courier New" w:eastAsia="Courier New" w:hAnsi="Courier New"/>
                <w:sz w:val="15"/>
                <w:szCs w:val="15"/>
                <w:color w:val="auto"/>
              </w:rPr>
              <w:t>December 31, 1995</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60" w:type="dxa"/>
            <w:vAlign w:val="bottom"/>
          </w:tcPr>
          <w:p>
            <w:pPr>
              <w:spacing w:after="0"/>
              <w:rPr>
                <w:sz w:val="14"/>
                <w:szCs w:val="14"/>
                <w:color w:val="auto"/>
              </w:rPr>
            </w:pPr>
          </w:p>
        </w:tc>
        <w:tc>
          <w:tcPr>
            <w:tcW w:w="1400" w:type="dxa"/>
            <w:vAlign w:val="bottom"/>
            <w:gridSpan w:val="2"/>
            <w:vMerge w:val="restart"/>
          </w:tcPr>
          <w:p>
            <w:pPr>
              <w:ind w:left="400"/>
              <w:spacing w:after="0"/>
              <w:rPr>
                <w:sz w:val="20"/>
                <w:szCs w:val="20"/>
                <w:color w:val="auto"/>
              </w:rPr>
            </w:pPr>
            <w:r>
              <w:rPr>
                <w:rFonts w:ascii="Courier New" w:cs="Courier New" w:eastAsia="Courier New" w:hAnsi="Courier New"/>
                <w:sz w:val="7"/>
                <w:szCs w:val="7"/>
                <w:color w:val="auto"/>
                <w:w w:val="77"/>
                <w:vertAlign w:val="subscript"/>
              </w:rPr>
              <w:t>Carrying</w:t>
            </w:r>
            <w:r>
              <w:rPr>
                <w:rFonts w:ascii="Courier New" w:cs="Courier New" w:eastAsia="Courier New" w:hAnsi="Courier New"/>
                <w:sz w:val="4"/>
                <w:szCs w:val="4"/>
                <w:color w:val="auto"/>
                <w:w w:val="77"/>
              </w:rPr>
              <w:t>-------------------------------------------</w:t>
            </w:r>
          </w:p>
        </w:tc>
        <w:tc>
          <w:tcPr>
            <w:tcW w:w="1440" w:type="dxa"/>
            <w:vAlign w:val="bottom"/>
            <w:gridSpan w:val="2"/>
            <w:vMerge w:val="restart"/>
          </w:tcPr>
          <w:p>
            <w:pPr>
              <w:ind w:left="320"/>
              <w:spacing w:after="0"/>
              <w:rPr>
                <w:sz w:val="20"/>
                <w:szCs w:val="20"/>
                <w:color w:val="auto"/>
              </w:rPr>
            </w:pPr>
            <w:r>
              <w:rPr>
                <w:rFonts w:ascii="Courier New" w:cs="Courier New" w:eastAsia="Courier New" w:hAnsi="Courier New"/>
                <w:sz w:val="15"/>
                <w:szCs w:val="15"/>
                <w:color w:val="auto"/>
              </w:rPr>
              <w:t>Estimated</w:t>
            </w:r>
          </w:p>
        </w:tc>
        <w:tc>
          <w:tcPr>
            <w:tcW w:w="162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Appreciation/</w:t>
            </w:r>
          </w:p>
        </w:tc>
        <w:tc>
          <w:tcPr>
            <w:tcW w:w="4160" w:type="dxa"/>
            <w:vAlign w:val="bottom"/>
            <w:gridSpan w:val="6"/>
          </w:tcPr>
          <w:p>
            <w:pPr>
              <w:ind w:left="320"/>
              <w:spacing w:after="0" w:line="168" w:lineRule="exact"/>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68"/>
        </w:trPr>
        <w:tc>
          <w:tcPr>
            <w:tcW w:w="2760" w:type="dxa"/>
            <w:vAlign w:val="bottom"/>
            <w:vMerge w:val="restart"/>
          </w:tcPr>
          <w:p>
            <w:pPr>
              <w:spacing w:after="0"/>
              <w:rPr>
                <w:sz w:val="20"/>
                <w:szCs w:val="20"/>
                <w:color w:val="auto"/>
              </w:rPr>
            </w:pPr>
            <w:r>
              <w:rPr>
                <w:rFonts w:ascii="Courier New" w:cs="Courier New" w:eastAsia="Courier New" w:hAnsi="Courier New"/>
                <w:sz w:val="15"/>
                <w:szCs w:val="15"/>
                <w:color w:val="auto"/>
              </w:rPr>
              <w:t>(in millions)</w:t>
            </w:r>
          </w:p>
        </w:tc>
        <w:tc>
          <w:tcPr>
            <w:tcW w:w="140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44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Carrying</w:t>
            </w:r>
          </w:p>
        </w:tc>
        <w:tc>
          <w:tcPr>
            <w:tcW w:w="13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Estimated</w:t>
            </w:r>
          </w:p>
        </w:tc>
        <w:tc>
          <w:tcPr>
            <w:tcW w:w="14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Appreciation/</w:t>
            </w:r>
          </w:p>
        </w:tc>
        <w:tc>
          <w:tcPr>
            <w:tcW w:w="0" w:type="dxa"/>
            <w:vAlign w:val="bottom"/>
          </w:tcPr>
          <w:p>
            <w:pPr>
              <w:spacing w:after="0"/>
              <w:rPr>
                <w:sz w:val="1"/>
                <w:szCs w:val="1"/>
                <w:color w:val="auto"/>
              </w:rPr>
            </w:pPr>
          </w:p>
        </w:tc>
      </w:tr>
      <w:tr>
        <w:trPr>
          <w:trHeight w:val="245"/>
        </w:trPr>
        <w:tc>
          <w:tcPr>
            <w:tcW w:w="2760" w:type="dxa"/>
            <w:vAlign w:val="bottom"/>
            <w:vMerge w:val="continue"/>
          </w:tcPr>
          <w:p>
            <w:pPr>
              <w:spacing w:after="0"/>
              <w:rPr>
                <w:sz w:val="21"/>
                <w:szCs w:val="21"/>
                <w:color w:val="auto"/>
              </w:rPr>
            </w:pPr>
          </w:p>
        </w:tc>
        <w:tc>
          <w:tcPr>
            <w:tcW w:w="920" w:type="dxa"/>
            <w:vAlign w:val="bottom"/>
          </w:tcPr>
          <w:p>
            <w:pPr>
              <w:ind w:left="400"/>
              <w:spacing w:after="0"/>
              <w:rPr>
                <w:sz w:val="20"/>
                <w:szCs w:val="20"/>
                <w:color w:val="auto"/>
              </w:rPr>
            </w:pPr>
            <w:r>
              <w:rPr>
                <w:rFonts w:ascii="Courier New" w:cs="Courier New" w:eastAsia="Courier New" w:hAnsi="Courier New"/>
                <w:sz w:val="15"/>
                <w:szCs w:val="15"/>
                <w:color w:val="auto"/>
              </w:rPr>
              <w:t>Value</w:t>
            </w:r>
          </w:p>
        </w:tc>
        <w:tc>
          <w:tcPr>
            <w:tcW w:w="480" w:type="dxa"/>
            <w:vAlign w:val="bottom"/>
          </w:tcPr>
          <w:p>
            <w:pPr>
              <w:spacing w:after="0"/>
              <w:rPr>
                <w:sz w:val="21"/>
                <w:szCs w:val="21"/>
                <w:color w:val="auto"/>
              </w:rPr>
            </w:pPr>
          </w:p>
        </w:tc>
        <w:tc>
          <w:tcPr>
            <w:tcW w:w="14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Fair Value</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(Depreciation)</w:t>
            </w:r>
          </w:p>
        </w:tc>
        <w:tc>
          <w:tcPr>
            <w:tcW w:w="840" w:type="dxa"/>
            <w:vAlign w:val="bottom"/>
          </w:tcPr>
          <w:p>
            <w:pPr>
              <w:ind w:left="320"/>
              <w:spacing w:after="0"/>
              <w:rPr>
                <w:sz w:val="20"/>
                <w:szCs w:val="20"/>
                <w:color w:val="auto"/>
              </w:rPr>
            </w:pPr>
            <w:r>
              <w:rPr>
                <w:rFonts w:ascii="Courier New" w:cs="Courier New" w:eastAsia="Courier New" w:hAnsi="Courier New"/>
                <w:sz w:val="15"/>
                <w:szCs w:val="15"/>
                <w:color w:val="auto"/>
              </w:rPr>
              <w:t>Value</w:t>
            </w:r>
          </w:p>
        </w:tc>
        <w:tc>
          <w:tcPr>
            <w:tcW w:w="600" w:type="dxa"/>
            <w:vAlign w:val="bottom"/>
          </w:tcPr>
          <w:p>
            <w:pPr>
              <w:spacing w:after="0"/>
              <w:rPr>
                <w:sz w:val="21"/>
                <w:szCs w:val="21"/>
                <w:color w:val="auto"/>
              </w:rPr>
            </w:pPr>
          </w:p>
        </w:tc>
        <w:tc>
          <w:tcPr>
            <w:tcW w:w="13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Fair Value</w:t>
            </w:r>
          </w:p>
        </w:tc>
        <w:tc>
          <w:tcPr>
            <w:tcW w:w="14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(Depreciation)</w:t>
            </w:r>
          </w:p>
        </w:tc>
        <w:tc>
          <w:tcPr>
            <w:tcW w:w="0" w:type="dxa"/>
            <w:vAlign w:val="bottom"/>
          </w:tcPr>
          <w:p>
            <w:pPr>
              <w:spacing w:after="0"/>
              <w:rPr>
                <w:sz w:val="1"/>
                <w:szCs w:val="1"/>
                <w:color w:val="auto"/>
              </w:rPr>
            </w:pPr>
          </w:p>
        </w:tc>
      </w:tr>
      <w:tr>
        <w:trPr>
          <w:trHeight w:val="427"/>
        </w:trPr>
        <w:tc>
          <w:tcPr>
            <w:tcW w:w="2760" w:type="dxa"/>
            <w:vAlign w:val="bottom"/>
          </w:tcPr>
          <w:p>
            <w:pPr>
              <w:spacing w:after="0"/>
              <w:rPr>
                <w:sz w:val="20"/>
                <w:szCs w:val="20"/>
                <w:color w:val="auto"/>
              </w:rPr>
            </w:pPr>
            <w:r>
              <w:rPr>
                <w:rFonts w:ascii="Courier New" w:cs="Courier New" w:eastAsia="Courier New" w:hAnsi="Courier New"/>
                <w:sz w:val="15"/>
                <w:szCs w:val="15"/>
                <w:color w:val="auto"/>
              </w:rPr>
              <w:t>Total Financial Assets</w:t>
            </w:r>
          </w:p>
        </w:tc>
        <w:tc>
          <w:tcPr>
            <w:tcW w:w="9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274</w:t>
            </w:r>
          </w:p>
        </w:tc>
        <w:tc>
          <w:tcPr>
            <w:tcW w:w="6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117</w:t>
            </w:r>
          </w:p>
        </w:tc>
        <w:tc>
          <w:tcPr>
            <w:tcW w:w="16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$(157)(a)</w:t>
            </w:r>
          </w:p>
        </w:tc>
        <w:tc>
          <w:tcPr>
            <w:tcW w:w="8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92</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ind w:left="440"/>
              <w:spacing w:after="0"/>
              <w:rPr>
                <w:sz w:val="20"/>
                <w:szCs w:val="20"/>
                <w:color w:val="auto"/>
              </w:rPr>
            </w:pPr>
            <w:r>
              <w:rPr>
                <w:rFonts w:ascii="Courier New" w:cs="Courier New" w:eastAsia="Courier New" w:hAnsi="Courier New"/>
                <w:sz w:val="15"/>
                <w:szCs w:val="15"/>
                <w:color w:val="auto"/>
              </w:rPr>
              <w:t>(67)</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(159)</w:t>
            </w:r>
          </w:p>
        </w:tc>
        <w:tc>
          <w:tcPr>
            <w:tcW w:w="0" w:type="dxa"/>
            <w:vAlign w:val="bottom"/>
          </w:tcPr>
          <w:p>
            <w:pPr>
              <w:spacing w:after="0"/>
              <w:rPr>
                <w:sz w:val="1"/>
                <w:szCs w:val="1"/>
                <w:color w:val="auto"/>
              </w:rPr>
            </w:pPr>
          </w:p>
        </w:tc>
      </w:tr>
      <w:tr>
        <w:trPr>
          <w:trHeight w:val="245"/>
        </w:trPr>
        <w:tc>
          <w:tcPr>
            <w:tcW w:w="2760" w:type="dxa"/>
            <w:vAlign w:val="bottom"/>
          </w:tcPr>
          <w:p>
            <w:pPr>
              <w:spacing w:after="0"/>
              <w:rPr>
                <w:sz w:val="20"/>
                <w:szCs w:val="20"/>
                <w:color w:val="auto"/>
              </w:rPr>
            </w:pPr>
            <w:r>
              <w:rPr>
                <w:rFonts w:ascii="Courier New" w:cs="Courier New" w:eastAsia="Courier New" w:hAnsi="Courier New"/>
                <w:sz w:val="15"/>
                <w:szCs w:val="15"/>
                <w:color w:val="auto"/>
              </w:rPr>
              <w:t>Total Financial Liabilities</w:t>
            </w:r>
          </w:p>
        </w:tc>
        <w:tc>
          <w:tcPr>
            <w:tcW w:w="9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269</w:t>
            </w:r>
          </w:p>
        </w:tc>
        <w:tc>
          <w:tcPr>
            <w:tcW w:w="6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(75)</w:t>
            </w:r>
          </w:p>
        </w:tc>
        <w:tc>
          <w:tcPr>
            <w:tcW w:w="16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$(344)(a)</w:t>
            </w:r>
          </w:p>
        </w:tc>
        <w:tc>
          <w:tcPr>
            <w:tcW w:w="8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270</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ind w:left="440"/>
              <w:spacing w:after="0"/>
              <w:rPr>
                <w:sz w:val="20"/>
                <w:szCs w:val="20"/>
                <w:color w:val="auto"/>
              </w:rPr>
            </w:pPr>
            <w:r>
              <w:rPr>
                <w:rFonts w:ascii="Courier New" w:cs="Courier New" w:eastAsia="Courier New" w:hAnsi="Courier New"/>
                <w:sz w:val="15"/>
                <w:szCs w:val="15"/>
                <w:color w:val="auto"/>
              </w:rPr>
              <w:t>643</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373</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360" w:right="4460" w:hanging="350"/>
        <w:spacing w:after="0" w:line="273" w:lineRule="auto"/>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Unrealized gains and losses related to financial assets were $517 million and $674 million, respectively, at June 30, 1996. Unrealized gains and losses related to financial liabilities were $267 million and $611 million, respectively, at June 30, 1996.</w:t>
      </w:r>
    </w:p>
    <w:p>
      <w:pPr>
        <w:spacing w:after="0" w:line="200" w:lineRule="exact"/>
        <w:rPr>
          <w:sz w:val="20"/>
          <w:szCs w:val="20"/>
          <w:color w:val="auto"/>
        </w:rPr>
      </w:pPr>
    </w:p>
    <w:p>
      <w:pPr>
        <w:spacing w:after="0" w:line="2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1380"/>
          </w:cols>
          <w:pgMar w:left="220" w:top="596" w:right="299"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Part I</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w:t>
      </w:r>
    </w:p>
    <w:p>
      <w:pPr>
        <w:jc w:val="center"/>
        <w:ind w:right="4440"/>
        <w:spacing w:after="0" w:line="237" w:lineRule="auto"/>
        <w:rPr>
          <w:sz w:val="20"/>
          <w:szCs w:val="20"/>
          <w:color w:val="auto"/>
        </w:rPr>
      </w:pPr>
      <w:r>
        <w:rPr>
          <w:rFonts w:ascii="Courier New" w:cs="Courier New" w:eastAsia="Courier New" w:hAnsi="Courier New"/>
          <w:sz w:val="15"/>
          <w:szCs w:val="15"/>
          <w:color w:val="auto"/>
        </w:rPr>
        <w:t>MANAGEMENT'S DISCUSSION AND ANALYSIS</w:t>
      </w:r>
    </w:p>
    <w:p>
      <w:pPr>
        <w:jc w:val="center"/>
        <w:ind w:right="4440"/>
        <w:spacing w:after="0"/>
        <w:rPr>
          <w:sz w:val="20"/>
          <w:szCs w:val="20"/>
          <w:color w:val="auto"/>
        </w:rPr>
      </w:pPr>
      <w:r>
        <w:rPr>
          <w:rFonts w:ascii="Courier New" w:cs="Courier New" w:eastAsia="Courier New" w:hAnsi="Courier New"/>
          <w:sz w:val="15"/>
          <w:szCs w:val="15"/>
          <w:color w:val="auto"/>
        </w:rPr>
        <w:t>OF FINANCIAL CONDITION AND RESULTS OF OPERATIONS</w:t>
      </w:r>
    </w:p>
    <w:p>
      <w:pPr>
        <w:spacing w:after="0" w:line="140" w:lineRule="exact"/>
        <w:rPr>
          <w:sz w:val="20"/>
          <w:szCs w:val="20"/>
          <w:color w:val="auto"/>
        </w:rPr>
      </w:pPr>
    </w:p>
    <w:p>
      <w:pPr>
        <w:jc w:val="center"/>
        <w:ind w:right="4360"/>
        <w:spacing w:after="0"/>
        <w:rPr>
          <w:sz w:val="20"/>
          <w:szCs w:val="20"/>
          <w:color w:val="auto"/>
        </w:rPr>
      </w:pPr>
      <w:r>
        <w:rPr>
          <w:rFonts w:ascii="Courier New" w:cs="Courier New" w:eastAsia="Courier New" w:hAnsi="Courier New"/>
          <w:sz w:val="15"/>
          <w:szCs w:val="15"/>
          <w:color w:val="auto"/>
        </w:rPr>
        <w:t>THE CHASE MANHATTAN CORPORATION</w:t>
      </w:r>
    </w:p>
    <w:p>
      <w:pPr>
        <w:spacing w:after="0" w:line="23"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FINANCIAL HIGHLIGHTS</w:t>
      </w:r>
    </w:p>
    <w:p>
      <w:pPr>
        <w:jc w:val="center"/>
        <w:ind w:right="4440"/>
        <w:spacing w:after="0"/>
        <w:rPr>
          <w:sz w:val="20"/>
          <w:szCs w:val="20"/>
          <w:color w:val="auto"/>
        </w:rPr>
      </w:pPr>
      <w:r>
        <w:rPr>
          <w:rFonts w:ascii="Courier New" w:cs="Courier New" w:eastAsia="Courier New" w:hAnsi="Courier New"/>
          <w:sz w:val="15"/>
          <w:szCs w:val="15"/>
          <w:color w:val="auto"/>
        </w:rPr>
        <w:t>(in millions, except per share and ratio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spacing w:after="0"/>
              <w:rPr>
                <w:sz w:val="14"/>
                <w:szCs w:val="14"/>
                <w:color w:val="auto"/>
              </w:rPr>
            </w:pPr>
          </w:p>
        </w:tc>
        <w:tc>
          <w:tcPr>
            <w:tcW w:w="232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Six Months Ended</w:t>
            </w:r>
          </w:p>
        </w:tc>
        <w:tc>
          <w:tcPr>
            <w:tcW w:w="0" w:type="dxa"/>
            <w:vAlign w:val="bottom"/>
          </w:tcPr>
          <w:p>
            <w:pPr>
              <w:spacing w:after="0"/>
              <w:rPr>
                <w:sz w:val="1"/>
                <w:szCs w:val="1"/>
                <w:color w:val="auto"/>
              </w:rPr>
            </w:pPr>
          </w:p>
        </w:tc>
      </w:tr>
      <w:tr>
        <w:trPr>
          <w:trHeight w:val="168"/>
        </w:trPr>
        <w:tc>
          <w:tcPr>
            <w:tcW w:w="4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8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2"/>
              </w:rPr>
              <w:t>------</w:t>
            </w:r>
          </w:p>
        </w:tc>
        <w:tc>
          <w:tcPr>
            <w:tcW w:w="2580" w:type="dxa"/>
            <w:vAlign w:val="bottom"/>
            <w:gridSpan w:val="4"/>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Second</w:t>
            </w:r>
          </w:p>
        </w:tc>
        <w:tc>
          <w:tcPr>
            <w:tcW w:w="11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First</w:t>
            </w:r>
          </w:p>
        </w:tc>
        <w:tc>
          <w:tcPr>
            <w:tcW w:w="180" w:type="dxa"/>
            <w:vAlign w:val="bottom"/>
          </w:tcPr>
          <w:p>
            <w:pPr>
              <w:spacing w:after="0"/>
              <w:rPr>
                <w:sz w:val="14"/>
                <w:szCs w:val="14"/>
                <w:color w:val="auto"/>
              </w:rPr>
            </w:pPr>
          </w:p>
        </w:tc>
        <w:tc>
          <w:tcPr>
            <w:tcW w:w="108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w:t>
            </w:r>
          </w:p>
        </w:tc>
        <w:tc>
          <w:tcPr>
            <w:tcW w:w="13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June 30,</w:t>
            </w:r>
          </w:p>
        </w:tc>
        <w:tc>
          <w:tcPr>
            <w:tcW w:w="122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June 30,</w:t>
            </w:r>
          </w:p>
        </w:tc>
        <w:tc>
          <w:tcPr>
            <w:tcW w:w="0" w:type="dxa"/>
            <w:vAlign w:val="bottom"/>
          </w:tcPr>
          <w:p>
            <w:pPr>
              <w:spacing w:after="0"/>
              <w:rPr>
                <w:sz w:val="1"/>
                <w:szCs w:val="1"/>
                <w:color w:val="auto"/>
              </w:rPr>
            </w:pPr>
          </w:p>
        </w:tc>
      </w:tr>
      <w:tr>
        <w:trPr>
          <w:trHeight w:val="168"/>
        </w:trPr>
        <w:tc>
          <w:tcPr>
            <w:tcW w:w="4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Quarter</w:t>
            </w:r>
          </w:p>
        </w:tc>
        <w:tc>
          <w:tcPr>
            <w:tcW w:w="11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Quarter</w:t>
            </w:r>
          </w:p>
        </w:tc>
        <w:tc>
          <w:tcPr>
            <w:tcW w:w="180" w:type="dxa"/>
            <w:vAlign w:val="bottom"/>
          </w:tcPr>
          <w:p>
            <w:pPr>
              <w:spacing w:after="0"/>
              <w:rPr>
                <w:sz w:val="14"/>
                <w:szCs w:val="14"/>
                <w:color w:val="auto"/>
              </w:rPr>
            </w:pPr>
          </w:p>
        </w:tc>
        <w:tc>
          <w:tcPr>
            <w:tcW w:w="108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w:t>
            </w:r>
          </w:p>
        </w:tc>
        <w:tc>
          <w:tcPr>
            <w:tcW w:w="260" w:type="dxa"/>
            <w:vAlign w:val="bottom"/>
          </w:tcPr>
          <w:p>
            <w:pPr>
              <w:spacing w:after="0"/>
              <w:rPr>
                <w:sz w:val="14"/>
                <w:szCs w:val="14"/>
                <w:color w:val="auto"/>
              </w:rPr>
            </w:pPr>
          </w:p>
        </w:tc>
        <w:tc>
          <w:tcPr>
            <w:tcW w:w="11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1996</w:t>
            </w:r>
          </w:p>
        </w:tc>
        <w:tc>
          <w:tcPr>
            <w:tcW w:w="300" w:type="dxa"/>
            <w:vAlign w:val="bottom"/>
          </w:tcPr>
          <w:p>
            <w:pPr>
              <w:spacing w:after="0"/>
              <w:rPr>
                <w:sz w:val="14"/>
                <w:szCs w:val="14"/>
                <w:color w:val="auto"/>
              </w:rPr>
            </w:pP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45"/>
        </w:trPr>
        <w:tc>
          <w:tcPr>
            <w:tcW w:w="4640" w:type="dxa"/>
            <w:vAlign w:val="bottom"/>
            <w:vMerge w:val="restart"/>
          </w:tcPr>
          <w:p>
            <w:pPr>
              <w:spacing w:after="0"/>
              <w:rPr>
                <w:sz w:val="20"/>
                <w:szCs w:val="20"/>
                <w:color w:val="auto"/>
              </w:rPr>
            </w:pPr>
            <w:r>
              <w:rPr>
                <w:rFonts w:ascii="Courier New" w:cs="Courier New" w:eastAsia="Courier New" w:hAnsi="Courier New"/>
                <w:sz w:val="15"/>
                <w:szCs w:val="15"/>
                <w:color w:val="auto"/>
              </w:rPr>
              <w:t>EARNINGS:</w:t>
            </w:r>
          </w:p>
        </w:tc>
        <w:tc>
          <w:tcPr>
            <w:tcW w:w="700" w:type="dxa"/>
            <w:vAlign w:val="bottom"/>
          </w:tcPr>
          <w:p>
            <w:pPr>
              <w:spacing w:after="0"/>
              <w:rPr>
                <w:sz w:val="21"/>
                <w:szCs w:val="21"/>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108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1"/>
              </w:rPr>
              <w:t>-------</w:t>
            </w:r>
          </w:p>
        </w:tc>
        <w:tc>
          <w:tcPr>
            <w:tcW w:w="13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4640" w:type="dxa"/>
            <w:vAlign w:val="bottom"/>
          </w:tcPr>
          <w:p>
            <w:pPr>
              <w:spacing w:after="0"/>
              <w:rPr>
                <w:sz w:val="20"/>
                <w:szCs w:val="20"/>
                <w:color w:val="auto"/>
              </w:rPr>
            </w:pPr>
            <w:r>
              <w:rPr>
                <w:rFonts w:ascii="Courier New" w:cs="Courier New" w:eastAsia="Courier New" w:hAnsi="Courier New"/>
                <w:sz w:val="15"/>
                <w:szCs w:val="15"/>
                <w:color w:val="auto"/>
              </w:rPr>
              <w:t>Income Before Restructuring Charge</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870</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937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738</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1,807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1,388</w:t>
            </w:r>
          </w:p>
        </w:tc>
        <w:tc>
          <w:tcPr>
            <w:tcW w:w="0" w:type="dxa"/>
            <w:vAlign w:val="bottom"/>
          </w:tcPr>
          <w:p>
            <w:pPr>
              <w:spacing w:after="0"/>
              <w:rPr>
                <w:sz w:val="1"/>
                <w:szCs w:val="1"/>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Charge (After-Tax)</w:t>
            </w:r>
          </w:p>
        </w:tc>
        <w:tc>
          <w:tcPr>
            <w:tcW w:w="7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(14)(a)</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(1,026)(a)</w:t>
            </w:r>
          </w:p>
        </w:tc>
        <w:tc>
          <w:tcPr>
            <w:tcW w:w="18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(9)(b)</w:t>
            </w:r>
          </w:p>
        </w:tc>
        <w:tc>
          <w:tcPr>
            <w:tcW w:w="26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(1,040) (a)</w:t>
            </w:r>
          </w:p>
        </w:tc>
        <w:tc>
          <w:tcPr>
            <w:tcW w:w="3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(9)(b)</w:t>
            </w:r>
          </w:p>
        </w:tc>
        <w:tc>
          <w:tcPr>
            <w:tcW w:w="0" w:type="dxa"/>
            <w:vAlign w:val="bottom"/>
          </w:tcPr>
          <w:p>
            <w:pPr>
              <w:spacing w:after="0"/>
              <w:rPr>
                <w:sz w:val="1"/>
                <w:szCs w:val="1"/>
                <w:color w:val="auto"/>
              </w:rPr>
            </w:pPr>
          </w:p>
        </w:tc>
      </w:tr>
      <w:tr>
        <w:trPr>
          <w:trHeight w:val="245"/>
        </w:trPr>
        <w:tc>
          <w:tcPr>
            <w:tcW w:w="464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After Restructuring Charge and</w:t>
            </w:r>
          </w:p>
        </w:tc>
        <w:tc>
          <w:tcPr>
            <w:tcW w:w="18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9"/>
              </w:rPr>
              <w:t>--------</w:t>
            </w:r>
          </w:p>
        </w:tc>
        <w:tc>
          <w:tcPr>
            <w:tcW w:w="12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46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10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856</w:t>
            </w:r>
          </w:p>
        </w:tc>
        <w:tc>
          <w:tcPr>
            <w:tcW w:w="220" w:type="dxa"/>
            <w:vAlign w:val="bottom"/>
          </w:tcPr>
          <w:p>
            <w:pPr>
              <w:spacing w:after="0"/>
              <w:rPr>
                <w:sz w:val="7"/>
                <w:szCs w:val="7"/>
                <w:color w:val="auto"/>
              </w:rPr>
            </w:pPr>
          </w:p>
        </w:tc>
        <w:tc>
          <w:tcPr>
            <w:tcW w:w="9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(89)</w:t>
            </w:r>
          </w:p>
        </w:tc>
        <w:tc>
          <w:tcPr>
            <w:tcW w:w="180" w:type="dxa"/>
            <w:vAlign w:val="bottom"/>
          </w:tcPr>
          <w:p>
            <w:pPr>
              <w:spacing w:after="0"/>
              <w:rPr>
                <w:sz w:val="7"/>
                <w:szCs w:val="7"/>
                <w:color w:val="auto"/>
              </w:rPr>
            </w:pPr>
          </w:p>
        </w:tc>
        <w:tc>
          <w:tcPr>
            <w:tcW w:w="10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729</w:t>
            </w:r>
          </w:p>
        </w:tc>
        <w:tc>
          <w:tcPr>
            <w:tcW w:w="260" w:type="dxa"/>
            <w:vAlign w:val="bottom"/>
          </w:tcPr>
          <w:p>
            <w:pPr>
              <w:spacing w:after="0"/>
              <w:rPr>
                <w:sz w:val="7"/>
                <w:szCs w:val="7"/>
                <w:color w:val="auto"/>
              </w:rPr>
            </w:pPr>
          </w:p>
        </w:tc>
        <w:tc>
          <w:tcPr>
            <w:tcW w:w="110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767</w:t>
            </w:r>
          </w:p>
        </w:tc>
        <w:tc>
          <w:tcPr>
            <w:tcW w:w="300" w:type="dxa"/>
            <w:vAlign w:val="bottom"/>
          </w:tcPr>
          <w:p>
            <w:pPr>
              <w:spacing w:after="0"/>
              <w:rPr>
                <w:sz w:val="7"/>
                <w:szCs w:val="7"/>
                <w:color w:val="auto"/>
              </w:rPr>
            </w:pPr>
          </w:p>
        </w:tc>
        <w:tc>
          <w:tcPr>
            <w:tcW w:w="9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1,379</w:t>
            </w: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Before Effect of Accounting Change</w:t>
            </w:r>
          </w:p>
        </w:tc>
        <w:tc>
          <w:tcPr>
            <w:tcW w:w="7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Change in Accounting Principle</w:t>
            </w:r>
          </w:p>
        </w:tc>
        <w:tc>
          <w:tcPr>
            <w:tcW w:w="70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(11)(c)</w:t>
            </w:r>
          </w:p>
        </w:tc>
        <w:tc>
          <w:tcPr>
            <w:tcW w:w="0" w:type="dxa"/>
            <w:vAlign w:val="bottom"/>
          </w:tcPr>
          <w:p>
            <w:pPr>
              <w:spacing w:after="0"/>
              <w:rPr>
                <w:sz w:val="1"/>
                <w:szCs w:val="1"/>
                <w:color w:val="auto"/>
              </w:rPr>
            </w:pPr>
          </w:p>
        </w:tc>
      </w:tr>
      <w:tr>
        <w:trPr>
          <w:trHeight w:val="168"/>
        </w:trPr>
        <w:tc>
          <w:tcPr>
            <w:tcW w:w="464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w:t>
            </w:r>
          </w:p>
        </w:tc>
        <w:tc>
          <w:tcPr>
            <w:tcW w:w="18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640" w:type="dxa"/>
            <w:vAlign w:val="bottom"/>
            <w:vMerge w:val="continue"/>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856</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729</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767</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1,368</w:t>
            </w:r>
          </w:p>
        </w:tc>
        <w:tc>
          <w:tcPr>
            <w:tcW w:w="0" w:type="dxa"/>
            <w:vAlign w:val="bottom"/>
          </w:tcPr>
          <w:p>
            <w:pPr>
              <w:spacing w:after="0"/>
              <w:rPr>
                <w:sz w:val="1"/>
                <w:szCs w:val="1"/>
                <w:color w:val="auto"/>
              </w:rPr>
            </w:pPr>
          </w:p>
        </w:tc>
      </w:tr>
      <w:tr>
        <w:trPr>
          <w:trHeight w:val="168"/>
        </w:trPr>
        <w:tc>
          <w:tcPr>
            <w:tcW w:w="464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 Applicable to Common Stock</w:t>
            </w:r>
          </w:p>
        </w:tc>
        <w:tc>
          <w:tcPr>
            <w:tcW w:w="18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640" w:type="dxa"/>
            <w:vAlign w:val="bottom"/>
            <w:vMerge w:val="continue"/>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801</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673</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658</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1,251</w:t>
            </w:r>
          </w:p>
        </w:tc>
        <w:tc>
          <w:tcPr>
            <w:tcW w:w="0" w:type="dxa"/>
            <w:vAlign w:val="bottom"/>
          </w:tcPr>
          <w:p>
            <w:pPr>
              <w:spacing w:after="0"/>
              <w:rPr>
                <w:sz w:val="1"/>
                <w:szCs w:val="1"/>
                <w:color w:val="auto"/>
              </w:rPr>
            </w:pPr>
          </w:p>
        </w:tc>
      </w:tr>
      <w:tr>
        <w:trPr>
          <w:trHeight w:val="245"/>
        </w:trPr>
        <w:tc>
          <w:tcPr>
            <w:tcW w:w="4640" w:type="dxa"/>
            <w:vAlign w:val="bottom"/>
          </w:tcPr>
          <w:p>
            <w:pPr>
              <w:spacing w:after="0"/>
              <w:rPr>
                <w:sz w:val="21"/>
                <w:szCs w:val="21"/>
                <w:color w:val="auto"/>
              </w:rPr>
            </w:pPr>
          </w:p>
        </w:tc>
        <w:tc>
          <w:tcPr>
            <w:tcW w:w="18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9"/>
              </w:rPr>
              <w:t>========</w:t>
            </w:r>
          </w:p>
        </w:tc>
        <w:tc>
          <w:tcPr>
            <w:tcW w:w="12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640" w:type="dxa"/>
            <w:vAlign w:val="bottom"/>
          </w:tcPr>
          <w:p>
            <w:pPr>
              <w:spacing w:after="0"/>
              <w:rPr>
                <w:sz w:val="20"/>
                <w:szCs w:val="20"/>
                <w:color w:val="auto"/>
              </w:rPr>
            </w:pPr>
            <w:r>
              <w:rPr>
                <w:rFonts w:ascii="Courier New" w:cs="Courier New" w:eastAsia="Courier New" w:hAnsi="Courier New"/>
                <w:sz w:val="15"/>
                <w:szCs w:val="15"/>
                <w:color w:val="auto"/>
              </w:rPr>
              <w:t>INCOME (LOSS) PER COMMON SHARE:</w:t>
            </w:r>
          </w:p>
        </w:tc>
        <w:tc>
          <w:tcPr>
            <w:tcW w:w="7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Primary:</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1.83</w:t>
            </w:r>
          </w:p>
        </w:tc>
        <w:tc>
          <w:tcPr>
            <w:tcW w:w="2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1.98</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1.56</w:t>
            </w:r>
          </w:p>
        </w:tc>
        <w:tc>
          <w:tcPr>
            <w:tcW w:w="26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3.81</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2.93</w:t>
            </w: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Before Restructuring Charge</w:t>
            </w:r>
          </w:p>
        </w:tc>
        <w:tc>
          <w:tcPr>
            <w:tcW w:w="7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Restructuring Charge (After-Tax)</w:t>
            </w:r>
          </w:p>
        </w:tc>
        <w:tc>
          <w:tcPr>
            <w:tcW w:w="7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(0.03)(a)</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(2.30)(a)</w:t>
            </w:r>
          </w:p>
        </w:tc>
        <w:tc>
          <w:tcPr>
            <w:tcW w:w="18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(0.02)(b)</w:t>
            </w:r>
          </w:p>
        </w:tc>
        <w:tc>
          <w:tcPr>
            <w:tcW w:w="26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(2.33) (a)</w:t>
            </w:r>
          </w:p>
        </w:tc>
        <w:tc>
          <w:tcPr>
            <w:tcW w:w="3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(0.02)(b)</w:t>
            </w:r>
          </w:p>
        </w:tc>
        <w:tc>
          <w:tcPr>
            <w:tcW w:w="0" w:type="dxa"/>
            <w:vAlign w:val="bottom"/>
          </w:tcPr>
          <w:p>
            <w:pPr>
              <w:spacing w:after="0"/>
              <w:rPr>
                <w:sz w:val="1"/>
                <w:szCs w:val="1"/>
                <w:color w:val="auto"/>
              </w:rPr>
            </w:pPr>
          </w:p>
        </w:tc>
      </w:tr>
      <w:tr>
        <w:trPr>
          <w:trHeight w:val="245"/>
        </w:trPr>
        <w:tc>
          <w:tcPr>
            <w:tcW w:w="46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Income (Loss) After Restructuring Charge and</w:t>
            </w:r>
          </w:p>
        </w:tc>
        <w:tc>
          <w:tcPr>
            <w:tcW w:w="18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46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1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1.80</w:t>
            </w:r>
          </w:p>
        </w:tc>
        <w:tc>
          <w:tcPr>
            <w:tcW w:w="220" w:type="dxa"/>
            <w:vAlign w:val="bottom"/>
          </w:tcPr>
          <w:p>
            <w:pPr>
              <w:spacing w:after="0"/>
              <w:rPr>
                <w:sz w:val="7"/>
                <w:szCs w:val="7"/>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(0.32)</w:t>
            </w:r>
          </w:p>
        </w:tc>
        <w:tc>
          <w:tcPr>
            <w:tcW w:w="180" w:type="dxa"/>
            <w:vAlign w:val="bottom"/>
          </w:tcPr>
          <w:p>
            <w:pPr>
              <w:spacing w:after="0"/>
              <w:rPr>
                <w:sz w:val="7"/>
                <w:szCs w:val="7"/>
                <w:color w:val="auto"/>
              </w:rPr>
            </w:pPr>
          </w:p>
        </w:tc>
        <w:tc>
          <w:tcPr>
            <w:tcW w:w="10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1.54</w:t>
            </w:r>
          </w:p>
        </w:tc>
        <w:tc>
          <w:tcPr>
            <w:tcW w:w="260" w:type="dxa"/>
            <w:vAlign w:val="bottom"/>
          </w:tcPr>
          <w:p>
            <w:pPr>
              <w:spacing w:after="0"/>
              <w:rPr>
                <w:sz w:val="7"/>
                <w:szCs w:val="7"/>
                <w:color w:val="auto"/>
              </w:rPr>
            </w:pPr>
          </w:p>
        </w:tc>
        <w:tc>
          <w:tcPr>
            <w:tcW w:w="110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1.48</w:t>
            </w:r>
          </w:p>
        </w:tc>
        <w:tc>
          <w:tcPr>
            <w:tcW w:w="300" w:type="dxa"/>
            <w:vAlign w:val="bottom"/>
          </w:tcPr>
          <w:p>
            <w:pPr>
              <w:spacing w:after="0"/>
              <w:rPr>
                <w:sz w:val="7"/>
                <w:szCs w:val="7"/>
                <w:color w:val="auto"/>
              </w:rPr>
            </w:pPr>
          </w:p>
        </w:tc>
        <w:tc>
          <w:tcPr>
            <w:tcW w:w="9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2.91</w:t>
            </w:r>
          </w:p>
        </w:tc>
        <w:tc>
          <w:tcPr>
            <w:tcW w:w="0" w:type="dxa"/>
            <w:vAlign w:val="bottom"/>
          </w:tcPr>
          <w:p>
            <w:pPr>
              <w:spacing w:after="0"/>
              <w:rPr>
                <w:sz w:val="1"/>
                <w:szCs w:val="1"/>
                <w:color w:val="auto"/>
              </w:rPr>
            </w:pPr>
          </w:p>
        </w:tc>
      </w:tr>
      <w:tr>
        <w:trPr>
          <w:trHeight w:val="168"/>
        </w:trPr>
        <w:tc>
          <w:tcPr>
            <w:tcW w:w="4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Before Effect of Accounting Change</w:t>
            </w:r>
          </w:p>
        </w:tc>
        <w:tc>
          <w:tcPr>
            <w:tcW w:w="7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Effect of Change in Accounting Principle</w:t>
            </w:r>
          </w:p>
        </w:tc>
        <w:tc>
          <w:tcPr>
            <w:tcW w:w="70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(0.02)(c)</w:t>
            </w:r>
          </w:p>
        </w:tc>
        <w:tc>
          <w:tcPr>
            <w:tcW w:w="0" w:type="dxa"/>
            <w:vAlign w:val="bottom"/>
          </w:tcPr>
          <w:p>
            <w:pPr>
              <w:spacing w:after="0"/>
              <w:rPr>
                <w:sz w:val="1"/>
                <w:szCs w:val="1"/>
                <w:color w:val="auto"/>
              </w:rPr>
            </w:pPr>
          </w:p>
        </w:tc>
      </w:tr>
      <w:tr>
        <w:trPr>
          <w:trHeight w:val="168"/>
        </w:trPr>
        <w:tc>
          <w:tcPr>
            <w:tcW w:w="46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Net Income (Loss)</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w:t>
            </w:r>
          </w:p>
        </w:tc>
        <w:tc>
          <w:tcPr>
            <w:tcW w:w="11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1"/>
              </w:rPr>
              <w:t>-------</w:t>
            </w:r>
          </w:p>
        </w:tc>
        <w:tc>
          <w:tcPr>
            <w:tcW w:w="13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6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1.80</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(0.32)</w:t>
            </w:r>
          </w:p>
        </w:tc>
        <w:tc>
          <w:tcPr>
            <w:tcW w:w="180" w:type="dxa"/>
            <w:vAlign w:val="bottom"/>
            <w:vMerge w:val="continue"/>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1.54</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1.48</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2.89</w:t>
            </w:r>
          </w:p>
        </w:tc>
        <w:tc>
          <w:tcPr>
            <w:tcW w:w="0" w:type="dxa"/>
            <w:vAlign w:val="bottom"/>
          </w:tcPr>
          <w:p>
            <w:pPr>
              <w:spacing w:after="0"/>
              <w:rPr>
                <w:sz w:val="1"/>
                <w:szCs w:val="1"/>
                <w:color w:val="auto"/>
              </w:rPr>
            </w:pPr>
          </w:p>
        </w:tc>
      </w:tr>
      <w:tr>
        <w:trPr>
          <w:trHeight w:val="245"/>
        </w:trPr>
        <w:tc>
          <w:tcPr>
            <w:tcW w:w="4640" w:type="dxa"/>
            <w:vAlign w:val="bottom"/>
            <w:vMerge w:val="restart"/>
          </w:tcPr>
          <w:p>
            <w:pPr>
              <w:spacing w:after="0"/>
              <w:rPr>
                <w:sz w:val="20"/>
                <w:szCs w:val="20"/>
                <w:color w:val="auto"/>
              </w:rPr>
            </w:pPr>
            <w:r>
              <w:rPr>
                <w:rFonts w:ascii="Courier New" w:cs="Courier New" w:eastAsia="Courier New" w:hAnsi="Courier New"/>
                <w:sz w:val="15"/>
                <w:szCs w:val="15"/>
                <w:color w:val="auto"/>
              </w:rPr>
              <w:t>Assuming Full Dilution:</w:t>
            </w:r>
          </w:p>
        </w:tc>
        <w:tc>
          <w:tcPr>
            <w:tcW w:w="18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4640" w:type="dxa"/>
            <w:vAlign w:val="bottom"/>
            <w:vMerge w:val="continue"/>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1.82</w:t>
            </w:r>
          </w:p>
        </w:tc>
        <w:tc>
          <w:tcPr>
            <w:tcW w:w="2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1.97</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1.54</w:t>
            </w:r>
          </w:p>
        </w:tc>
        <w:tc>
          <w:tcPr>
            <w:tcW w:w="26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3.77</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2.87</w:t>
            </w: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Before Restructuring Charge</w:t>
            </w:r>
          </w:p>
        </w:tc>
        <w:tc>
          <w:tcPr>
            <w:tcW w:w="7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Restructuring Charge (After-Tax)</w:t>
            </w:r>
          </w:p>
        </w:tc>
        <w:tc>
          <w:tcPr>
            <w:tcW w:w="7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(0.03)(a)</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(2.29)(a)</w:t>
            </w:r>
          </w:p>
        </w:tc>
        <w:tc>
          <w:tcPr>
            <w:tcW w:w="18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(0.02)(b)</w:t>
            </w:r>
          </w:p>
        </w:tc>
        <w:tc>
          <w:tcPr>
            <w:tcW w:w="2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(2.31)(a)</w:t>
            </w:r>
          </w:p>
        </w:tc>
        <w:tc>
          <w:tcPr>
            <w:tcW w:w="3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(0.02)(b)</w:t>
            </w:r>
          </w:p>
        </w:tc>
        <w:tc>
          <w:tcPr>
            <w:tcW w:w="0" w:type="dxa"/>
            <w:vAlign w:val="bottom"/>
          </w:tcPr>
          <w:p>
            <w:pPr>
              <w:spacing w:after="0"/>
              <w:rPr>
                <w:sz w:val="1"/>
                <w:szCs w:val="1"/>
                <w:color w:val="auto"/>
              </w:rPr>
            </w:pPr>
          </w:p>
        </w:tc>
      </w:tr>
      <w:tr>
        <w:trPr>
          <w:trHeight w:val="245"/>
        </w:trPr>
        <w:tc>
          <w:tcPr>
            <w:tcW w:w="46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Income (Loss) After Restructuring Charge and</w:t>
            </w:r>
          </w:p>
        </w:tc>
        <w:tc>
          <w:tcPr>
            <w:tcW w:w="18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46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1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1.79</w:t>
            </w:r>
          </w:p>
        </w:tc>
        <w:tc>
          <w:tcPr>
            <w:tcW w:w="220" w:type="dxa"/>
            <w:vAlign w:val="bottom"/>
          </w:tcPr>
          <w:p>
            <w:pPr>
              <w:spacing w:after="0"/>
              <w:rPr>
                <w:sz w:val="7"/>
                <w:szCs w:val="7"/>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(0.32)</w:t>
            </w:r>
          </w:p>
        </w:tc>
        <w:tc>
          <w:tcPr>
            <w:tcW w:w="180" w:type="dxa"/>
            <w:vAlign w:val="bottom"/>
          </w:tcPr>
          <w:p>
            <w:pPr>
              <w:spacing w:after="0"/>
              <w:rPr>
                <w:sz w:val="7"/>
                <w:szCs w:val="7"/>
                <w:color w:val="auto"/>
              </w:rPr>
            </w:pPr>
          </w:p>
        </w:tc>
        <w:tc>
          <w:tcPr>
            <w:tcW w:w="10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1.52</w:t>
            </w:r>
          </w:p>
        </w:tc>
        <w:tc>
          <w:tcPr>
            <w:tcW w:w="260" w:type="dxa"/>
            <w:vAlign w:val="bottom"/>
          </w:tcPr>
          <w:p>
            <w:pPr>
              <w:spacing w:after="0"/>
              <w:rPr>
                <w:sz w:val="7"/>
                <w:szCs w:val="7"/>
                <w:color w:val="auto"/>
              </w:rPr>
            </w:pPr>
          </w:p>
        </w:tc>
        <w:tc>
          <w:tcPr>
            <w:tcW w:w="110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1.46</w:t>
            </w:r>
          </w:p>
        </w:tc>
        <w:tc>
          <w:tcPr>
            <w:tcW w:w="300" w:type="dxa"/>
            <w:vAlign w:val="bottom"/>
          </w:tcPr>
          <w:p>
            <w:pPr>
              <w:spacing w:after="0"/>
              <w:rPr>
                <w:sz w:val="7"/>
                <w:szCs w:val="7"/>
                <w:color w:val="auto"/>
              </w:rPr>
            </w:pPr>
          </w:p>
        </w:tc>
        <w:tc>
          <w:tcPr>
            <w:tcW w:w="9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2.85</w:t>
            </w:r>
          </w:p>
        </w:tc>
        <w:tc>
          <w:tcPr>
            <w:tcW w:w="0" w:type="dxa"/>
            <w:vAlign w:val="bottom"/>
          </w:tcPr>
          <w:p>
            <w:pPr>
              <w:spacing w:after="0"/>
              <w:rPr>
                <w:sz w:val="1"/>
                <w:szCs w:val="1"/>
                <w:color w:val="auto"/>
              </w:rPr>
            </w:pPr>
          </w:p>
        </w:tc>
      </w:tr>
      <w:tr>
        <w:trPr>
          <w:trHeight w:val="168"/>
        </w:trPr>
        <w:tc>
          <w:tcPr>
            <w:tcW w:w="4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Before Effect of Accounting Change</w:t>
            </w:r>
          </w:p>
        </w:tc>
        <w:tc>
          <w:tcPr>
            <w:tcW w:w="7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Effect of Change in Accounting Principle</w:t>
            </w:r>
          </w:p>
        </w:tc>
        <w:tc>
          <w:tcPr>
            <w:tcW w:w="70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(0.02)(c)</w:t>
            </w:r>
          </w:p>
        </w:tc>
        <w:tc>
          <w:tcPr>
            <w:tcW w:w="0" w:type="dxa"/>
            <w:vAlign w:val="bottom"/>
          </w:tcPr>
          <w:p>
            <w:pPr>
              <w:spacing w:after="0"/>
              <w:rPr>
                <w:sz w:val="1"/>
                <w:szCs w:val="1"/>
                <w:color w:val="auto"/>
              </w:rPr>
            </w:pPr>
          </w:p>
        </w:tc>
      </w:tr>
      <w:tr>
        <w:trPr>
          <w:trHeight w:val="168"/>
        </w:trPr>
        <w:tc>
          <w:tcPr>
            <w:tcW w:w="464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Net Income (Loss)</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w:t>
            </w:r>
          </w:p>
        </w:tc>
        <w:tc>
          <w:tcPr>
            <w:tcW w:w="11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6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1.79</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(0.32)</w:t>
            </w:r>
          </w:p>
        </w:tc>
        <w:tc>
          <w:tcPr>
            <w:tcW w:w="180" w:type="dxa"/>
            <w:vAlign w:val="bottom"/>
          </w:tcPr>
          <w:p>
            <w:pPr>
              <w:jc w:val="right"/>
              <w:ind w:right="27"/>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1.52</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1.46</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2.83</w:t>
            </w:r>
          </w:p>
        </w:tc>
        <w:tc>
          <w:tcPr>
            <w:tcW w:w="0" w:type="dxa"/>
            <w:vAlign w:val="bottom"/>
          </w:tcPr>
          <w:p>
            <w:pPr>
              <w:spacing w:after="0"/>
              <w:rPr>
                <w:sz w:val="1"/>
                <w:szCs w:val="1"/>
                <w:color w:val="auto"/>
              </w:rPr>
            </w:pPr>
          </w:p>
        </w:tc>
      </w:tr>
      <w:tr>
        <w:trPr>
          <w:trHeight w:val="245"/>
        </w:trPr>
        <w:tc>
          <w:tcPr>
            <w:tcW w:w="4640" w:type="dxa"/>
            <w:vAlign w:val="bottom"/>
            <w:vMerge w:val="restart"/>
          </w:tcPr>
          <w:p>
            <w:pPr>
              <w:spacing w:after="0"/>
              <w:rPr>
                <w:sz w:val="20"/>
                <w:szCs w:val="20"/>
                <w:color w:val="auto"/>
              </w:rPr>
            </w:pPr>
            <w:r>
              <w:rPr>
                <w:rFonts w:ascii="Courier New" w:cs="Courier New" w:eastAsia="Courier New" w:hAnsi="Courier New"/>
                <w:sz w:val="15"/>
                <w:szCs w:val="15"/>
                <w:color w:val="auto"/>
              </w:rPr>
              <w:t>PER COMMON SHARE:</w:t>
            </w:r>
          </w:p>
        </w:tc>
        <w:tc>
          <w:tcPr>
            <w:tcW w:w="18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w w:val="93"/>
              </w:rPr>
              <w:t>=========</w:t>
            </w:r>
          </w:p>
        </w:tc>
        <w:tc>
          <w:tcPr>
            <w:tcW w:w="13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4640" w:type="dxa"/>
            <w:vAlign w:val="bottom"/>
            <w:vMerge w:val="continue"/>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40.47</w:t>
            </w:r>
          </w:p>
        </w:tc>
        <w:tc>
          <w:tcPr>
            <w:tcW w:w="2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39.41</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39.66</w:t>
            </w:r>
          </w:p>
        </w:tc>
        <w:tc>
          <w:tcPr>
            <w:tcW w:w="26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40.47</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39.66</w:t>
            </w:r>
          </w:p>
        </w:tc>
        <w:tc>
          <w:tcPr>
            <w:tcW w:w="0" w:type="dxa"/>
            <w:vAlign w:val="bottom"/>
          </w:tcPr>
          <w:p>
            <w:pPr>
              <w:spacing w:after="0"/>
              <w:rPr>
                <w:sz w:val="1"/>
                <w:szCs w:val="1"/>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Book Value</w:t>
            </w:r>
          </w:p>
        </w:tc>
        <w:tc>
          <w:tcPr>
            <w:tcW w:w="7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 Value</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70.63</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70.50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47.25</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70.63</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47.25</w:t>
            </w:r>
          </w:p>
        </w:tc>
        <w:tc>
          <w:tcPr>
            <w:tcW w:w="0" w:type="dxa"/>
            <w:vAlign w:val="bottom"/>
          </w:tcPr>
          <w:p>
            <w:pPr>
              <w:spacing w:after="0"/>
              <w:rPr>
                <w:sz w:val="1"/>
                <w:szCs w:val="1"/>
                <w:color w:val="auto"/>
              </w:rPr>
            </w:pPr>
          </w:p>
        </w:tc>
      </w:tr>
      <w:tr>
        <w:trPr>
          <w:trHeight w:val="245"/>
        </w:trPr>
        <w:tc>
          <w:tcPr>
            <w:tcW w:w="4640" w:type="dxa"/>
            <w:vAlign w:val="bottom"/>
          </w:tcPr>
          <w:p>
            <w:pPr>
              <w:spacing w:after="0"/>
              <w:rPr>
                <w:sz w:val="20"/>
                <w:szCs w:val="20"/>
                <w:color w:val="auto"/>
              </w:rPr>
            </w:pPr>
            <w:r>
              <w:rPr>
                <w:rFonts w:ascii="Courier New" w:cs="Courier New" w:eastAsia="Courier New" w:hAnsi="Courier New"/>
                <w:sz w:val="15"/>
                <w:szCs w:val="15"/>
                <w:color w:val="auto"/>
              </w:rPr>
              <w:t>Common Stock Dividends Declared (d)</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0.56</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0.56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0.50</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0.94</w:t>
            </w:r>
          </w:p>
        </w:tc>
        <w:tc>
          <w:tcPr>
            <w:tcW w:w="0" w:type="dxa"/>
            <w:vAlign w:val="bottom"/>
          </w:tcPr>
          <w:p>
            <w:pPr>
              <w:spacing w:after="0"/>
              <w:rPr>
                <w:sz w:val="1"/>
                <w:szCs w:val="1"/>
                <w:color w:val="auto"/>
              </w:rPr>
            </w:pPr>
          </w:p>
        </w:tc>
      </w:tr>
      <w:tr>
        <w:trPr>
          <w:trHeight w:val="259"/>
        </w:trPr>
        <w:tc>
          <w:tcPr>
            <w:tcW w:w="4640" w:type="dxa"/>
            <w:vAlign w:val="bottom"/>
          </w:tcPr>
          <w:p>
            <w:pPr>
              <w:spacing w:after="0"/>
              <w:rPr>
                <w:sz w:val="20"/>
                <w:szCs w:val="20"/>
                <w:color w:val="auto"/>
              </w:rPr>
            </w:pPr>
            <w:r>
              <w:rPr>
                <w:rFonts w:ascii="Courier New" w:cs="Courier New" w:eastAsia="Courier New" w:hAnsi="Courier New"/>
                <w:sz w:val="15"/>
                <w:szCs w:val="15"/>
                <w:color w:val="auto"/>
              </w:rPr>
              <w:t>COMMON SHARES OUTSTANDING:</w:t>
            </w:r>
          </w:p>
        </w:tc>
        <w:tc>
          <w:tcPr>
            <w:tcW w:w="700" w:type="dxa"/>
            <w:vAlign w:val="bottom"/>
          </w:tcPr>
          <w:p>
            <w:pPr>
              <w:spacing w:after="0"/>
              <w:rPr>
                <w:sz w:val="22"/>
                <w:szCs w:val="22"/>
                <w:color w:val="auto"/>
              </w:rPr>
            </w:pPr>
          </w:p>
        </w:tc>
        <w:tc>
          <w:tcPr>
            <w:tcW w:w="11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444.8</w:t>
            </w:r>
          </w:p>
        </w:tc>
        <w:tc>
          <w:tcPr>
            <w:tcW w:w="220" w:type="dxa"/>
            <w:vAlign w:val="bottom"/>
          </w:tcPr>
          <w:p>
            <w:pPr>
              <w:spacing w:after="0"/>
              <w:rPr>
                <w:sz w:val="22"/>
                <w:szCs w:val="22"/>
                <w:color w:val="auto"/>
              </w:rPr>
            </w:pPr>
          </w:p>
        </w:tc>
        <w:tc>
          <w:tcPr>
            <w:tcW w:w="9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446.1</w:t>
            </w:r>
          </w:p>
        </w:tc>
        <w:tc>
          <w:tcPr>
            <w:tcW w:w="180" w:type="dxa"/>
            <w:vAlign w:val="bottom"/>
          </w:tcPr>
          <w:p>
            <w:pPr>
              <w:spacing w:after="0"/>
              <w:rPr>
                <w:sz w:val="22"/>
                <w:szCs w:val="22"/>
                <w:color w:val="auto"/>
              </w:rPr>
            </w:pPr>
          </w:p>
        </w:tc>
        <w:tc>
          <w:tcPr>
            <w:tcW w:w="10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436.2</w:t>
            </w:r>
          </w:p>
        </w:tc>
        <w:tc>
          <w:tcPr>
            <w:tcW w:w="260" w:type="dxa"/>
            <w:vAlign w:val="bottom"/>
          </w:tcPr>
          <w:p>
            <w:pPr>
              <w:spacing w:after="0"/>
              <w:rPr>
                <w:sz w:val="22"/>
                <w:szCs w:val="22"/>
                <w:color w:val="auto"/>
              </w:rPr>
            </w:pPr>
          </w:p>
        </w:tc>
        <w:tc>
          <w:tcPr>
            <w:tcW w:w="110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445.4</w:t>
            </w:r>
          </w:p>
        </w:tc>
        <w:tc>
          <w:tcPr>
            <w:tcW w:w="300" w:type="dxa"/>
            <w:vAlign w:val="bottom"/>
          </w:tcPr>
          <w:p>
            <w:pPr>
              <w:spacing w:after="0"/>
              <w:rPr>
                <w:sz w:val="22"/>
                <w:szCs w:val="22"/>
                <w:color w:val="auto"/>
              </w:rPr>
            </w:pPr>
          </w:p>
        </w:tc>
        <w:tc>
          <w:tcPr>
            <w:tcW w:w="9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433.5</w:t>
            </w:r>
          </w:p>
        </w:tc>
        <w:tc>
          <w:tcPr>
            <w:tcW w:w="0" w:type="dxa"/>
            <w:vAlign w:val="bottom"/>
          </w:tcPr>
          <w:p>
            <w:pPr>
              <w:spacing w:after="0"/>
              <w:rPr>
                <w:sz w:val="1"/>
                <w:szCs w:val="1"/>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 Common and Common Equivalent Shares</w:t>
            </w:r>
          </w:p>
        </w:tc>
        <w:tc>
          <w:tcPr>
            <w:tcW w:w="7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 Common Shares Assuming Full Dilution</w:t>
            </w:r>
          </w:p>
        </w:tc>
        <w:tc>
          <w:tcPr>
            <w:tcW w:w="70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448.4</w:t>
            </w:r>
          </w:p>
        </w:tc>
        <w:tc>
          <w:tcPr>
            <w:tcW w:w="2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449.1</w:t>
            </w:r>
          </w:p>
        </w:tc>
        <w:tc>
          <w:tcPr>
            <w:tcW w:w="18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444.4</w:t>
            </w:r>
          </w:p>
        </w:tc>
        <w:tc>
          <w:tcPr>
            <w:tcW w:w="26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450.2</w:t>
            </w:r>
          </w:p>
        </w:tc>
        <w:tc>
          <w:tcPr>
            <w:tcW w:w="30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444.7</w:t>
            </w:r>
          </w:p>
        </w:tc>
        <w:tc>
          <w:tcPr>
            <w:tcW w:w="0" w:type="dxa"/>
            <w:vAlign w:val="bottom"/>
          </w:tcPr>
          <w:p>
            <w:pPr>
              <w:spacing w:after="0"/>
              <w:rPr>
                <w:sz w:val="1"/>
                <w:szCs w:val="1"/>
                <w:color w:val="auto"/>
              </w:rPr>
            </w:pPr>
          </w:p>
        </w:tc>
      </w:tr>
      <w:tr>
        <w:trPr>
          <w:trHeight w:val="245"/>
        </w:trPr>
        <w:tc>
          <w:tcPr>
            <w:tcW w:w="4640" w:type="dxa"/>
            <w:vAlign w:val="bottom"/>
          </w:tcPr>
          <w:p>
            <w:pPr>
              <w:spacing w:after="0"/>
              <w:rPr>
                <w:sz w:val="20"/>
                <w:szCs w:val="20"/>
                <w:color w:val="auto"/>
              </w:rPr>
            </w:pPr>
            <w:r>
              <w:rPr>
                <w:rFonts w:ascii="Courier New" w:cs="Courier New" w:eastAsia="Courier New" w:hAnsi="Courier New"/>
                <w:sz w:val="15"/>
                <w:szCs w:val="15"/>
                <w:color w:val="auto"/>
              </w:rPr>
              <w:t>Common Shares at Period End</w:t>
            </w:r>
          </w:p>
        </w:tc>
        <w:tc>
          <w:tcPr>
            <w:tcW w:w="700" w:type="dxa"/>
            <w:vAlign w:val="bottom"/>
          </w:tcPr>
          <w:p>
            <w:pPr>
              <w:spacing w:after="0"/>
              <w:rPr>
                <w:sz w:val="21"/>
                <w:szCs w:val="21"/>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437.1</w:t>
            </w:r>
          </w:p>
        </w:tc>
        <w:tc>
          <w:tcPr>
            <w:tcW w:w="220" w:type="dxa"/>
            <w:vAlign w:val="bottom"/>
          </w:tcPr>
          <w:p>
            <w:pPr>
              <w:spacing w:after="0"/>
              <w:rPr>
                <w:sz w:val="21"/>
                <w:szCs w:val="21"/>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434.3</w:t>
            </w:r>
          </w:p>
        </w:tc>
        <w:tc>
          <w:tcPr>
            <w:tcW w:w="180" w:type="dxa"/>
            <w:vAlign w:val="bottom"/>
          </w:tcPr>
          <w:p>
            <w:pPr>
              <w:spacing w:after="0"/>
              <w:rPr>
                <w:sz w:val="21"/>
                <w:szCs w:val="21"/>
                <w:color w:val="auto"/>
              </w:rPr>
            </w:pPr>
          </w:p>
        </w:tc>
        <w:tc>
          <w:tcPr>
            <w:tcW w:w="10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430.9</w:t>
            </w:r>
          </w:p>
        </w:tc>
        <w:tc>
          <w:tcPr>
            <w:tcW w:w="260" w:type="dxa"/>
            <w:vAlign w:val="bottom"/>
          </w:tcPr>
          <w:p>
            <w:pPr>
              <w:spacing w:after="0"/>
              <w:rPr>
                <w:sz w:val="21"/>
                <w:szCs w:val="21"/>
                <w:color w:val="auto"/>
              </w:rPr>
            </w:pP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437.1</w:t>
            </w:r>
          </w:p>
        </w:tc>
        <w:tc>
          <w:tcPr>
            <w:tcW w:w="300" w:type="dxa"/>
            <w:vAlign w:val="bottom"/>
          </w:tcPr>
          <w:p>
            <w:pPr>
              <w:spacing w:after="0"/>
              <w:rPr>
                <w:sz w:val="21"/>
                <w:szCs w:val="21"/>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430.9</w:t>
            </w:r>
          </w:p>
        </w:tc>
        <w:tc>
          <w:tcPr>
            <w:tcW w:w="0" w:type="dxa"/>
            <w:vAlign w:val="bottom"/>
          </w:tcPr>
          <w:p>
            <w:pPr>
              <w:spacing w:after="0"/>
              <w:rPr>
                <w:sz w:val="1"/>
                <w:szCs w:val="1"/>
                <w:color w:val="auto"/>
              </w:rPr>
            </w:pPr>
          </w:p>
        </w:tc>
      </w:tr>
      <w:tr>
        <w:trPr>
          <w:trHeight w:val="259"/>
        </w:trPr>
        <w:tc>
          <w:tcPr>
            <w:tcW w:w="4640" w:type="dxa"/>
            <w:vAlign w:val="bottom"/>
          </w:tcPr>
          <w:p>
            <w:pPr>
              <w:spacing w:after="0"/>
              <w:rPr>
                <w:sz w:val="20"/>
                <w:szCs w:val="20"/>
                <w:color w:val="auto"/>
              </w:rPr>
            </w:pPr>
            <w:r>
              <w:rPr>
                <w:rFonts w:ascii="Courier New" w:cs="Courier New" w:eastAsia="Courier New" w:hAnsi="Courier New"/>
                <w:sz w:val="15"/>
                <w:szCs w:val="15"/>
                <w:color w:val="auto"/>
              </w:rPr>
              <w:t>PERFORMANCE RATIOS: (Average Balances) (e)</w:t>
            </w:r>
          </w:p>
        </w:tc>
        <w:tc>
          <w:tcPr>
            <w:tcW w:w="7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Restructuring Charge:</w:t>
            </w:r>
          </w:p>
        </w:tc>
        <w:tc>
          <w:tcPr>
            <w:tcW w:w="700" w:type="dxa"/>
            <w:vAlign w:val="bottom"/>
          </w:tcPr>
          <w:p>
            <w:pPr>
              <w:spacing w:after="0"/>
              <w:rPr>
                <w:sz w:val="14"/>
                <w:szCs w:val="14"/>
                <w:color w:val="auto"/>
              </w:rPr>
            </w:pPr>
          </w:p>
        </w:tc>
        <w:tc>
          <w:tcPr>
            <w:tcW w:w="11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1.10%</w:t>
            </w:r>
          </w:p>
        </w:tc>
        <w:tc>
          <w:tcPr>
            <w:tcW w:w="220" w:type="dxa"/>
            <w:vAlign w:val="bottom"/>
          </w:tcPr>
          <w:p>
            <w:pPr>
              <w:spacing w:after="0"/>
              <w:rPr>
                <w:sz w:val="14"/>
                <w:szCs w:val="14"/>
                <w:color w:val="auto"/>
              </w:rPr>
            </w:pPr>
          </w:p>
        </w:tc>
        <w:tc>
          <w:tcPr>
            <w:tcW w:w="9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1.20%</w:t>
            </w:r>
          </w:p>
        </w:tc>
        <w:tc>
          <w:tcPr>
            <w:tcW w:w="180" w:type="dxa"/>
            <w:vAlign w:val="bottom"/>
          </w:tcPr>
          <w:p>
            <w:pPr>
              <w:spacing w:after="0"/>
              <w:rPr>
                <w:sz w:val="14"/>
                <w:szCs w:val="14"/>
                <w:color w:val="auto"/>
              </w:rPr>
            </w:pPr>
          </w:p>
        </w:tc>
        <w:tc>
          <w:tcPr>
            <w:tcW w:w="10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.96%</w:t>
            </w:r>
          </w:p>
        </w:tc>
        <w:tc>
          <w:tcPr>
            <w:tcW w:w="260" w:type="dxa"/>
            <w:vAlign w:val="bottom"/>
          </w:tcPr>
          <w:p>
            <w:pPr>
              <w:spacing w:after="0"/>
              <w:rPr>
                <w:sz w:val="14"/>
                <w:szCs w:val="14"/>
                <w:color w:val="auto"/>
              </w:rPr>
            </w:pPr>
          </w:p>
        </w:tc>
        <w:tc>
          <w:tcPr>
            <w:tcW w:w="110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1.15%</w:t>
            </w:r>
          </w:p>
        </w:tc>
        <w:tc>
          <w:tcPr>
            <w:tcW w:w="300" w:type="dxa"/>
            <w:vAlign w:val="bottom"/>
          </w:tcPr>
          <w:p>
            <w:pPr>
              <w:spacing w:after="0"/>
              <w:rPr>
                <w:sz w:val="14"/>
                <w:szCs w:val="14"/>
                <w:color w:val="auto"/>
              </w:rPr>
            </w:pPr>
          </w:p>
        </w:tc>
        <w:tc>
          <w:tcPr>
            <w:tcW w:w="9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.92%</w:t>
            </w: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Return on Assets</w:t>
            </w:r>
          </w:p>
        </w:tc>
        <w:tc>
          <w:tcPr>
            <w:tcW w:w="7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Return on Common Stockholders' Equity</w:t>
            </w:r>
          </w:p>
        </w:tc>
        <w:tc>
          <w:tcPr>
            <w:tcW w:w="70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19.00%</w:t>
            </w:r>
          </w:p>
        </w:tc>
        <w:tc>
          <w:tcPr>
            <w:tcW w:w="2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19.53%</w:t>
            </w:r>
          </w:p>
        </w:tc>
        <w:tc>
          <w:tcPr>
            <w:tcW w:w="18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16.53%</w:t>
            </w:r>
          </w:p>
        </w:tc>
        <w:tc>
          <w:tcPr>
            <w:tcW w:w="26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19.27%</w:t>
            </w:r>
          </w:p>
        </w:tc>
        <w:tc>
          <w:tcPr>
            <w:tcW w:w="30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15.74%</w:t>
            </w: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Return on Total Stockholders' Equity</w:t>
            </w:r>
          </w:p>
        </w:tc>
        <w:tc>
          <w:tcPr>
            <w:tcW w:w="70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17.58%</w:t>
            </w:r>
          </w:p>
        </w:tc>
        <w:tc>
          <w:tcPr>
            <w:tcW w:w="2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18.09%</w:t>
            </w:r>
          </w:p>
        </w:tc>
        <w:tc>
          <w:tcPr>
            <w:tcW w:w="18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15.32%</w:t>
            </w:r>
          </w:p>
        </w:tc>
        <w:tc>
          <w:tcPr>
            <w:tcW w:w="26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17.84%</w:t>
            </w:r>
          </w:p>
        </w:tc>
        <w:tc>
          <w:tcPr>
            <w:tcW w:w="30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14.66%</w:t>
            </w:r>
          </w:p>
        </w:tc>
        <w:tc>
          <w:tcPr>
            <w:tcW w:w="0" w:type="dxa"/>
            <w:vAlign w:val="bottom"/>
          </w:tcPr>
          <w:p>
            <w:pPr>
              <w:spacing w:after="0"/>
              <w:rPr>
                <w:sz w:val="1"/>
                <w:szCs w:val="1"/>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700" w:type="dxa"/>
            <w:vAlign w:val="bottom"/>
          </w:tcPr>
          <w:p>
            <w:pPr>
              <w:spacing w:after="0"/>
              <w:rPr>
                <w:sz w:val="14"/>
                <w:szCs w:val="14"/>
                <w:color w:val="auto"/>
              </w:rPr>
            </w:pPr>
          </w:p>
        </w:tc>
        <w:tc>
          <w:tcPr>
            <w:tcW w:w="11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1.08%</w:t>
            </w:r>
          </w:p>
        </w:tc>
        <w:tc>
          <w:tcPr>
            <w:tcW w:w="220" w:type="dxa"/>
            <w:vAlign w:val="bottom"/>
          </w:tcPr>
          <w:p>
            <w:pPr>
              <w:spacing w:after="0"/>
              <w:rPr>
                <w:sz w:val="14"/>
                <w:szCs w:val="14"/>
                <w:color w:val="auto"/>
              </w:rPr>
            </w:pPr>
          </w:p>
        </w:tc>
        <w:tc>
          <w:tcPr>
            <w:tcW w:w="9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N/M</w:t>
            </w:r>
          </w:p>
        </w:tc>
        <w:tc>
          <w:tcPr>
            <w:tcW w:w="180" w:type="dxa"/>
            <w:vAlign w:val="bottom"/>
          </w:tcPr>
          <w:p>
            <w:pPr>
              <w:spacing w:after="0"/>
              <w:rPr>
                <w:sz w:val="14"/>
                <w:szCs w:val="14"/>
                <w:color w:val="auto"/>
              </w:rPr>
            </w:pPr>
          </w:p>
        </w:tc>
        <w:tc>
          <w:tcPr>
            <w:tcW w:w="10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.95%</w:t>
            </w:r>
          </w:p>
        </w:tc>
        <w:tc>
          <w:tcPr>
            <w:tcW w:w="260" w:type="dxa"/>
            <w:vAlign w:val="bottom"/>
          </w:tcPr>
          <w:p>
            <w:pPr>
              <w:spacing w:after="0"/>
              <w:rPr>
                <w:sz w:val="14"/>
                <w:szCs w:val="14"/>
                <w:color w:val="auto"/>
              </w:rPr>
            </w:pPr>
          </w:p>
        </w:tc>
        <w:tc>
          <w:tcPr>
            <w:tcW w:w="110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.49%</w:t>
            </w:r>
          </w:p>
        </w:tc>
        <w:tc>
          <w:tcPr>
            <w:tcW w:w="300" w:type="dxa"/>
            <w:vAlign w:val="bottom"/>
          </w:tcPr>
          <w:p>
            <w:pPr>
              <w:spacing w:after="0"/>
              <w:rPr>
                <w:sz w:val="14"/>
                <w:szCs w:val="14"/>
                <w:color w:val="auto"/>
              </w:rPr>
            </w:pPr>
          </w:p>
        </w:tc>
        <w:tc>
          <w:tcPr>
            <w:tcW w:w="9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.91%</w:t>
            </w: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Return on Assets</w:t>
            </w:r>
          </w:p>
        </w:tc>
        <w:tc>
          <w:tcPr>
            <w:tcW w:w="7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Return on Common Stockholders' Equity</w:t>
            </w:r>
          </w:p>
        </w:tc>
        <w:tc>
          <w:tcPr>
            <w:tcW w:w="70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18.67%</w:t>
            </w:r>
          </w:p>
        </w:tc>
        <w:tc>
          <w:tcPr>
            <w:tcW w:w="2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N/M</w:t>
            </w:r>
          </w:p>
        </w:tc>
        <w:tc>
          <w:tcPr>
            <w:tcW w:w="18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16.31%</w:t>
            </w:r>
          </w:p>
        </w:tc>
        <w:tc>
          <w:tcPr>
            <w:tcW w:w="26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7.47%</w:t>
            </w:r>
          </w:p>
        </w:tc>
        <w:tc>
          <w:tcPr>
            <w:tcW w:w="30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15.50%</w:t>
            </w: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Return on Total Stockholders' Equity</w:t>
            </w:r>
          </w:p>
        </w:tc>
        <w:tc>
          <w:tcPr>
            <w:tcW w:w="70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17.30%</w:t>
            </w:r>
          </w:p>
        </w:tc>
        <w:tc>
          <w:tcPr>
            <w:tcW w:w="2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N/M</w:t>
            </w:r>
          </w:p>
        </w:tc>
        <w:tc>
          <w:tcPr>
            <w:tcW w:w="18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15.13%</w:t>
            </w:r>
          </w:p>
        </w:tc>
        <w:tc>
          <w:tcPr>
            <w:tcW w:w="26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7.57%</w:t>
            </w:r>
          </w:p>
        </w:tc>
        <w:tc>
          <w:tcPr>
            <w:tcW w:w="30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14.45%</w:t>
            </w:r>
          </w:p>
        </w:tc>
        <w:tc>
          <w:tcPr>
            <w:tcW w:w="0" w:type="dxa"/>
            <w:vAlign w:val="bottom"/>
          </w:tcPr>
          <w:p>
            <w:pPr>
              <w:spacing w:after="0"/>
              <w:rPr>
                <w:sz w:val="1"/>
                <w:szCs w:val="1"/>
                <w:color w:val="auto"/>
              </w:rPr>
            </w:pPr>
          </w:p>
        </w:tc>
      </w:tr>
      <w:tr>
        <w:trPr>
          <w:trHeight w:val="245"/>
        </w:trPr>
        <w:tc>
          <w:tcPr>
            <w:tcW w:w="4640" w:type="dxa"/>
            <w:vAlign w:val="bottom"/>
          </w:tcPr>
          <w:p>
            <w:pPr>
              <w:spacing w:after="0"/>
              <w:rPr>
                <w:sz w:val="20"/>
                <w:szCs w:val="20"/>
                <w:color w:val="auto"/>
              </w:rPr>
            </w:pPr>
            <w:r>
              <w:rPr>
                <w:rFonts w:ascii="Courier New" w:cs="Courier New" w:eastAsia="Courier New" w:hAnsi="Courier New"/>
                <w:sz w:val="15"/>
                <w:szCs w:val="15"/>
                <w:color w:val="auto"/>
              </w:rPr>
              <w:t>Efficiency Ratio (f)</w:t>
            </w:r>
          </w:p>
        </w:tc>
        <w:tc>
          <w:tcPr>
            <w:tcW w:w="700" w:type="dxa"/>
            <w:vAlign w:val="bottom"/>
          </w:tcPr>
          <w:p>
            <w:pPr>
              <w:spacing w:after="0"/>
              <w:rPr>
                <w:sz w:val="21"/>
                <w:szCs w:val="21"/>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58.4%</w:t>
            </w:r>
          </w:p>
        </w:tc>
        <w:tc>
          <w:tcPr>
            <w:tcW w:w="220" w:type="dxa"/>
            <w:vAlign w:val="bottom"/>
          </w:tcPr>
          <w:p>
            <w:pPr>
              <w:spacing w:after="0"/>
              <w:rPr>
                <w:sz w:val="21"/>
                <w:szCs w:val="21"/>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59.5%</w:t>
            </w:r>
          </w:p>
        </w:tc>
        <w:tc>
          <w:tcPr>
            <w:tcW w:w="180" w:type="dxa"/>
            <w:vAlign w:val="bottom"/>
          </w:tcPr>
          <w:p>
            <w:pPr>
              <w:spacing w:after="0"/>
              <w:rPr>
                <w:sz w:val="21"/>
                <w:szCs w:val="21"/>
                <w:color w:val="auto"/>
              </w:rPr>
            </w:pPr>
          </w:p>
        </w:tc>
        <w:tc>
          <w:tcPr>
            <w:tcW w:w="10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63.2%</w:t>
            </w:r>
          </w:p>
        </w:tc>
        <w:tc>
          <w:tcPr>
            <w:tcW w:w="260" w:type="dxa"/>
            <w:vAlign w:val="bottom"/>
          </w:tcPr>
          <w:p>
            <w:pPr>
              <w:spacing w:after="0"/>
              <w:rPr>
                <w:sz w:val="21"/>
                <w:szCs w:val="21"/>
                <w:color w:val="auto"/>
              </w:rPr>
            </w:pP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59.0%</w:t>
            </w:r>
          </w:p>
        </w:tc>
        <w:tc>
          <w:tcPr>
            <w:tcW w:w="300" w:type="dxa"/>
            <w:vAlign w:val="bottom"/>
          </w:tcPr>
          <w:p>
            <w:pPr>
              <w:spacing w:after="0"/>
              <w:rPr>
                <w:sz w:val="21"/>
                <w:szCs w:val="21"/>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65.2%</w:t>
            </w:r>
          </w:p>
        </w:tc>
        <w:tc>
          <w:tcPr>
            <w:tcW w:w="0" w:type="dxa"/>
            <w:vAlign w:val="bottom"/>
          </w:tcPr>
          <w:p>
            <w:pPr>
              <w:spacing w:after="0"/>
              <w:rPr>
                <w:sz w:val="1"/>
                <w:szCs w:val="1"/>
                <w:color w:val="auto"/>
              </w:rPr>
            </w:pPr>
          </w:p>
        </w:tc>
      </w:tr>
    </w:tbl>
    <w:p>
      <w:pPr>
        <w:spacing w:after="0" w:line="259" w:lineRule="exact"/>
        <w:rPr>
          <w:sz w:val="20"/>
          <w:szCs w:val="20"/>
          <w:color w:val="auto"/>
        </w:rPr>
      </w:pPr>
    </w:p>
    <w:p>
      <w:pPr>
        <w:jc w:val="both"/>
        <w:ind w:left="440" w:right="4460" w:hanging="430"/>
        <w:spacing w:after="0" w:line="244"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after-tax impact of a $1,650 million merger-related restructuring charge, which was recorded on March 31, 1996. In addition, $28 million of merger-related expenses were incurred ($6 million in the first quarter and $22 million in the second quarter) and recognized under an existing accounting pronouncement.</w:t>
      </w:r>
    </w:p>
    <w:p>
      <w:pPr>
        <w:spacing w:after="0" w:line="3" w:lineRule="exact"/>
        <w:rPr>
          <w:rFonts w:ascii="Courier New" w:cs="Courier New" w:eastAsia="Courier New" w:hAnsi="Courier New"/>
          <w:sz w:val="15"/>
          <w:szCs w:val="15"/>
          <w:color w:val="auto"/>
        </w:rPr>
      </w:pPr>
    </w:p>
    <w:p>
      <w:pPr>
        <w:ind w:left="440" w:right="4460" w:hanging="430"/>
        <w:spacing w:after="0" w:line="237"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 restructuring charge related to exiting from a futures brokerage business.</w:t>
      </w:r>
    </w:p>
    <w:p>
      <w:pPr>
        <w:ind w:left="440" w:right="4460" w:hanging="430"/>
        <w:spacing w:after="0" w:line="237"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January 1, 1995, the Corporation adopted SFAS 106 for the accounting for other postretirement benefits relating to its foreign plans.</w:t>
      </w:r>
    </w:p>
    <w:p>
      <w:pPr>
        <w:ind w:left="440" w:right="4720" w:hanging="430"/>
        <w:spacing w:after="0" w:line="237"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increased its quarterly common stock dividend from $0.50 per share to $0.56 per share in the first quarter of 1996.</w:t>
      </w:r>
    </w:p>
    <w:p>
      <w:pPr>
        <w:ind w:left="440" w:hanging="430"/>
        <w:spacing w:after="0" w:line="237"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ratios are based on annualized net income amounts.</w:t>
      </w:r>
    </w:p>
    <w:p>
      <w:pPr>
        <w:ind w:left="440" w:right="4540" w:hanging="430"/>
        <w:spacing w:after="0" w:line="237"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restructuring charges, foreclosed property expense, and nonrecurring items.</w:t>
      </w:r>
    </w:p>
    <w:p>
      <w:pPr>
        <w:spacing w:after="0"/>
        <w:tabs>
          <w:tab w:leader="none" w:pos="1040" w:val="left"/>
          <w:tab w:leader="none" w:pos="1740" w:val="left"/>
          <w:tab w:leader="none" w:pos="2440" w:val="left"/>
          <w:tab w:leader="none" w:pos="3060" w:val="left"/>
          <w:tab w:leader="none" w:pos="3660" w:val="left"/>
          <w:tab w:leader="none" w:pos="4360" w:val="left"/>
        </w:tabs>
        <w:rPr>
          <w:sz w:val="20"/>
          <w:szCs w:val="20"/>
          <w:color w:val="auto"/>
        </w:rPr>
      </w:pPr>
      <w:r>
        <w:rPr>
          <w:rFonts w:ascii="Courier New" w:cs="Courier New" w:eastAsia="Courier New" w:hAnsi="Courier New"/>
          <w:sz w:val="15"/>
          <w:szCs w:val="15"/>
          <w:color w:val="auto"/>
        </w:rPr>
        <w:t>N/M - As a</w:t>
        <w:tab/>
        <w:t>result</w:t>
        <w:tab/>
        <w:t>of the</w:t>
        <w:tab/>
        <w:t>loss,</w:t>
        <w:tab/>
        <w:t>these</w:t>
        <w:tab/>
        <w:t>ratios</w:t>
      </w:r>
      <w:r>
        <w:rPr>
          <w:sz w:val="20"/>
          <w:szCs w:val="20"/>
          <w:color w:val="auto"/>
        </w:rPr>
        <w:tab/>
      </w:r>
      <w:r>
        <w:rPr>
          <w:rFonts w:ascii="Courier New" w:cs="Courier New" w:eastAsia="Courier New" w:hAnsi="Courier New"/>
          <w:sz w:val="14"/>
          <w:szCs w:val="14"/>
          <w:color w:val="auto"/>
        </w:rPr>
        <w:t>are</w:t>
      </w:r>
    </w:p>
    <w:p>
      <w:pPr>
        <w:ind w:left="440"/>
        <w:spacing w:after="0"/>
        <w:rPr>
          <w:sz w:val="20"/>
          <w:szCs w:val="20"/>
          <w:color w:val="auto"/>
        </w:rPr>
      </w:pPr>
      <w:r>
        <w:rPr>
          <w:rFonts w:ascii="Courier New" w:cs="Courier New" w:eastAsia="Courier New" w:hAnsi="Courier New"/>
          <w:sz w:val="15"/>
          <w:szCs w:val="15"/>
          <w:color w:val="auto"/>
        </w:rPr>
        <w:t>not meaningful.</w:t>
      </w:r>
    </w:p>
    <w:p>
      <w:pPr>
        <w:spacing w:after="0" w:line="200" w:lineRule="exact"/>
        <w:rPr>
          <w:sz w:val="20"/>
          <w:szCs w:val="20"/>
          <w:color w:val="auto"/>
        </w:rPr>
      </w:pPr>
    </w:p>
    <w:p>
      <w:pPr>
        <w:spacing w:after="0" w:line="27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1460"/>
          </w:cols>
          <w:pgMar w:left="220" w:top="766" w:right="219" w:bottom="20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Part I</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(continued)</w:t>
      </w:r>
    </w:p>
    <w:p>
      <w:pPr>
        <w:spacing w:after="0" w:line="140" w:lineRule="exact"/>
        <w:rPr>
          <w:sz w:val="20"/>
          <w:szCs w:val="20"/>
          <w:color w:val="auto"/>
        </w:rPr>
      </w:pPr>
    </w:p>
    <w:p>
      <w:pPr>
        <w:jc w:val="both"/>
        <w:ind w:right="3239"/>
        <w:spacing w:after="0" w:line="266" w:lineRule="auto"/>
        <w:rPr>
          <w:sz w:val="20"/>
          <w:szCs w:val="20"/>
          <w:color w:val="auto"/>
        </w:rPr>
      </w:pPr>
      <w:r>
        <w:rPr>
          <w:rFonts w:ascii="Courier New" w:cs="Courier New" w:eastAsia="Courier New" w:hAnsi="Courier New"/>
          <w:sz w:val="14"/>
          <w:szCs w:val="14"/>
          <w:color w:val="auto"/>
        </w:rPr>
        <w:t>On March 31, 1996, The Chase Manhattan Corporation ("Chase") merged with and into Chemical Banking Corporation ("Chemical"). Upon consummation of the merger, Chemical changed its name to "The Chase Manhattan Corporation" (the "Corporation"). The merger was accounted for as a pooling-of-interests and, accordingly, the information included in this Form 10-Q presents the combined results of Chase and Chemical as if the merger had been in effect for all periods presented. Certain forward-looking statements contained herein are subject to risks and uncertainties. The Corporation's actual results following the merger may differ materially from those set forth in such forward-looking statements. Reference is made to the Corporation's reports filed with the Securities and Exchange Commission, in particular the Form 8-K dated July 17, 1996, for a discussion of factors that may cause such differences to occur.</w:t>
      </w:r>
    </w:p>
    <w:p>
      <w:pPr>
        <w:spacing w:after="0" w:line="77" w:lineRule="exact"/>
        <w:rPr>
          <w:sz w:val="20"/>
          <w:szCs w:val="20"/>
          <w:color w:val="auto"/>
        </w:rPr>
      </w:pPr>
    </w:p>
    <w:p>
      <w:pPr>
        <w:ind w:left="180" w:hanging="170"/>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OVERVIEW</w:t>
      </w:r>
    </w:p>
    <w:p>
      <w:pPr>
        <w:ind w:left="180" w:hanging="170"/>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spacing w:after="0"/>
        <w:tabs>
          <w:tab w:leader="none" w:pos="1480" w:val="left"/>
          <w:tab w:leader="none" w:pos="4100" w:val="left"/>
        </w:tabs>
        <w:rPr>
          <w:sz w:val="20"/>
          <w:szCs w:val="20"/>
          <w:color w:val="auto"/>
        </w:rPr>
      </w:pPr>
      <w:r>
        <w:rPr>
          <w:rFonts w:ascii="Courier New" w:cs="Courier New" w:eastAsia="Courier New" w:hAnsi="Courier New"/>
          <w:sz w:val="15"/>
          <w:szCs w:val="15"/>
          <w:color w:val="auto"/>
        </w:rPr>
        <w:t>The Corporation</w:t>
        <w:tab/>
        <w:t>reported 1996 second quarter</w:t>
      </w:r>
      <w:r>
        <w:rPr>
          <w:sz w:val="20"/>
          <w:szCs w:val="20"/>
          <w:color w:val="auto"/>
        </w:rPr>
        <w:tab/>
      </w:r>
      <w:r>
        <w:rPr>
          <w:rFonts w:ascii="Courier New" w:cs="Courier New" w:eastAsia="Courier New" w:hAnsi="Courier New"/>
          <w:sz w:val="14"/>
          <w:szCs w:val="14"/>
          <w:color w:val="auto"/>
        </w:rPr>
        <w:t>net income of $856 million, a 17%</w:t>
      </w:r>
    </w:p>
    <w:p>
      <w:pPr>
        <w:spacing w:after="0" w:line="23" w:lineRule="exact"/>
        <w:rPr>
          <w:sz w:val="20"/>
          <w:szCs w:val="20"/>
          <w:color w:val="auto"/>
        </w:rPr>
      </w:pPr>
    </w:p>
    <w:p>
      <w:pPr>
        <w:spacing w:after="0"/>
        <w:tabs>
          <w:tab w:leader="none" w:pos="860" w:val="left"/>
          <w:tab w:leader="none" w:pos="2440" w:val="left"/>
          <w:tab w:leader="none" w:pos="4620" w:val="left"/>
          <w:tab w:leader="none" w:pos="5500" w:val="left"/>
        </w:tabs>
        <w:rPr>
          <w:sz w:val="20"/>
          <w:szCs w:val="20"/>
          <w:color w:val="auto"/>
        </w:rPr>
      </w:pPr>
      <w:r>
        <w:rPr>
          <w:rFonts w:ascii="Courier New" w:cs="Courier New" w:eastAsia="Courier New" w:hAnsi="Courier New"/>
          <w:sz w:val="15"/>
          <w:szCs w:val="15"/>
          <w:color w:val="auto"/>
        </w:rPr>
        <w:t>increase</w:t>
        <w:tab/>
        <w:t>from 1995 second</w:t>
        <w:tab/>
        <w:t>quarter results of $729</w:t>
        <w:tab/>
        <w:t>million.</w:t>
      </w:r>
      <w:r>
        <w:rPr>
          <w:sz w:val="20"/>
          <w:szCs w:val="20"/>
          <w:color w:val="auto"/>
        </w:rPr>
        <w:tab/>
      </w:r>
      <w:r>
        <w:rPr>
          <w:rFonts w:ascii="Courier New" w:cs="Courier New" w:eastAsia="Courier New" w:hAnsi="Courier New"/>
          <w:sz w:val="14"/>
          <w:szCs w:val="14"/>
          <w:color w:val="auto"/>
        </w:rPr>
        <w:t>Primary</w:t>
      </w:r>
    </w:p>
    <w:p>
      <w:pPr>
        <w:spacing w:after="0"/>
        <w:rPr>
          <w:sz w:val="20"/>
          <w:szCs w:val="20"/>
          <w:color w:val="auto"/>
        </w:rPr>
      </w:pPr>
      <w:r>
        <w:rPr>
          <w:rFonts w:ascii="Courier New" w:cs="Courier New" w:eastAsia="Courier New" w:hAnsi="Courier New"/>
          <w:sz w:val="14"/>
          <w:szCs w:val="14"/>
          <w:color w:val="auto"/>
        </w:rPr>
        <w:t>earnings per share in the second quarter of 1996 were $1.80, compared with $1.54</w:t>
      </w:r>
    </w:p>
    <w:p>
      <w:pPr>
        <w:spacing w:after="0" w:line="8" w:lineRule="exact"/>
        <w:rPr>
          <w:sz w:val="20"/>
          <w:szCs w:val="20"/>
          <w:color w:val="auto"/>
        </w:rPr>
      </w:pPr>
    </w:p>
    <w:p>
      <w:pPr>
        <w:spacing w:after="0"/>
        <w:tabs>
          <w:tab w:leader="none" w:pos="2260" w:val="left"/>
        </w:tabs>
        <w:rPr>
          <w:sz w:val="20"/>
          <w:szCs w:val="20"/>
          <w:color w:val="auto"/>
        </w:rPr>
      </w:pPr>
      <w:r>
        <w:rPr>
          <w:rFonts w:ascii="Courier New" w:cs="Courier New" w:eastAsia="Courier New" w:hAnsi="Courier New"/>
          <w:sz w:val="15"/>
          <w:szCs w:val="15"/>
          <w:color w:val="auto"/>
        </w:rPr>
        <w:t>in the same 1995 period.</w:t>
      </w:r>
      <w:r>
        <w:rPr>
          <w:sz w:val="20"/>
          <w:szCs w:val="20"/>
          <w:color w:val="auto"/>
        </w:rPr>
        <w:tab/>
      </w:r>
      <w:r>
        <w:rPr>
          <w:rFonts w:ascii="Courier New" w:cs="Courier New" w:eastAsia="Courier New" w:hAnsi="Courier New"/>
          <w:sz w:val="14"/>
          <w:szCs w:val="14"/>
          <w:color w:val="auto"/>
        </w:rPr>
        <w:t>Fully diluted earnings per share in the second quarter</w:t>
      </w:r>
    </w:p>
    <w:p>
      <w:pPr>
        <w:spacing w:after="0"/>
        <w:rPr>
          <w:sz w:val="20"/>
          <w:szCs w:val="20"/>
          <w:color w:val="auto"/>
        </w:rPr>
      </w:pPr>
      <w:r>
        <w:rPr>
          <w:rFonts w:ascii="Courier New" w:cs="Courier New" w:eastAsia="Courier New" w:hAnsi="Courier New"/>
          <w:sz w:val="15"/>
          <w:szCs w:val="15"/>
          <w:color w:val="auto"/>
        </w:rPr>
        <w:t>of 1996 were $1.79, compared with $1.52 in the second quarter of 1995.</w:t>
      </w:r>
    </w:p>
    <w:p>
      <w:pPr>
        <w:spacing w:after="0" w:line="140"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5"/>
          <w:szCs w:val="15"/>
          <w:color w:val="auto"/>
        </w:rPr>
        <w:t>The Corporation's net income, excluding restructuring charges and merger-related expenses, rose 30% to $1,807 million from $1,388 million in the first</w:t>
      </w:r>
    </w:p>
    <w:p>
      <w:pPr>
        <w:spacing w:after="0" w:line="1" w:lineRule="exact"/>
        <w:rPr>
          <w:sz w:val="20"/>
          <w:szCs w:val="20"/>
          <w:color w:val="auto"/>
        </w:rPr>
      </w:pPr>
    </w:p>
    <w:p>
      <w:pPr>
        <w:jc w:val="both"/>
        <w:ind w:right="3239"/>
        <w:spacing w:after="0" w:line="300" w:lineRule="auto"/>
        <w:rPr>
          <w:sz w:val="20"/>
          <w:szCs w:val="20"/>
          <w:color w:val="auto"/>
        </w:rPr>
      </w:pPr>
      <w:r>
        <w:rPr>
          <w:rFonts w:ascii="Courier New" w:cs="Courier New" w:eastAsia="Courier New" w:hAnsi="Courier New"/>
          <w:sz w:val="14"/>
          <w:szCs w:val="14"/>
          <w:color w:val="auto"/>
        </w:rPr>
        <w:t>half of 1995. Primary earnings per share in the first half of 1996 were $3.81 and fully diluted earnings per share were $3.77; primary earnings per share were $2.93 and fully diluted earnings per share were $2.87 in the same 1995 period.</w:t>
      </w:r>
    </w:p>
    <w:p>
      <w:pPr>
        <w:spacing w:after="0" w:line="52"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5"/>
          <w:szCs w:val="15"/>
          <w:color w:val="auto"/>
        </w:rPr>
        <w:t>The Corporation's second quarter and first six months 1996 results reflected strong revenue growth in its global banking and nationwide consumer businesses, as well as $120 million in merger savings in the second quarter. On July 14, 1996, the Corporation's two flagship banks (The Chase Manhattan Bank, N.A. and Chemical Bank) merged, and the Corporation anticipates that this should accelerate the Corporation's merger savings. The Corporation believes it continues to remain in a strong position to achieve its previously announced 1996 performance targets.</w:t>
      </w:r>
    </w:p>
    <w:p>
      <w:pPr>
        <w:spacing w:after="0" w:line="86"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5"/>
          <w:szCs w:val="15"/>
          <w:color w:val="auto"/>
        </w:rPr>
        <w:t>Reported earnings, which included after-tax merger-related restructuring charges and expenses of $1,040 million, were $767 million for the first six months of 1996, compared with $1,368 million for the first six months of 1995. Primary earnings per share and fully diluted earnings per share were $1.48 and $1.46, respectively, for the first half of 1996, compared with $2.89 and $2.83, respectively, for the same 1995 period.</w:t>
      </w:r>
    </w:p>
    <w:p>
      <w:pPr>
        <w:spacing w:after="0" w:line="81"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5"/>
          <w:szCs w:val="15"/>
          <w:color w:val="auto"/>
        </w:rPr>
        <w:t>The Corporation's return on average common stockholders' equity was 18.7% for the second quarter of 1996, compared with 16.3% for the 1995 comparable quarter. Excluding restructuring charges and merger-related expenses, the return on common stockholders' equity was 19.3% for the first six months of 1996 versus 15.7% for the same period of 1995. The Corporation's efficiency ratio improved to 58.4% for the second quarter of 1996, compared with 63.2% for the second quarter of 1995.</w:t>
      </w:r>
    </w:p>
    <w:p>
      <w:pPr>
        <w:spacing w:after="0" w:line="82" w:lineRule="exact"/>
        <w:rPr>
          <w:sz w:val="20"/>
          <w:szCs w:val="20"/>
          <w:color w:val="auto"/>
        </w:rPr>
      </w:pPr>
    </w:p>
    <w:p>
      <w:pPr>
        <w:jc w:val="both"/>
        <w:ind w:right="3239"/>
        <w:spacing w:after="0" w:line="252" w:lineRule="auto"/>
        <w:rPr>
          <w:sz w:val="20"/>
          <w:szCs w:val="20"/>
          <w:color w:val="auto"/>
        </w:rPr>
      </w:pPr>
      <w:r>
        <w:rPr>
          <w:rFonts w:ascii="Courier New" w:cs="Courier New" w:eastAsia="Courier New" w:hAnsi="Courier New"/>
          <w:sz w:val="15"/>
          <w:szCs w:val="15"/>
          <w:color w:val="auto"/>
        </w:rPr>
        <w:t>At June 30, 1996, the Corporation's Tier 1 Capital and Total Capital ratios were 7.96% and 11.82%, respectively (excluding the assets and off-balance sheet financial instruments of the Corporation's securities subsidiary, as well as the Corporation's investment in this subsidiary). These risk-based capital ratios were well in excess of the minimum ratios specified by the Board of Governors of the Federal Reserve System ("Federal Reserve Board") and at June 30, 1996, the Corporation and all of its depository institutions were "well capitalized" as defined by the Federal Reserve Board.</w:t>
      </w:r>
    </w:p>
    <w:p>
      <w:pPr>
        <w:spacing w:after="0" w:line="86" w:lineRule="exact"/>
        <w:rPr>
          <w:sz w:val="20"/>
          <w:szCs w:val="20"/>
          <w:color w:val="auto"/>
        </w:rPr>
      </w:pPr>
    </w:p>
    <w:p>
      <w:pPr>
        <w:jc w:val="both"/>
        <w:ind w:right="3239"/>
        <w:spacing w:after="0" w:line="264" w:lineRule="auto"/>
        <w:rPr>
          <w:sz w:val="20"/>
          <w:szCs w:val="20"/>
          <w:color w:val="auto"/>
        </w:rPr>
      </w:pPr>
      <w:r>
        <w:rPr>
          <w:rFonts w:ascii="Courier New" w:cs="Courier New" w:eastAsia="Courier New" w:hAnsi="Courier New"/>
          <w:sz w:val="15"/>
          <w:szCs w:val="15"/>
          <w:color w:val="auto"/>
        </w:rPr>
        <w:t>The Corporation's nonperforming assets at June 30, 1996 were $1,639 million, compared with $1,664 million on December 31, 1995, and declined $372 million from $2,011 million at June 30, 1995. Nonperforming assets have declined by approximately $9.9 billion, or 86%, from their peak level of $11.5 billion in 1991.</w:t>
      </w:r>
    </w:p>
    <w:p>
      <w:pPr>
        <w:spacing w:after="0" w:line="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429" w:right="1440" w:bottom="1440" w:gutter="0" w:footer="0" w:header="0"/>
        </w:sectPr>
      </w:pPr>
    </w:p>
    <w:bookmarkStart w:id="17" w:name="page18"/>
    <w:bookmarkEnd w:id="17"/>
    <w:p>
      <w:pPr>
        <w:ind w:left="180" w:hanging="170"/>
        <w:spacing w:after="0"/>
        <w:tabs>
          <w:tab w:leader="none" w:pos="1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4" w:lineRule="exact"/>
        <w:rPr>
          <w:rFonts w:ascii="Courier New" w:cs="Courier New" w:eastAsia="Courier New" w:hAnsi="Courier New"/>
          <w:sz w:val="15"/>
          <w:szCs w:val="15"/>
          <w:color w:val="auto"/>
        </w:rPr>
      </w:pP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RESULTS OF OPERATIONS</w:t>
      </w:r>
    </w:p>
    <w:p>
      <w:pPr>
        <w:ind w:left="180" w:hanging="170"/>
        <w:spacing w:after="0"/>
        <w:tabs>
          <w:tab w:leader="none" w:pos="1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Interest Income</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Second Quarter</w:t>
            </w: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Six Months</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80" w:type="dxa"/>
            <w:vAlign w:val="bottom"/>
            <w:vMerge w:val="restart"/>
          </w:tcPr>
          <w:p>
            <w:pPr>
              <w:spacing w:after="0"/>
              <w:rPr>
                <w:sz w:val="20"/>
                <w:szCs w:val="20"/>
                <w:color w:val="auto"/>
              </w:rPr>
            </w:pPr>
            <w:r>
              <w:rPr>
                <w:rFonts w:ascii="Courier New" w:cs="Courier New" w:eastAsia="Courier New" w:hAnsi="Courier New"/>
                <w:sz w:val="15"/>
                <w:szCs w:val="15"/>
                <w:color w:val="auto"/>
              </w:rPr>
              <w:t>(in millions)</w:t>
            </w:r>
          </w:p>
        </w:tc>
        <w:tc>
          <w:tcPr>
            <w:tcW w:w="3420" w:type="dxa"/>
            <w:vAlign w:val="bottom"/>
            <w:gridSpan w:val="4"/>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33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6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w w:val="99"/>
              </w:rPr>
              <w:t>1996</w:t>
            </w:r>
          </w:p>
        </w:tc>
        <w:tc>
          <w:tcPr>
            <w:tcW w:w="700" w:type="dxa"/>
            <w:vAlign w:val="bottom"/>
          </w:tcPr>
          <w:p>
            <w:pPr>
              <w:spacing w:after="0"/>
              <w:rPr>
                <w:sz w:val="14"/>
                <w:szCs w:val="14"/>
                <w:color w:val="auto"/>
              </w:rPr>
            </w:pPr>
          </w:p>
        </w:tc>
        <w:tc>
          <w:tcPr>
            <w:tcW w:w="122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w w:val="99"/>
              </w:rPr>
              <w:t>1995</w:t>
            </w:r>
          </w:p>
        </w:tc>
        <w:tc>
          <w:tcPr>
            <w:tcW w:w="700" w:type="dxa"/>
            <w:vAlign w:val="bottom"/>
          </w:tcPr>
          <w:p>
            <w:pPr>
              <w:spacing w:after="0"/>
              <w:rPr>
                <w:sz w:val="14"/>
                <w:szCs w:val="14"/>
                <w:color w:val="auto"/>
              </w:rPr>
            </w:pPr>
          </w:p>
        </w:tc>
        <w:tc>
          <w:tcPr>
            <w:tcW w:w="12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1996</w:t>
            </w:r>
          </w:p>
        </w:tc>
        <w:tc>
          <w:tcPr>
            <w:tcW w:w="580" w:type="dxa"/>
            <w:vAlign w:val="bottom"/>
          </w:tcPr>
          <w:p>
            <w:pPr>
              <w:spacing w:after="0"/>
              <w:rPr>
                <w:sz w:val="14"/>
                <w:szCs w:val="14"/>
                <w:color w:val="auto"/>
              </w:rPr>
            </w:pPr>
          </w:p>
        </w:tc>
        <w:tc>
          <w:tcPr>
            <w:tcW w:w="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45"/>
        </w:trPr>
        <w:tc>
          <w:tcPr>
            <w:tcW w:w="4680" w:type="dxa"/>
            <w:vAlign w:val="bottom"/>
            <w:vMerge w:val="restart"/>
          </w:tcPr>
          <w:p>
            <w:pPr>
              <w:spacing w:after="0"/>
              <w:rPr>
                <w:sz w:val="20"/>
                <w:szCs w:val="20"/>
                <w:color w:val="auto"/>
              </w:rPr>
            </w:pPr>
            <w:r>
              <w:rPr>
                <w:rFonts w:ascii="Courier New" w:cs="Courier New" w:eastAsia="Courier New" w:hAnsi="Courier New"/>
                <w:sz w:val="15"/>
                <w:szCs w:val="15"/>
                <w:color w:val="auto"/>
              </w:rPr>
              <w:t>Net Interest Income:</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9"/>
              </w:rPr>
              <w:t>------------</w:t>
            </w:r>
          </w:p>
        </w:tc>
        <w:tc>
          <w:tcPr>
            <w:tcW w:w="19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6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Domestic</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1,583</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1,620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3,316</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3,208</w:t>
            </w:r>
          </w:p>
        </w:tc>
        <w:tc>
          <w:tcPr>
            <w:tcW w:w="0" w:type="dxa"/>
            <w:vAlign w:val="bottom"/>
          </w:tcPr>
          <w:p>
            <w:pPr>
              <w:spacing w:after="0"/>
              <w:rPr>
                <w:sz w:val="1"/>
                <w:szCs w:val="1"/>
                <w:color w:val="auto"/>
              </w:rPr>
            </w:pP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Overseas</w:t>
            </w:r>
          </w:p>
        </w:tc>
        <w:tc>
          <w:tcPr>
            <w:tcW w:w="28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440</w:t>
            </w:r>
          </w:p>
        </w:tc>
        <w:tc>
          <w:tcPr>
            <w:tcW w:w="70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408</w:t>
            </w:r>
          </w:p>
        </w:tc>
        <w:tc>
          <w:tcPr>
            <w:tcW w:w="70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873</w:t>
            </w:r>
          </w:p>
        </w:tc>
        <w:tc>
          <w:tcPr>
            <w:tcW w:w="5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847</w:t>
            </w:r>
          </w:p>
        </w:tc>
        <w:tc>
          <w:tcPr>
            <w:tcW w:w="0" w:type="dxa"/>
            <w:vAlign w:val="bottom"/>
          </w:tcPr>
          <w:p>
            <w:pPr>
              <w:spacing w:after="0"/>
              <w:rPr>
                <w:sz w:val="1"/>
                <w:szCs w:val="1"/>
                <w:color w:val="auto"/>
              </w:rPr>
            </w:pPr>
          </w:p>
        </w:tc>
      </w:tr>
      <w:tr>
        <w:trPr>
          <w:trHeight w:val="168"/>
        </w:trPr>
        <w:tc>
          <w:tcPr>
            <w:tcW w:w="4680" w:type="dxa"/>
            <w:vAlign w:val="bottom"/>
            <w:vMerge w:val="restart"/>
          </w:tcPr>
          <w:p>
            <w:pPr>
              <w:spacing w:after="0"/>
              <w:rPr>
                <w:sz w:val="20"/>
                <w:szCs w:val="20"/>
                <w:color w:val="auto"/>
              </w:rPr>
            </w:pPr>
            <w:r>
              <w:rPr>
                <w:rFonts w:ascii="Courier New" w:cs="Courier New" w:eastAsia="Courier New" w:hAnsi="Courier New"/>
                <w:sz w:val="15"/>
                <w:szCs w:val="15"/>
                <w:color w:val="auto"/>
              </w:rPr>
              <w:t>Net Interest Income - Reported</w:t>
            </w: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680" w:type="dxa"/>
            <w:vAlign w:val="bottom"/>
            <w:vMerge w:val="continue"/>
          </w:tcPr>
          <w:p>
            <w:pPr>
              <w:spacing w:after="0"/>
              <w:rPr>
                <w:sz w:val="14"/>
                <w:szCs w:val="14"/>
                <w:color w:val="auto"/>
              </w:rPr>
            </w:pP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2,023</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2,028</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4,189</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4,055</w:t>
            </w:r>
          </w:p>
        </w:tc>
        <w:tc>
          <w:tcPr>
            <w:tcW w:w="0" w:type="dxa"/>
            <w:vAlign w:val="bottom"/>
          </w:tcPr>
          <w:p>
            <w:pPr>
              <w:spacing w:after="0"/>
              <w:rPr>
                <w:sz w:val="1"/>
                <w:szCs w:val="1"/>
                <w:color w:val="auto"/>
              </w:rPr>
            </w:pPr>
          </w:p>
        </w:tc>
      </w:tr>
      <w:tr>
        <w:trPr>
          <w:trHeight w:val="168"/>
        </w:trPr>
        <w:tc>
          <w:tcPr>
            <w:tcW w:w="4680" w:type="dxa"/>
            <w:vAlign w:val="bottom"/>
            <w:vMerge w:val="restart"/>
          </w:tcPr>
          <w:p>
            <w:pPr>
              <w:spacing w:after="0"/>
              <w:rPr>
                <w:sz w:val="20"/>
                <w:szCs w:val="20"/>
                <w:color w:val="auto"/>
              </w:rPr>
            </w:pPr>
            <w:r>
              <w:rPr>
                <w:rFonts w:ascii="Courier New" w:cs="Courier New" w:eastAsia="Courier New" w:hAnsi="Courier New"/>
                <w:sz w:val="15"/>
                <w:szCs w:val="15"/>
                <w:color w:val="auto"/>
              </w:rPr>
              <w:t>Net Interest Income - Managed Basis (a)</w:t>
            </w: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680" w:type="dxa"/>
            <w:vAlign w:val="bottom"/>
            <w:vMerge w:val="continue"/>
          </w:tcPr>
          <w:p>
            <w:pPr>
              <w:spacing w:after="0"/>
              <w:rPr>
                <w:sz w:val="14"/>
                <w:szCs w:val="14"/>
                <w:color w:val="auto"/>
              </w:rPr>
            </w:pP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2,231</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2,105</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4,530</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4,189</w:t>
            </w:r>
          </w:p>
        </w:tc>
        <w:tc>
          <w:tcPr>
            <w:tcW w:w="0" w:type="dxa"/>
            <w:vAlign w:val="bottom"/>
          </w:tcPr>
          <w:p>
            <w:pPr>
              <w:spacing w:after="0"/>
              <w:rPr>
                <w:sz w:val="1"/>
                <w:szCs w:val="1"/>
                <w:color w:val="auto"/>
              </w:rPr>
            </w:pPr>
          </w:p>
        </w:tc>
      </w:tr>
      <w:tr>
        <w:trPr>
          <w:trHeight w:val="245"/>
        </w:trPr>
        <w:tc>
          <w:tcPr>
            <w:tcW w:w="4680" w:type="dxa"/>
            <w:vAlign w:val="bottom"/>
            <w:vMerge w:val="restart"/>
          </w:tcPr>
          <w:p>
            <w:pPr>
              <w:spacing w:after="0"/>
              <w:rPr>
                <w:sz w:val="20"/>
                <w:szCs w:val="20"/>
                <w:color w:val="auto"/>
              </w:rPr>
            </w:pPr>
            <w:r>
              <w:rPr>
                <w:rFonts w:ascii="Courier New" w:cs="Courier New" w:eastAsia="Courier New" w:hAnsi="Courier New"/>
                <w:sz w:val="15"/>
                <w:szCs w:val="15"/>
                <w:color w:val="auto"/>
              </w:rPr>
              <w:t>Average Interest-Earning Assets:</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4680" w:type="dxa"/>
            <w:vAlign w:val="bottom"/>
            <w:vMerge w:val="continue"/>
          </w:tcPr>
          <w:p>
            <w:pPr>
              <w:spacing w:after="0"/>
              <w:rPr>
                <w:sz w:val="7"/>
                <w:szCs w:val="7"/>
                <w:color w:val="auto"/>
              </w:rPr>
            </w:pP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180,393</w:t>
            </w:r>
          </w:p>
        </w:tc>
        <w:tc>
          <w:tcPr>
            <w:tcW w:w="7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168,273</w:t>
            </w:r>
          </w:p>
        </w:tc>
        <w:tc>
          <w:tcPr>
            <w:tcW w:w="7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181,142</w:t>
            </w:r>
          </w:p>
        </w:tc>
        <w:tc>
          <w:tcPr>
            <w:tcW w:w="5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169,327</w:t>
            </w:r>
          </w:p>
        </w:tc>
        <w:tc>
          <w:tcPr>
            <w:tcW w:w="0" w:type="dxa"/>
            <w:vAlign w:val="bottom"/>
          </w:tcPr>
          <w:p>
            <w:pPr>
              <w:spacing w:after="0"/>
              <w:rPr>
                <w:sz w:val="1"/>
                <w:szCs w:val="1"/>
                <w:color w:val="auto"/>
              </w:rPr>
            </w:pP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Domestic</w:t>
            </w:r>
          </w:p>
        </w:tc>
        <w:tc>
          <w:tcPr>
            <w:tcW w:w="2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Overseas</w:t>
            </w:r>
          </w:p>
        </w:tc>
        <w:tc>
          <w:tcPr>
            <w:tcW w:w="28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76,713</w:t>
            </w:r>
          </w:p>
        </w:tc>
        <w:tc>
          <w:tcPr>
            <w:tcW w:w="70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72,551</w:t>
            </w:r>
          </w:p>
        </w:tc>
        <w:tc>
          <w:tcPr>
            <w:tcW w:w="70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74,742</w:t>
            </w:r>
          </w:p>
        </w:tc>
        <w:tc>
          <w:tcPr>
            <w:tcW w:w="5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70,026</w:t>
            </w:r>
          </w:p>
        </w:tc>
        <w:tc>
          <w:tcPr>
            <w:tcW w:w="0" w:type="dxa"/>
            <w:vAlign w:val="bottom"/>
          </w:tcPr>
          <w:p>
            <w:pPr>
              <w:spacing w:after="0"/>
              <w:rPr>
                <w:sz w:val="1"/>
                <w:szCs w:val="1"/>
                <w:color w:val="auto"/>
              </w:rPr>
            </w:pPr>
          </w:p>
        </w:tc>
      </w:tr>
      <w:tr>
        <w:trPr>
          <w:trHeight w:val="168"/>
        </w:trPr>
        <w:tc>
          <w:tcPr>
            <w:tcW w:w="4680" w:type="dxa"/>
            <w:vAlign w:val="bottom"/>
            <w:vMerge w:val="restart"/>
          </w:tcPr>
          <w:p>
            <w:pPr>
              <w:spacing w:after="0"/>
              <w:rPr>
                <w:sz w:val="20"/>
                <w:szCs w:val="20"/>
                <w:color w:val="auto"/>
              </w:rPr>
            </w:pPr>
            <w:r>
              <w:rPr>
                <w:rFonts w:ascii="Courier New" w:cs="Courier New" w:eastAsia="Courier New" w:hAnsi="Courier New"/>
                <w:sz w:val="15"/>
                <w:szCs w:val="15"/>
                <w:color w:val="auto"/>
              </w:rPr>
              <w:t>Total Average Interest-Earning Assets</w:t>
            </w: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680" w:type="dxa"/>
            <w:vAlign w:val="bottom"/>
            <w:vMerge w:val="continue"/>
          </w:tcPr>
          <w:p>
            <w:pPr>
              <w:spacing w:after="0"/>
              <w:rPr>
                <w:sz w:val="14"/>
                <w:szCs w:val="14"/>
                <w:color w:val="auto"/>
              </w:rPr>
            </w:pP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257,106</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240,824</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255,884</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239,353</w:t>
            </w:r>
          </w:p>
        </w:tc>
        <w:tc>
          <w:tcPr>
            <w:tcW w:w="0" w:type="dxa"/>
            <w:vAlign w:val="bottom"/>
          </w:tcPr>
          <w:p>
            <w:pPr>
              <w:spacing w:after="0"/>
              <w:rPr>
                <w:sz w:val="1"/>
                <w:szCs w:val="1"/>
                <w:color w:val="auto"/>
              </w:rPr>
            </w:pPr>
          </w:p>
        </w:tc>
      </w:tr>
      <w:tr>
        <w:trPr>
          <w:trHeight w:val="245"/>
        </w:trPr>
        <w:tc>
          <w:tcPr>
            <w:tcW w:w="4680" w:type="dxa"/>
            <w:vAlign w:val="bottom"/>
            <w:vMerge w:val="restart"/>
          </w:tcPr>
          <w:p>
            <w:pPr>
              <w:spacing w:after="0"/>
              <w:rPr>
                <w:sz w:val="20"/>
                <w:szCs w:val="20"/>
                <w:color w:val="auto"/>
              </w:rPr>
            </w:pPr>
            <w:r>
              <w:rPr>
                <w:rFonts w:ascii="Courier New" w:cs="Courier New" w:eastAsia="Courier New" w:hAnsi="Courier New"/>
                <w:sz w:val="15"/>
                <w:szCs w:val="15"/>
                <w:color w:val="auto"/>
              </w:rPr>
              <w:t>Total Average Interest-Earning Assets</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4680" w:type="dxa"/>
            <w:vAlign w:val="bottom"/>
            <w:vMerge w:val="continue"/>
          </w:tcPr>
          <w:p>
            <w:pPr>
              <w:spacing w:after="0"/>
              <w:rPr>
                <w:sz w:val="7"/>
                <w:szCs w:val="7"/>
                <w:color w:val="auto"/>
              </w:rPr>
            </w:pP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266,956</w:t>
            </w:r>
          </w:p>
        </w:tc>
        <w:tc>
          <w:tcPr>
            <w:tcW w:w="7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244,408</w:t>
            </w:r>
          </w:p>
        </w:tc>
        <w:tc>
          <w:tcPr>
            <w:tcW w:w="7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264,994</w:t>
            </w:r>
          </w:p>
        </w:tc>
        <w:tc>
          <w:tcPr>
            <w:tcW w:w="5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242,533</w:t>
            </w:r>
          </w:p>
        </w:tc>
        <w:tc>
          <w:tcPr>
            <w:tcW w:w="0" w:type="dxa"/>
            <w:vAlign w:val="bottom"/>
          </w:tcPr>
          <w:p>
            <w:pPr>
              <w:spacing w:after="0"/>
              <w:rPr>
                <w:sz w:val="1"/>
                <w:szCs w:val="1"/>
                <w:color w:val="auto"/>
              </w:rPr>
            </w:pP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Managed Basis (a)</w:t>
            </w:r>
          </w:p>
        </w:tc>
        <w:tc>
          <w:tcPr>
            <w:tcW w:w="2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680" w:type="dxa"/>
            <w:vAlign w:val="bottom"/>
            <w:vMerge w:val="restart"/>
          </w:tcPr>
          <w:p>
            <w:pPr>
              <w:spacing w:after="0"/>
              <w:rPr>
                <w:sz w:val="20"/>
                <w:szCs w:val="20"/>
                <w:color w:val="auto"/>
              </w:rPr>
            </w:pPr>
            <w:r>
              <w:rPr>
                <w:rFonts w:ascii="Courier New" w:cs="Courier New" w:eastAsia="Courier New" w:hAnsi="Courier New"/>
                <w:sz w:val="15"/>
                <w:szCs w:val="15"/>
                <w:color w:val="auto"/>
              </w:rPr>
              <w:t>Net Yield on Interest-Earning Assets:</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46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22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3.56%</w:t>
            </w:r>
          </w:p>
        </w:tc>
        <w:tc>
          <w:tcPr>
            <w:tcW w:w="700" w:type="dxa"/>
            <w:vAlign w:val="bottom"/>
          </w:tcPr>
          <w:p>
            <w:pPr>
              <w:spacing w:after="0"/>
              <w:rPr>
                <w:sz w:val="7"/>
                <w:szCs w:val="7"/>
                <w:color w:val="auto"/>
              </w:rPr>
            </w:pPr>
          </w:p>
        </w:tc>
        <w:tc>
          <w:tcPr>
            <w:tcW w:w="12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3.89%</w:t>
            </w:r>
          </w:p>
        </w:tc>
        <w:tc>
          <w:tcPr>
            <w:tcW w:w="700" w:type="dxa"/>
            <w:vAlign w:val="bottom"/>
          </w:tcPr>
          <w:p>
            <w:pPr>
              <w:spacing w:after="0"/>
              <w:rPr>
                <w:sz w:val="7"/>
                <w:szCs w:val="7"/>
                <w:color w:val="auto"/>
              </w:rPr>
            </w:pPr>
          </w:p>
        </w:tc>
        <w:tc>
          <w:tcPr>
            <w:tcW w:w="12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3.70%</w:t>
            </w:r>
          </w:p>
        </w:tc>
        <w:tc>
          <w:tcPr>
            <w:tcW w:w="58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3.85%</w:t>
            </w:r>
          </w:p>
        </w:tc>
        <w:tc>
          <w:tcPr>
            <w:tcW w:w="0" w:type="dxa"/>
            <w:vAlign w:val="bottom"/>
          </w:tcPr>
          <w:p>
            <w:pPr>
              <w:spacing w:after="0"/>
              <w:rPr>
                <w:sz w:val="1"/>
                <w:szCs w:val="1"/>
                <w:color w:val="auto"/>
              </w:rPr>
            </w:pP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Domestic</w:t>
            </w:r>
          </w:p>
        </w:tc>
        <w:tc>
          <w:tcPr>
            <w:tcW w:w="2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Overseas</w:t>
            </w:r>
          </w:p>
        </w:tc>
        <w:tc>
          <w:tcPr>
            <w:tcW w:w="280" w:type="dxa"/>
            <w:vAlign w:val="bottom"/>
          </w:tcPr>
          <w:p>
            <w:pPr>
              <w:spacing w:after="0"/>
              <w:rPr>
                <w:sz w:val="14"/>
                <w:szCs w:val="14"/>
                <w:color w:val="auto"/>
              </w:rPr>
            </w:pPr>
          </w:p>
        </w:tc>
        <w:tc>
          <w:tcPr>
            <w:tcW w:w="12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2.30</w:t>
            </w:r>
          </w:p>
        </w:tc>
        <w:tc>
          <w:tcPr>
            <w:tcW w:w="70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2.25</w:t>
            </w:r>
          </w:p>
        </w:tc>
        <w:tc>
          <w:tcPr>
            <w:tcW w:w="700" w:type="dxa"/>
            <w:vAlign w:val="bottom"/>
          </w:tcPr>
          <w:p>
            <w:pPr>
              <w:spacing w:after="0"/>
              <w:rPr>
                <w:sz w:val="14"/>
                <w:szCs w:val="14"/>
                <w:color w:val="auto"/>
              </w:rPr>
            </w:pP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2.35</w:t>
            </w:r>
          </w:p>
        </w:tc>
        <w:tc>
          <w:tcPr>
            <w:tcW w:w="5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2.44</w:t>
            </w:r>
          </w:p>
        </w:tc>
        <w:tc>
          <w:tcPr>
            <w:tcW w:w="0" w:type="dxa"/>
            <w:vAlign w:val="bottom"/>
          </w:tcPr>
          <w:p>
            <w:pPr>
              <w:spacing w:after="0"/>
              <w:rPr>
                <w:sz w:val="1"/>
                <w:szCs w:val="1"/>
                <w:color w:val="auto"/>
              </w:rPr>
            </w:pP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Consolidated Net Yield on Interest-Earning Assets (b)</w:t>
            </w:r>
          </w:p>
        </w:tc>
        <w:tc>
          <w:tcPr>
            <w:tcW w:w="280" w:type="dxa"/>
            <w:vAlign w:val="bottom"/>
          </w:tcPr>
          <w:p>
            <w:pPr>
              <w:spacing w:after="0"/>
              <w:rPr>
                <w:sz w:val="14"/>
                <w:szCs w:val="14"/>
                <w:color w:val="auto"/>
              </w:rPr>
            </w:pPr>
          </w:p>
        </w:tc>
        <w:tc>
          <w:tcPr>
            <w:tcW w:w="12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3.18</w:t>
            </w:r>
          </w:p>
        </w:tc>
        <w:tc>
          <w:tcPr>
            <w:tcW w:w="70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3.39</w:t>
            </w:r>
          </w:p>
        </w:tc>
        <w:tc>
          <w:tcPr>
            <w:tcW w:w="700" w:type="dxa"/>
            <w:vAlign w:val="bottom"/>
          </w:tcPr>
          <w:p>
            <w:pPr>
              <w:spacing w:after="0"/>
              <w:rPr>
                <w:sz w:val="14"/>
                <w:szCs w:val="14"/>
                <w:color w:val="auto"/>
              </w:rPr>
            </w:pP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3.31</w:t>
            </w:r>
          </w:p>
        </w:tc>
        <w:tc>
          <w:tcPr>
            <w:tcW w:w="5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3.44</w:t>
            </w:r>
          </w:p>
        </w:tc>
        <w:tc>
          <w:tcPr>
            <w:tcW w:w="0" w:type="dxa"/>
            <w:vAlign w:val="bottom"/>
          </w:tcPr>
          <w:p>
            <w:pPr>
              <w:spacing w:after="0"/>
              <w:rPr>
                <w:sz w:val="1"/>
                <w:szCs w:val="1"/>
                <w:color w:val="auto"/>
              </w:rPr>
            </w:pP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Net Yield on Interest-Earning Assets</w:t>
            </w:r>
          </w:p>
        </w:tc>
        <w:tc>
          <w:tcPr>
            <w:tcW w:w="280" w:type="dxa"/>
            <w:vAlign w:val="bottom"/>
          </w:tcPr>
          <w:p>
            <w:pPr>
              <w:spacing w:after="0"/>
              <w:rPr>
                <w:sz w:val="14"/>
                <w:szCs w:val="14"/>
                <w:color w:val="auto"/>
              </w:rPr>
            </w:pPr>
          </w:p>
        </w:tc>
        <w:tc>
          <w:tcPr>
            <w:tcW w:w="122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3.38</w:t>
            </w:r>
          </w:p>
        </w:tc>
        <w:tc>
          <w:tcPr>
            <w:tcW w:w="700" w:type="dxa"/>
            <w:vAlign w:val="bottom"/>
          </w:tcPr>
          <w:p>
            <w:pPr>
              <w:spacing w:after="0"/>
              <w:rPr>
                <w:sz w:val="14"/>
                <w:szCs w:val="14"/>
                <w:color w:val="auto"/>
              </w:rPr>
            </w:pPr>
          </w:p>
        </w:tc>
        <w:tc>
          <w:tcPr>
            <w:tcW w:w="122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3.47</w:t>
            </w:r>
          </w:p>
        </w:tc>
        <w:tc>
          <w:tcPr>
            <w:tcW w:w="700" w:type="dxa"/>
            <w:vAlign w:val="bottom"/>
          </w:tcPr>
          <w:p>
            <w:pPr>
              <w:spacing w:after="0"/>
              <w:rPr>
                <w:sz w:val="14"/>
                <w:szCs w:val="14"/>
                <w:color w:val="auto"/>
              </w:rPr>
            </w:pPr>
          </w:p>
        </w:tc>
        <w:tc>
          <w:tcPr>
            <w:tcW w:w="122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3.45</w:t>
            </w:r>
          </w:p>
        </w:tc>
        <w:tc>
          <w:tcPr>
            <w:tcW w:w="580" w:type="dxa"/>
            <w:vAlign w:val="bottom"/>
          </w:tcPr>
          <w:p>
            <w:pPr>
              <w:spacing w:after="0"/>
              <w:rPr>
                <w:sz w:val="14"/>
                <w:szCs w:val="14"/>
                <w:color w:val="auto"/>
              </w:rPr>
            </w:pPr>
          </w:p>
        </w:tc>
        <w:tc>
          <w:tcPr>
            <w:tcW w:w="8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3.50</w:t>
            </w:r>
          </w:p>
        </w:tc>
        <w:tc>
          <w:tcPr>
            <w:tcW w:w="0" w:type="dxa"/>
            <w:vAlign w:val="bottom"/>
          </w:tcPr>
          <w:p>
            <w:pPr>
              <w:spacing w:after="0"/>
              <w:rPr>
                <w:sz w:val="1"/>
                <w:szCs w:val="1"/>
                <w:color w:val="auto"/>
              </w:rPr>
            </w:pPr>
          </w:p>
        </w:tc>
      </w:tr>
      <w:tr>
        <w:trPr>
          <w:trHeight w:val="245"/>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Managed Basis (a)(b)</w:t>
            </w:r>
          </w:p>
        </w:tc>
        <w:tc>
          <w:tcPr>
            <w:tcW w:w="28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7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7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360" w:right="4460" w:hanging="350"/>
        <w:spacing w:after="0" w:line="246" w:lineRule="auto"/>
        <w:tabs>
          <w:tab w:leader="none" w:pos="3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Managed basis excludes the impact of credit card securitizations and, in the first six months of 1996, $54 million of interest related to Federal and State tax audit settlements. See pages 33-34 for further discussion of credit card securitizations.</w:t>
      </w:r>
    </w:p>
    <w:p>
      <w:pPr>
        <w:spacing w:after="0" w:line="2" w:lineRule="exact"/>
        <w:rPr>
          <w:rFonts w:ascii="Courier New" w:cs="Courier New" w:eastAsia="Courier New" w:hAnsi="Courier New"/>
          <w:sz w:val="15"/>
          <w:szCs w:val="15"/>
          <w:color w:val="auto"/>
        </w:rPr>
      </w:pPr>
    </w:p>
    <w:p>
      <w:pPr>
        <w:ind w:left="360" w:right="4460" w:hanging="350"/>
        <w:spacing w:after="0" w:line="300" w:lineRule="auto"/>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Reflected on a taxable equivalent basis in order to permit comparison of yields on tax-exempt and taxable assets. For net interest income on a taxable equivalent basis, see the Average Balance Sheets on pages 45 and 46.</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gridSpan w:val="4"/>
          </w:tcPr>
          <w:p>
            <w:pPr>
              <w:spacing w:after="0"/>
              <w:rPr>
                <w:sz w:val="20"/>
                <w:szCs w:val="20"/>
                <w:color w:val="auto"/>
              </w:rPr>
            </w:pPr>
            <w:r>
              <w:rPr>
                <w:rFonts w:ascii="Courier New" w:cs="Courier New" w:eastAsia="Courier New" w:hAnsi="Courier New"/>
                <w:sz w:val="15"/>
                <w:szCs w:val="15"/>
                <w:color w:val="auto"/>
                <w:w w:val="98"/>
              </w:rPr>
              <w:t>Reported net interest  income for</w:t>
            </w:r>
          </w:p>
        </w:tc>
        <w:tc>
          <w:tcPr>
            <w:tcW w:w="336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9"/>
              </w:rPr>
              <w:t>the second quarter of 1996 was $2,023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million,</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relatively</w:t>
            </w:r>
          </w:p>
        </w:tc>
        <w:tc>
          <w:tcPr>
            <w:tcW w:w="298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w w:val="96"/>
              </w:rPr>
              <w:t>stable when compared with $2,028</w:t>
            </w:r>
          </w:p>
        </w:tc>
        <w:tc>
          <w:tcPr>
            <w:tcW w:w="1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million for</w:t>
            </w:r>
          </w:p>
        </w:tc>
        <w:tc>
          <w:tcPr>
            <w:tcW w:w="19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7"/>
              </w:rPr>
              <w:t>the second  quarter of</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1995. For</w:t>
            </w:r>
          </w:p>
        </w:tc>
        <w:tc>
          <w:tcPr>
            <w:tcW w:w="612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w w:val="96"/>
              </w:rPr>
              <w:t>the first six months of 1996,  reported net interest income was $4,189</w:t>
            </w:r>
          </w:p>
        </w:tc>
      </w:tr>
      <w:tr>
        <w:trPr>
          <w:trHeight w:val="168"/>
        </w:trPr>
        <w:tc>
          <w:tcPr>
            <w:tcW w:w="3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million (including $54 million of interest</w:t>
            </w:r>
          </w:p>
        </w:tc>
        <w:tc>
          <w:tcPr>
            <w:tcW w:w="24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6"/>
              </w:rPr>
              <w:t>related to Federal and State</w:t>
            </w:r>
          </w:p>
        </w:tc>
        <w:tc>
          <w:tcPr>
            <w:tcW w:w="700" w:type="dxa"/>
            <w:vAlign w:val="bottom"/>
          </w:tcPr>
          <w:p>
            <w:pPr>
              <w:spacing w:after="0"/>
              <w:rPr>
                <w:sz w:val="14"/>
                <w:szCs w:val="14"/>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tax audit</w:t>
            </w: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settlements),</w:t>
            </w:r>
          </w:p>
        </w:tc>
        <w:tc>
          <w:tcPr>
            <w:tcW w:w="27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compared with $4,055 million in</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1995.</w:t>
            </w:r>
          </w:p>
        </w:tc>
        <w:tc>
          <w:tcPr>
            <w:tcW w:w="1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Excluding the</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impact of</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securitizations</w:t>
            </w:r>
          </w:p>
        </w:tc>
        <w:tc>
          <w:tcPr>
            <w:tcW w:w="27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and the tax audit settlements,</w:t>
            </w:r>
          </w:p>
        </w:tc>
        <w:tc>
          <w:tcPr>
            <w:tcW w:w="19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7"/>
              </w:rPr>
              <w:t>net interest income on</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a managed</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basis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increased</w:t>
            </w:r>
          </w:p>
        </w:tc>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$126</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million,</w:t>
            </w: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or 6%,  in the 1996</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quarter</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and $341 million,</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or 8%,</w:t>
            </w:r>
          </w:p>
        </w:tc>
        <w:tc>
          <w:tcPr>
            <w:tcW w:w="1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 the first six</w:t>
            </w:r>
          </w:p>
        </w:tc>
        <w:tc>
          <w:tcPr>
            <w:tcW w:w="31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months, reflecting consumer loan</w:t>
            </w:r>
          </w:p>
        </w:tc>
      </w:tr>
      <w:tr>
        <w:trPr>
          <w:trHeight w:val="245"/>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growth and</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higher levels</w:t>
            </w:r>
          </w:p>
        </w:tc>
        <w:tc>
          <w:tcPr>
            <w:tcW w:w="2760" w:type="dxa"/>
            <w:vAlign w:val="bottom"/>
            <w:gridSpan w:val="3"/>
          </w:tcPr>
          <w:p>
            <w:pPr>
              <w:spacing w:after="0"/>
              <w:rPr>
                <w:sz w:val="20"/>
                <w:szCs w:val="20"/>
                <w:color w:val="auto"/>
              </w:rPr>
            </w:pPr>
            <w:r>
              <w:rPr>
                <w:rFonts w:ascii="Courier New" w:cs="Courier New" w:eastAsia="Courier New" w:hAnsi="Courier New"/>
                <w:sz w:val="15"/>
                <w:szCs w:val="15"/>
                <w:color w:val="auto"/>
                <w:w w:val="98"/>
              </w:rPr>
              <w:t>of trading-related net interest</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income.</w:t>
            </w: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r>
    </w:tbl>
    <w:p>
      <w:pPr>
        <w:spacing w:after="0" w:line="91" w:lineRule="exact"/>
        <w:rPr>
          <w:sz w:val="20"/>
          <w:szCs w:val="20"/>
          <w:color w:val="auto"/>
        </w:rPr>
      </w:pPr>
    </w:p>
    <w:p>
      <w:pPr>
        <w:ind w:right="4540"/>
        <w:spacing w:after="0" w:line="248" w:lineRule="auto"/>
        <w:rPr>
          <w:sz w:val="20"/>
          <w:szCs w:val="20"/>
          <w:color w:val="auto"/>
        </w:rPr>
      </w:pPr>
      <w:r>
        <w:rPr>
          <w:rFonts w:ascii="Courier New" w:cs="Courier New" w:eastAsia="Courier New" w:hAnsi="Courier New"/>
          <w:sz w:val="15"/>
          <w:szCs w:val="15"/>
          <w:color w:val="auto"/>
        </w:rPr>
        <w:t>The net yield on interest-earning assets, which is the average rate for interest-earning assets less the average rate paid for all sources of funds, including the impact of interest-free funds, was 3.18% for the 1996 second quarter, compared with 3.39% for the 1995 second quarter. For the first six months, the net yield was 3.31% in 1996, versus 3.44% in 1995. The decline in both 1996 periods was due to the securitization of credit card receivables and an increase in lower-yielding securities and trading assets. Excluding the impact of credit card securitizations and the tax audit settlements, the net yield declined 9 basis points in the 1996 second quarter compared with the prior-year period, and declined 5 basis points the first six months of 1996 compared with the same prior-year period.</w:t>
      </w:r>
    </w:p>
    <w:p>
      <w:pPr>
        <w:spacing w:after="0" w:line="8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1460"/>
          </w:cols>
          <w:pgMar w:left="220" w:top="598" w:right="219" w:bottom="1440" w:gutter="0" w:footer="0" w:header="0"/>
        </w:sectPr>
      </w:pPr>
    </w:p>
    <w:bookmarkStart w:id="18" w:name="page19"/>
    <w:bookmarkEnd w:id="18"/>
    <w:p>
      <w:pPr>
        <w:ind w:right="4380"/>
        <w:spacing w:after="0" w:line="344" w:lineRule="auto"/>
        <w:rPr>
          <w:sz w:val="20"/>
          <w:szCs w:val="20"/>
          <w:color w:val="auto"/>
        </w:rPr>
      </w:pPr>
      <w:r>
        <w:rPr>
          <w:rFonts w:ascii="Courier New" w:cs="Courier New" w:eastAsia="Courier New" w:hAnsi="Courier New"/>
          <w:sz w:val="15"/>
          <w:szCs w:val="15"/>
          <w:color w:val="auto"/>
        </w:rPr>
        <w:t>The following table reflects the composition of interest-earning assets as a percentage of total earning assets for the periods indicated.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80" w:type="dxa"/>
            <w:vAlign w:val="bottom"/>
          </w:tcPr>
          <w:p>
            <w:pPr>
              <w:spacing w:after="0"/>
              <w:rPr>
                <w:sz w:val="20"/>
                <w:szCs w:val="20"/>
                <w:color w:val="auto"/>
              </w:rPr>
            </w:pPr>
            <w:r>
              <w:rPr>
                <w:rFonts w:ascii="Courier New" w:cs="Courier New" w:eastAsia="Courier New" w:hAnsi="Courier New"/>
                <w:sz w:val="15"/>
                <w:szCs w:val="15"/>
                <w:color w:val="auto"/>
              </w:rPr>
              <w:t>Average Interest-Earning Asset Mix</w:t>
            </w:r>
          </w:p>
        </w:tc>
        <w:tc>
          <w:tcPr>
            <w:tcW w:w="1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Second Quarter</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43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4380" w:type="dxa"/>
            <w:vAlign w:val="bottom"/>
            <w:vMerge w:val="restart"/>
          </w:tcPr>
          <w:p>
            <w:pPr>
              <w:spacing w:after="0"/>
              <w:rPr>
                <w:sz w:val="20"/>
                <w:szCs w:val="20"/>
                <w:color w:val="auto"/>
              </w:rPr>
            </w:pPr>
            <w:r>
              <w:rPr>
                <w:rFonts w:ascii="Courier New" w:cs="Courier New" w:eastAsia="Courier New" w:hAnsi="Courier New"/>
                <w:sz w:val="15"/>
                <w:szCs w:val="15"/>
                <w:color w:val="auto"/>
              </w:rPr>
              <w:t>(in billions)</w:t>
            </w:r>
          </w:p>
        </w:tc>
        <w:tc>
          <w:tcPr>
            <w:tcW w:w="1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vMerge w:val="restart"/>
          </w:tcPr>
          <w:p>
            <w:pPr>
              <w:jc w:val="right"/>
              <w:ind w:right="807"/>
              <w:spacing w:after="0"/>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168"/>
        </w:trPr>
        <w:tc>
          <w:tcPr>
            <w:tcW w:w="43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0" w:type="dxa"/>
            <w:vAlign w:val="bottom"/>
          </w:tcPr>
          <w:p>
            <w:pPr>
              <w:jc w:val="right"/>
              <w:ind w:right="1847"/>
              <w:spacing w:after="0" w:line="168" w:lineRule="exact"/>
              <w:rPr>
                <w:sz w:val="20"/>
                <w:szCs w:val="20"/>
                <w:color w:val="auto"/>
              </w:rPr>
            </w:pPr>
            <w:r>
              <w:rPr>
                <w:rFonts w:ascii="Courier New" w:cs="Courier New" w:eastAsia="Courier New" w:hAnsi="Courier New"/>
                <w:sz w:val="15"/>
                <w:szCs w:val="15"/>
                <w:color w:val="auto"/>
              </w:rPr>
              <w:t>1996</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4720" w:type="dxa"/>
            <w:vAlign w:val="bottom"/>
            <w:gridSpan w:val="3"/>
          </w:tcPr>
          <w:p>
            <w:pPr>
              <w:ind w:left="1400"/>
              <w:spacing w:after="0"/>
              <w:rPr>
                <w:sz w:val="20"/>
                <w:szCs w:val="20"/>
                <w:color w:val="auto"/>
              </w:rPr>
            </w:pPr>
            <w:r>
              <w:rPr>
                <w:rFonts w:ascii="Courier New" w:cs="Courier New" w:eastAsia="Courier New" w:hAnsi="Courier New"/>
                <w:sz w:val="15"/>
                <w:szCs w:val="15"/>
                <w:color w:val="auto"/>
              </w:rPr>
              <w:t>---------------------------</w:t>
            </w:r>
          </w:p>
        </w:tc>
        <w:tc>
          <w:tcPr>
            <w:tcW w:w="220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59"/>
        </w:trPr>
        <w:tc>
          <w:tcPr>
            <w:tcW w:w="4380" w:type="dxa"/>
            <w:vAlign w:val="bottom"/>
          </w:tcPr>
          <w:p>
            <w:pPr>
              <w:spacing w:after="0"/>
              <w:rPr>
                <w:sz w:val="20"/>
                <w:szCs w:val="20"/>
                <w:color w:val="auto"/>
              </w:rPr>
            </w:pPr>
            <w:r>
              <w:rPr>
                <w:rFonts w:ascii="Courier New" w:cs="Courier New" w:eastAsia="Courier New" w:hAnsi="Courier New"/>
                <w:sz w:val="15"/>
                <w:szCs w:val="15"/>
                <w:color w:val="auto"/>
              </w:rPr>
              <w:t>Consumer Loans</w:t>
            </w:r>
          </w:p>
        </w:tc>
        <w:tc>
          <w:tcPr>
            <w:tcW w:w="1620" w:type="dxa"/>
            <w:vAlign w:val="bottom"/>
          </w:tcPr>
          <w:p>
            <w:pPr>
              <w:ind w:left="140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73.2</w:t>
            </w:r>
          </w:p>
        </w:tc>
        <w:tc>
          <w:tcPr>
            <w:tcW w:w="24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29%</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69.7</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Loans</w:t>
            </w:r>
          </w:p>
        </w:tc>
        <w:tc>
          <w:tcPr>
            <w:tcW w:w="162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77.4</w:t>
            </w:r>
          </w:p>
        </w:tc>
        <w:tc>
          <w:tcPr>
            <w:tcW w:w="24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30</w:t>
            </w:r>
          </w:p>
        </w:tc>
        <w:tc>
          <w:tcPr>
            <w:tcW w:w="1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77.1</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w:t>
            </w:r>
          </w:p>
        </w:tc>
        <w:tc>
          <w:tcPr>
            <w:tcW w:w="0" w:type="dxa"/>
            <w:vAlign w:val="bottom"/>
          </w:tcPr>
          <w:p>
            <w:pPr>
              <w:spacing w:after="0"/>
              <w:rPr>
                <w:sz w:val="1"/>
                <w:szCs w:val="1"/>
                <w:color w:val="auto"/>
              </w:rPr>
            </w:pPr>
          </w:p>
        </w:tc>
      </w:tr>
      <w:tr>
        <w:trPr>
          <w:trHeight w:val="168"/>
        </w:trPr>
        <w:tc>
          <w:tcPr>
            <w:tcW w:w="43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Loans</w:t>
            </w:r>
          </w:p>
        </w:tc>
        <w:tc>
          <w:tcPr>
            <w:tcW w:w="2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4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150.6</w:t>
            </w:r>
          </w:p>
        </w:tc>
        <w:tc>
          <w:tcPr>
            <w:tcW w:w="24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59</w:t>
            </w:r>
          </w:p>
        </w:tc>
        <w:tc>
          <w:tcPr>
            <w:tcW w:w="1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146.8</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w:t>
            </w: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w:t>
            </w:r>
          </w:p>
        </w:tc>
        <w:tc>
          <w:tcPr>
            <w:tcW w:w="162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42.5</w:t>
            </w:r>
          </w:p>
        </w:tc>
        <w:tc>
          <w:tcPr>
            <w:tcW w:w="24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17</w:t>
            </w:r>
          </w:p>
        </w:tc>
        <w:tc>
          <w:tcPr>
            <w:tcW w:w="1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34.7</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Liquid Interest-Earning Assets</w:t>
            </w:r>
          </w:p>
        </w:tc>
        <w:tc>
          <w:tcPr>
            <w:tcW w:w="162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64.0</w:t>
            </w:r>
          </w:p>
        </w:tc>
        <w:tc>
          <w:tcPr>
            <w:tcW w:w="24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24</w:t>
            </w:r>
          </w:p>
        </w:tc>
        <w:tc>
          <w:tcPr>
            <w:tcW w:w="1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59.3</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168"/>
        </w:trPr>
        <w:tc>
          <w:tcPr>
            <w:tcW w:w="4380" w:type="dxa"/>
            <w:vAlign w:val="bottom"/>
            <w:vMerge w:val="restart"/>
          </w:tcPr>
          <w:p>
            <w:pPr>
              <w:spacing w:after="0"/>
              <w:rPr>
                <w:sz w:val="20"/>
                <w:szCs w:val="20"/>
                <w:color w:val="auto"/>
              </w:rPr>
            </w:pPr>
            <w:r>
              <w:rPr>
                <w:rFonts w:ascii="Courier New" w:cs="Courier New" w:eastAsia="Courier New" w:hAnsi="Courier New"/>
                <w:sz w:val="15"/>
                <w:szCs w:val="15"/>
                <w:color w:val="auto"/>
              </w:rPr>
              <w:t>Total Interest-Earning Assets</w:t>
            </w:r>
          </w:p>
        </w:tc>
        <w:tc>
          <w:tcPr>
            <w:tcW w:w="2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4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80" w:type="dxa"/>
            <w:vAlign w:val="bottom"/>
            <w:vMerge w:val="continue"/>
          </w:tcPr>
          <w:p>
            <w:pPr>
              <w:spacing w:after="0"/>
              <w:rPr>
                <w:sz w:val="14"/>
                <w:szCs w:val="14"/>
                <w:color w:val="auto"/>
              </w:rPr>
            </w:pPr>
          </w:p>
        </w:tc>
        <w:tc>
          <w:tcPr>
            <w:tcW w:w="162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257.1</w:t>
            </w:r>
          </w:p>
        </w:tc>
        <w:tc>
          <w:tcPr>
            <w:tcW w:w="24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100%</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240.8</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2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40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3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Six Months</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380" w:type="dxa"/>
            <w:vAlign w:val="bottom"/>
            <w:vMerge w:val="restart"/>
          </w:tcPr>
          <w:p>
            <w:pPr>
              <w:spacing w:after="0"/>
              <w:rPr>
                <w:sz w:val="20"/>
                <w:szCs w:val="20"/>
                <w:color w:val="auto"/>
              </w:rPr>
            </w:pPr>
            <w:r>
              <w:rPr>
                <w:rFonts w:ascii="Courier New" w:cs="Courier New" w:eastAsia="Courier New" w:hAnsi="Courier New"/>
                <w:sz w:val="15"/>
                <w:szCs w:val="15"/>
                <w:color w:val="auto"/>
              </w:rPr>
              <w:t>(in billions)</w:t>
            </w:r>
          </w:p>
        </w:tc>
        <w:tc>
          <w:tcPr>
            <w:tcW w:w="1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vMerge w:val="restart"/>
          </w:tcPr>
          <w:p>
            <w:pPr>
              <w:jc w:val="right"/>
              <w:ind w:right="807"/>
              <w:spacing w:after="0"/>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168"/>
        </w:trPr>
        <w:tc>
          <w:tcPr>
            <w:tcW w:w="43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0" w:type="dxa"/>
            <w:vAlign w:val="bottom"/>
          </w:tcPr>
          <w:p>
            <w:pPr>
              <w:jc w:val="right"/>
              <w:ind w:right="1847"/>
              <w:spacing w:after="0" w:line="168" w:lineRule="exact"/>
              <w:rPr>
                <w:sz w:val="20"/>
                <w:szCs w:val="20"/>
                <w:color w:val="auto"/>
              </w:rPr>
            </w:pPr>
            <w:r>
              <w:rPr>
                <w:rFonts w:ascii="Courier New" w:cs="Courier New" w:eastAsia="Courier New" w:hAnsi="Courier New"/>
                <w:sz w:val="15"/>
                <w:szCs w:val="15"/>
                <w:color w:val="auto"/>
              </w:rPr>
              <w:t>1996</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4720" w:type="dxa"/>
            <w:vAlign w:val="bottom"/>
            <w:gridSpan w:val="3"/>
          </w:tcPr>
          <w:p>
            <w:pPr>
              <w:ind w:left="1400"/>
              <w:spacing w:after="0"/>
              <w:rPr>
                <w:sz w:val="20"/>
                <w:szCs w:val="20"/>
                <w:color w:val="auto"/>
              </w:rPr>
            </w:pPr>
            <w:r>
              <w:rPr>
                <w:rFonts w:ascii="Courier New" w:cs="Courier New" w:eastAsia="Courier New" w:hAnsi="Courier New"/>
                <w:sz w:val="15"/>
                <w:szCs w:val="15"/>
                <w:color w:val="auto"/>
              </w:rPr>
              <w:t>---------------------------</w:t>
            </w:r>
          </w:p>
        </w:tc>
        <w:tc>
          <w:tcPr>
            <w:tcW w:w="220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59"/>
        </w:trPr>
        <w:tc>
          <w:tcPr>
            <w:tcW w:w="4380" w:type="dxa"/>
            <w:vAlign w:val="bottom"/>
          </w:tcPr>
          <w:p>
            <w:pPr>
              <w:spacing w:after="0"/>
              <w:rPr>
                <w:sz w:val="20"/>
                <w:szCs w:val="20"/>
                <w:color w:val="auto"/>
              </w:rPr>
            </w:pPr>
            <w:r>
              <w:rPr>
                <w:rFonts w:ascii="Courier New" w:cs="Courier New" w:eastAsia="Courier New" w:hAnsi="Courier New"/>
                <w:sz w:val="15"/>
                <w:szCs w:val="15"/>
                <w:color w:val="auto"/>
              </w:rPr>
              <w:t>Consumer Loans</w:t>
            </w:r>
          </w:p>
        </w:tc>
        <w:tc>
          <w:tcPr>
            <w:tcW w:w="1620" w:type="dxa"/>
            <w:vAlign w:val="bottom"/>
          </w:tcPr>
          <w:p>
            <w:pPr>
              <w:ind w:left="140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72.8</w:t>
            </w:r>
          </w:p>
        </w:tc>
        <w:tc>
          <w:tcPr>
            <w:tcW w:w="24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29%</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68.1</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Loans</w:t>
            </w:r>
          </w:p>
        </w:tc>
        <w:tc>
          <w:tcPr>
            <w:tcW w:w="162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77.3</w:t>
            </w:r>
          </w:p>
        </w:tc>
        <w:tc>
          <w:tcPr>
            <w:tcW w:w="24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30</w:t>
            </w:r>
          </w:p>
        </w:tc>
        <w:tc>
          <w:tcPr>
            <w:tcW w:w="1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75.9</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w:t>
            </w:r>
          </w:p>
        </w:tc>
        <w:tc>
          <w:tcPr>
            <w:tcW w:w="0" w:type="dxa"/>
            <w:vAlign w:val="bottom"/>
          </w:tcPr>
          <w:p>
            <w:pPr>
              <w:spacing w:after="0"/>
              <w:rPr>
                <w:sz w:val="1"/>
                <w:szCs w:val="1"/>
                <w:color w:val="auto"/>
              </w:rPr>
            </w:pPr>
          </w:p>
        </w:tc>
      </w:tr>
      <w:tr>
        <w:trPr>
          <w:trHeight w:val="168"/>
        </w:trPr>
        <w:tc>
          <w:tcPr>
            <w:tcW w:w="43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Loans</w:t>
            </w:r>
          </w:p>
        </w:tc>
        <w:tc>
          <w:tcPr>
            <w:tcW w:w="2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4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150.1</w:t>
            </w:r>
          </w:p>
        </w:tc>
        <w:tc>
          <w:tcPr>
            <w:tcW w:w="24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59</w:t>
            </w:r>
          </w:p>
        </w:tc>
        <w:tc>
          <w:tcPr>
            <w:tcW w:w="1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144.0</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w:t>
            </w: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w:t>
            </w:r>
          </w:p>
        </w:tc>
        <w:tc>
          <w:tcPr>
            <w:tcW w:w="162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42.6</w:t>
            </w:r>
          </w:p>
        </w:tc>
        <w:tc>
          <w:tcPr>
            <w:tcW w:w="24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17</w:t>
            </w:r>
          </w:p>
        </w:tc>
        <w:tc>
          <w:tcPr>
            <w:tcW w:w="1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34.6</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Liquid Interest-Earning Assets</w:t>
            </w:r>
          </w:p>
        </w:tc>
        <w:tc>
          <w:tcPr>
            <w:tcW w:w="162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63.2</w:t>
            </w:r>
          </w:p>
        </w:tc>
        <w:tc>
          <w:tcPr>
            <w:tcW w:w="24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24</w:t>
            </w:r>
          </w:p>
        </w:tc>
        <w:tc>
          <w:tcPr>
            <w:tcW w:w="1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60.8</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w:t>
            </w:r>
          </w:p>
        </w:tc>
        <w:tc>
          <w:tcPr>
            <w:tcW w:w="0" w:type="dxa"/>
            <w:vAlign w:val="bottom"/>
          </w:tcPr>
          <w:p>
            <w:pPr>
              <w:spacing w:after="0"/>
              <w:rPr>
                <w:sz w:val="1"/>
                <w:szCs w:val="1"/>
                <w:color w:val="auto"/>
              </w:rPr>
            </w:pPr>
          </w:p>
        </w:tc>
      </w:tr>
      <w:tr>
        <w:trPr>
          <w:trHeight w:val="168"/>
        </w:trPr>
        <w:tc>
          <w:tcPr>
            <w:tcW w:w="4380" w:type="dxa"/>
            <w:vAlign w:val="bottom"/>
            <w:vMerge w:val="restart"/>
          </w:tcPr>
          <w:p>
            <w:pPr>
              <w:spacing w:after="0"/>
              <w:rPr>
                <w:sz w:val="20"/>
                <w:szCs w:val="20"/>
                <w:color w:val="auto"/>
              </w:rPr>
            </w:pPr>
            <w:r>
              <w:rPr>
                <w:rFonts w:ascii="Courier New" w:cs="Courier New" w:eastAsia="Courier New" w:hAnsi="Courier New"/>
                <w:sz w:val="15"/>
                <w:szCs w:val="15"/>
                <w:color w:val="auto"/>
              </w:rPr>
              <w:t>Total Interest-Earning Assets</w:t>
            </w:r>
          </w:p>
        </w:tc>
        <w:tc>
          <w:tcPr>
            <w:tcW w:w="2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4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80" w:type="dxa"/>
            <w:vAlign w:val="bottom"/>
            <w:vMerge w:val="continue"/>
          </w:tcPr>
          <w:p>
            <w:pPr>
              <w:spacing w:after="0"/>
              <w:rPr>
                <w:sz w:val="14"/>
                <w:szCs w:val="14"/>
                <w:color w:val="auto"/>
              </w:rPr>
            </w:pPr>
          </w:p>
        </w:tc>
        <w:tc>
          <w:tcPr>
            <w:tcW w:w="162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255.9</w:t>
            </w:r>
          </w:p>
        </w:tc>
        <w:tc>
          <w:tcPr>
            <w:tcW w:w="24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100%</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239.4</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2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40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right="4300"/>
        <w:spacing w:after="0" w:line="267" w:lineRule="auto"/>
        <w:rPr>
          <w:sz w:val="20"/>
          <w:szCs w:val="20"/>
          <w:color w:val="auto"/>
        </w:rPr>
      </w:pPr>
      <w:r>
        <w:rPr>
          <w:rFonts w:ascii="Courier New" w:cs="Courier New" w:eastAsia="Courier New" w:hAnsi="Courier New"/>
          <w:sz w:val="14"/>
          <w:szCs w:val="14"/>
          <w:color w:val="auto"/>
        </w:rPr>
        <w:t>Average interest-earning assets increased during both 1996 periods, when compared with the respective 1995 periods, principally as a result of an increase in the available-for-sale securities portfolio, more liquid interest-</w:t>
      </w:r>
    </w:p>
    <w:tbl>
      <w:tblPr>
        <w:tblLayout w:type="fixed"/>
        <w:tblInd w:w="0" w:type="dxa"/>
        <w:tblCellMar>
          <w:top w:w="0" w:type="dxa"/>
          <w:left w:w="0" w:type="dxa"/>
          <w:bottom w:w="0" w:type="dxa"/>
          <w:right w:w="0" w:type="dxa"/>
        </w:tblCellMar>
      </w:tblPr>
      <w:tr>
        <w:trPr>
          <w:trHeight w:val="143"/>
        </w:trPr>
        <w:tc>
          <w:tcPr>
            <w:tcW w:w="2280" w:type="dxa"/>
            <w:vAlign w:val="bottom"/>
            <w:gridSpan w:val="4"/>
          </w:tcPr>
          <w:p>
            <w:pPr>
              <w:spacing w:after="0" w:line="144" w:lineRule="exact"/>
              <w:rPr>
                <w:sz w:val="20"/>
                <w:szCs w:val="20"/>
                <w:color w:val="auto"/>
              </w:rPr>
            </w:pPr>
            <w:r>
              <w:rPr>
                <w:rFonts w:ascii="Courier New" w:cs="Courier New" w:eastAsia="Courier New" w:hAnsi="Courier New"/>
                <w:sz w:val="15"/>
                <w:szCs w:val="15"/>
                <w:color w:val="auto"/>
              </w:rPr>
              <w:t>earning assets (primarily</w:t>
            </w:r>
          </w:p>
        </w:tc>
        <w:tc>
          <w:tcPr>
            <w:tcW w:w="3420" w:type="dxa"/>
            <w:vAlign w:val="bottom"/>
            <w:gridSpan w:val="5"/>
          </w:tcPr>
          <w:p>
            <w:pPr>
              <w:ind w:left="100"/>
              <w:spacing w:after="0" w:line="144" w:lineRule="exact"/>
              <w:rPr>
                <w:sz w:val="20"/>
                <w:szCs w:val="20"/>
                <w:color w:val="auto"/>
              </w:rPr>
            </w:pPr>
            <w:r>
              <w:rPr>
                <w:rFonts w:ascii="Courier New" w:cs="Courier New" w:eastAsia="Courier New" w:hAnsi="Courier New"/>
                <w:sz w:val="15"/>
                <w:szCs w:val="15"/>
                <w:color w:val="auto"/>
                <w:w w:val="99"/>
              </w:rPr>
              <w:t>trading assets) and a higher level of</w:t>
            </w:r>
          </w:p>
        </w:tc>
        <w:tc>
          <w:tcPr>
            <w:tcW w:w="780" w:type="dxa"/>
            <w:vAlign w:val="bottom"/>
          </w:tcPr>
          <w:p>
            <w:pPr>
              <w:spacing w:after="0" w:line="144" w:lineRule="exact"/>
              <w:rPr>
                <w:sz w:val="20"/>
                <w:szCs w:val="20"/>
                <w:color w:val="auto"/>
              </w:rPr>
            </w:pPr>
            <w:r>
              <w:rPr>
                <w:rFonts w:ascii="Courier New" w:cs="Courier New" w:eastAsia="Courier New" w:hAnsi="Courier New"/>
                <w:sz w:val="15"/>
                <w:szCs w:val="15"/>
                <w:color w:val="auto"/>
              </w:rPr>
              <w:t>consumer</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2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lending.  The Corporation</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increased  its</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securities</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portfolio</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by $7.8</w:t>
            </w:r>
          </w:p>
        </w:tc>
        <w:tc>
          <w:tcPr>
            <w:tcW w:w="5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six</w:t>
            </w:r>
          </w:p>
        </w:tc>
        <w:tc>
          <w:tcPr>
            <w:tcW w:w="0" w:type="dxa"/>
            <w:vAlign w:val="bottom"/>
          </w:tcPr>
          <w:p>
            <w:pPr>
              <w:spacing w:after="0"/>
              <w:rPr>
                <w:sz w:val="1"/>
                <w:szCs w:val="1"/>
                <w:color w:val="auto"/>
              </w:rPr>
            </w:pPr>
          </w:p>
        </w:tc>
      </w:tr>
      <w:tr>
        <w:trPr>
          <w:trHeight w:val="168"/>
        </w:trPr>
        <w:tc>
          <w:tcPr>
            <w:tcW w:w="17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billion in the 1996</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second</w:t>
            </w:r>
          </w:p>
        </w:tc>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quarter</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and</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$8.0</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billion</w:t>
            </w:r>
          </w:p>
        </w:tc>
        <w:tc>
          <w:tcPr>
            <w:tcW w:w="16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5"/>
              </w:rPr>
              <w:t>in the 1996 first</w:t>
            </w: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7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months,  as part of</w:t>
            </w:r>
          </w:p>
        </w:tc>
        <w:tc>
          <w:tcPr>
            <w:tcW w:w="394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8"/>
              </w:rPr>
              <w:t>its asset/liability management activities in</w:t>
            </w:r>
          </w:p>
        </w:tc>
        <w:tc>
          <w:tcPr>
            <w:tcW w:w="1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connection with</w:t>
            </w:r>
          </w:p>
        </w:tc>
        <w:tc>
          <w:tcPr>
            <w:tcW w:w="0" w:type="dxa"/>
            <w:vAlign w:val="bottom"/>
          </w:tcPr>
          <w:p>
            <w:pPr>
              <w:spacing w:after="0"/>
              <w:rPr>
                <w:sz w:val="1"/>
                <w:szCs w:val="1"/>
                <w:color w:val="auto"/>
              </w:rPr>
            </w:pPr>
          </w:p>
        </w:tc>
      </w:tr>
      <w:tr>
        <w:trPr>
          <w:trHeight w:val="168"/>
        </w:trPr>
        <w:tc>
          <w:tcPr>
            <w:tcW w:w="17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the merger of Chase</w:t>
            </w:r>
          </w:p>
        </w:tc>
        <w:tc>
          <w:tcPr>
            <w:tcW w:w="1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 Chemical.</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Additionally,</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the</w:t>
            </w:r>
          </w:p>
        </w:tc>
        <w:tc>
          <w:tcPr>
            <w:tcW w:w="21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Corporation's  average</w:t>
            </w:r>
          </w:p>
        </w:tc>
        <w:tc>
          <w:tcPr>
            <w:tcW w:w="0" w:type="dxa"/>
            <w:vAlign w:val="bottom"/>
          </w:tcPr>
          <w:p>
            <w:pPr>
              <w:spacing w:after="0"/>
              <w:rPr>
                <w:sz w:val="1"/>
                <w:szCs w:val="1"/>
                <w:color w:val="auto"/>
              </w:rPr>
            </w:pPr>
          </w:p>
        </w:tc>
      </w:tr>
      <w:tr>
        <w:trPr>
          <w:trHeight w:val="168"/>
        </w:trPr>
        <w:tc>
          <w:tcPr>
            <w:tcW w:w="22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total loans in the second</w:t>
            </w:r>
          </w:p>
        </w:tc>
        <w:tc>
          <w:tcPr>
            <w:tcW w:w="25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quarter and first six months</w:t>
            </w:r>
          </w:p>
        </w:tc>
        <w:tc>
          <w:tcPr>
            <w:tcW w:w="21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5"/>
              </w:rPr>
              <w:t>of 1996 increased by $3.8</w:t>
            </w:r>
          </w:p>
        </w:tc>
        <w:tc>
          <w:tcPr>
            <w:tcW w:w="0" w:type="dxa"/>
            <w:vAlign w:val="bottom"/>
          </w:tcPr>
          <w:p>
            <w:pPr>
              <w:spacing w:after="0"/>
              <w:rPr>
                <w:sz w:val="1"/>
                <w:szCs w:val="1"/>
                <w:color w:val="auto"/>
              </w:rPr>
            </w:pPr>
          </w:p>
        </w:tc>
      </w:tr>
      <w:tr>
        <w:trPr>
          <w:trHeight w:val="168"/>
        </w:trPr>
        <w:tc>
          <w:tcPr>
            <w:tcW w:w="22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billion and $6.1 billion,</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respectively,</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when  compared</w:t>
            </w:r>
          </w:p>
        </w:tc>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with the</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comparable</w:t>
            </w:r>
          </w:p>
        </w:tc>
        <w:tc>
          <w:tcPr>
            <w:tcW w:w="0" w:type="dxa"/>
            <w:vAlign w:val="bottom"/>
          </w:tcPr>
          <w:p>
            <w:pPr>
              <w:spacing w:after="0"/>
              <w:rPr>
                <w:sz w:val="1"/>
                <w:szCs w:val="1"/>
                <w:color w:val="auto"/>
              </w:rPr>
            </w:pPr>
          </w:p>
        </w:tc>
      </w:tr>
      <w:tr>
        <w:trPr>
          <w:trHeight w:val="168"/>
        </w:trPr>
        <w:tc>
          <w:tcPr>
            <w:tcW w:w="1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1995  periods.</w:t>
            </w: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The</w:t>
            </w:r>
          </w:p>
        </w:tc>
        <w:tc>
          <w:tcPr>
            <w:tcW w:w="306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increases reflected the continued</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growth in</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consumer</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loans</w:t>
            </w:r>
          </w:p>
        </w:tc>
        <w:tc>
          <w:tcPr>
            <w:tcW w:w="0" w:type="dxa"/>
            <w:vAlign w:val="bottom"/>
          </w:tcPr>
          <w:p>
            <w:pPr>
              <w:spacing w:after="0"/>
              <w:rPr>
                <w:sz w:val="1"/>
                <w:szCs w:val="1"/>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(despite the</w:t>
            </w:r>
          </w:p>
        </w:tc>
        <w:tc>
          <w:tcPr>
            <w:tcW w:w="6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impact</w:t>
            </w:r>
          </w:p>
        </w:tc>
        <w:tc>
          <w:tcPr>
            <w:tcW w:w="18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of a higher level of</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credit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card</w:t>
            </w:r>
          </w:p>
        </w:tc>
        <w:tc>
          <w:tcPr>
            <w:tcW w:w="16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securitizations)</w:t>
            </w: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and,</w:t>
            </w:r>
          </w:p>
        </w:tc>
        <w:tc>
          <w:tcPr>
            <w:tcW w:w="0" w:type="dxa"/>
            <w:vAlign w:val="bottom"/>
          </w:tcPr>
          <w:p>
            <w:pPr>
              <w:spacing w:after="0"/>
              <w:rPr>
                <w:sz w:val="1"/>
                <w:szCs w:val="1"/>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to a lesser</w:t>
            </w:r>
          </w:p>
        </w:tc>
        <w:tc>
          <w:tcPr>
            <w:tcW w:w="6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5"/>
              </w:rPr>
              <w:t>extent,</w:t>
            </w:r>
          </w:p>
        </w:tc>
        <w:tc>
          <w:tcPr>
            <w:tcW w:w="18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commercial lending,</w:t>
            </w:r>
          </w:p>
        </w:tc>
        <w:tc>
          <w:tcPr>
            <w:tcW w:w="3400" w:type="dxa"/>
            <w:vAlign w:val="bottom"/>
            <w:gridSpan w:val="5"/>
          </w:tcPr>
          <w:p>
            <w:pPr>
              <w:jc w:val="right"/>
              <w:ind w:right="187"/>
              <w:spacing w:after="0" w:line="168" w:lineRule="exact"/>
              <w:rPr>
                <w:sz w:val="20"/>
                <w:szCs w:val="20"/>
                <w:color w:val="auto"/>
              </w:rPr>
            </w:pPr>
            <w:r>
              <w:rPr>
                <w:rFonts w:ascii="Courier New" w:cs="Courier New" w:eastAsia="Courier New" w:hAnsi="Courier New"/>
                <w:sz w:val="15"/>
                <w:szCs w:val="15"/>
                <w:color w:val="auto"/>
              </w:rPr>
              <w:t>partially  offset by the continued</w:t>
            </w:r>
          </w:p>
        </w:tc>
        <w:tc>
          <w:tcPr>
            <w:tcW w:w="0" w:type="dxa"/>
            <w:vAlign w:val="bottom"/>
          </w:tcPr>
          <w:p>
            <w:pPr>
              <w:spacing w:after="0"/>
              <w:rPr>
                <w:sz w:val="1"/>
                <w:szCs w:val="1"/>
                <w:color w:val="auto"/>
              </w:rPr>
            </w:pPr>
          </w:p>
        </w:tc>
      </w:tr>
      <w:tr>
        <w:trPr>
          <w:trHeight w:val="245"/>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w w:val="95"/>
              </w:rPr>
              <w:t>reduction in the</w:t>
            </w:r>
          </w:p>
        </w:tc>
        <w:tc>
          <w:tcPr>
            <w:tcW w:w="3420" w:type="dxa"/>
            <w:vAlign w:val="bottom"/>
            <w:gridSpan w:val="6"/>
          </w:tcPr>
          <w:p>
            <w:pPr>
              <w:jc w:val="right"/>
              <w:ind w:right="187"/>
              <w:spacing w:after="0"/>
              <w:rPr>
                <w:sz w:val="20"/>
                <w:szCs w:val="20"/>
                <w:color w:val="auto"/>
              </w:rPr>
            </w:pPr>
            <w:r>
              <w:rPr>
                <w:rFonts w:ascii="Courier New" w:cs="Courier New" w:eastAsia="Courier New" w:hAnsi="Courier New"/>
                <w:sz w:val="15"/>
                <w:szCs w:val="15"/>
                <w:color w:val="auto"/>
              </w:rPr>
              <w:t>commercial  real estate portfolio.</w:t>
            </w:r>
          </w:p>
        </w:tc>
        <w:tc>
          <w:tcPr>
            <w:tcW w:w="8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right="4300"/>
        <w:spacing w:after="0" w:line="252" w:lineRule="auto"/>
        <w:rPr>
          <w:sz w:val="20"/>
          <w:szCs w:val="20"/>
          <w:color w:val="auto"/>
        </w:rPr>
      </w:pPr>
      <w:r>
        <w:rPr>
          <w:rFonts w:ascii="Courier New" w:cs="Courier New" w:eastAsia="Courier New" w:hAnsi="Courier New"/>
          <w:sz w:val="15"/>
          <w:szCs w:val="15"/>
          <w:color w:val="auto"/>
        </w:rPr>
        <w:t>The growth in interest-earning assets in the 1996 second quarter was funded by a $4.1 billion increase in interest-bearing liabilities. For the 1996 second quarter, average interest-bearing liabilities were $210.7 billion, compared with $206.6 billion in 1995 principally due to a higher level of Federal funds purchased and securities sold under repurchase agreements, partially offset by a decline in total interest-bearing deposits. The Corporation utilizes repurchase agreements as a source of short-term funding for trading-related positions and for its securities portfolio.</w:t>
      </w:r>
    </w:p>
    <w:p>
      <w:pPr>
        <w:spacing w:after="0" w:line="86" w:lineRule="exact"/>
        <w:rPr>
          <w:sz w:val="20"/>
          <w:szCs w:val="20"/>
          <w:color w:val="auto"/>
        </w:rPr>
      </w:pPr>
    </w:p>
    <w:p>
      <w:pPr>
        <w:ind w:right="4300"/>
        <w:spacing w:after="0" w:line="287" w:lineRule="auto"/>
        <w:rPr>
          <w:sz w:val="20"/>
          <w:szCs w:val="20"/>
          <w:color w:val="auto"/>
        </w:rPr>
      </w:pPr>
      <w:r>
        <w:rPr>
          <w:rFonts w:ascii="Courier New" w:cs="Courier New" w:eastAsia="Courier New" w:hAnsi="Courier New"/>
          <w:sz w:val="14"/>
          <w:szCs w:val="14"/>
          <w:color w:val="auto"/>
        </w:rPr>
        <w:t>The negative impact on net interest income from nonperforming loans in the second quarter of 1996 was $20 million, compared with $29 million in 1995. For the first six months, the negative impact was $49 million in 1996, compared with $60 million in 1995. The improvement in both 1996 periods reflects the continued reduction in the level of the Corporation's nonperforming loans.</w:t>
      </w:r>
    </w:p>
    <w:p>
      <w:pPr>
        <w:spacing w:after="0" w:line="61" w:lineRule="exact"/>
        <w:rPr>
          <w:sz w:val="20"/>
          <w:szCs w:val="20"/>
          <w:color w:val="auto"/>
        </w:rPr>
      </w:pPr>
    </w:p>
    <w:p>
      <w:pPr>
        <w:ind w:right="4560"/>
        <w:spacing w:after="0" w:line="290" w:lineRule="auto"/>
        <w:rPr>
          <w:sz w:val="20"/>
          <w:szCs w:val="20"/>
          <w:color w:val="auto"/>
        </w:rPr>
      </w:pPr>
      <w:r>
        <w:rPr>
          <w:rFonts w:ascii="Courier New" w:cs="Courier New" w:eastAsia="Courier New" w:hAnsi="Courier New"/>
          <w:sz w:val="15"/>
          <w:szCs w:val="15"/>
          <w:color w:val="auto"/>
        </w:rPr>
        <w:t>For additional information on average balances and net interest income on a taxable equivalent basis, see Average Consolidated Balance Sheet, Interest and Rates on pages 45 and 46.</w:t>
      </w:r>
    </w:p>
    <w:p>
      <w:pPr>
        <w:spacing w:after="0" w:line="57" w:lineRule="exact"/>
        <w:rPr>
          <w:sz w:val="20"/>
          <w:szCs w:val="20"/>
          <w:color w:val="auto"/>
        </w:rPr>
      </w:pPr>
    </w:p>
    <w:p>
      <w:pPr>
        <w:jc w:val="both"/>
        <w:ind w:right="4300"/>
        <w:spacing w:after="0" w:line="273" w:lineRule="auto"/>
        <w:rPr>
          <w:sz w:val="20"/>
          <w:szCs w:val="20"/>
          <w:color w:val="auto"/>
        </w:rPr>
      </w:pPr>
      <w:r>
        <w:rPr>
          <w:rFonts w:ascii="Courier New" w:cs="Courier New" w:eastAsia="Courier New" w:hAnsi="Courier New"/>
          <w:sz w:val="15"/>
          <w:szCs w:val="15"/>
          <w:color w:val="auto"/>
        </w:rPr>
        <w:t>Management anticipates that, given its current expectations for interest rate movements in 1996, the Corporation's net interest income in 1996 will be modestly higher than in 1995 (prior to the impact of credit card securitizations).</w:t>
      </w:r>
    </w:p>
    <w:p>
      <w:pPr>
        <w:spacing w:after="0" w:line="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1300"/>
          </w:cols>
          <w:pgMar w:left="220" w:top="598" w:right="37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Provision</w:t>
            </w:r>
          </w:p>
        </w:tc>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for Losses</w:t>
            </w:r>
          </w:p>
        </w:tc>
        <w:tc>
          <w:tcPr>
            <w:tcW w:w="780" w:type="dxa"/>
            <w:vAlign w:val="bottom"/>
            <w:vMerge w:val="restart"/>
          </w:tcPr>
          <w:p>
            <w:pPr>
              <w:spacing w:after="0"/>
              <w:rPr>
                <w:sz w:val="20"/>
                <w:szCs w:val="20"/>
                <w:color w:val="auto"/>
              </w:rPr>
            </w:pPr>
            <w:r>
              <w:rPr>
                <w:rFonts w:ascii="Courier New" w:cs="Courier New" w:eastAsia="Courier New" w:hAnsi="Courier New"/>
                <w:sz w:val="15"/>
                <w:szCs w:val="15"/>
                <w:color w:val="auto"/>
                <w:w w:val="93"/>
              </w:rPr>
              <w:t>provision</w:t>
            </w:r>
          </w:p>
        </w:tc>
        <w:tc>
          <w:tcPr>
            <w:tcW w:w="2680" w:type="dxa"/>
            <w:vAlign w:val="bottom"/>
            <w:gridSpan w:val="5"/>
            <w:vMerge w:val="restart"/>
          </w:tcPr>
          <w:p>
            <w:pPr>
              <w:ind w:left="180"/>
              <w:spacing w:after="0"/>
              <w:rPr>
                <w:sz w:val="20"/>
                <w:szCs w:val="20"/>
                <w:color w:val="auto"/>
              </w:rPr>
            </w:pPr>
            <w:r>
              <w:rPr>
                <w:rFonts w:ascii="Courier New" w:cs="Courier New" w:eastAsia="Courier New" w:hAnsi="Courier New"/>
                <w:sz w:val="15"/>
                <w:szCs w:val="15"/>
                <w:color w:val="auto"/>
                <w:w w:val="98"/>
              </w:rPr>
              <w:t>for losses was $250  million</w:t>
            </w:r>
          </w:p>
        </w:tc>
        <w:tc>
          <w:tcPr>
            <w:tcW w:w="44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for</w:t>
            </w:r>
          </w:p>
        </w:tc>
        <w:tc>
          <w:tcPr>
            <w:tcW w:w="34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the</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1996</w:t>
            </w:r>
          </w:p>
        </w:tc>
        <w:tc>
          <w:tcPr>
            <w:tcW w:w="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second</w:t>
            </w:r>
          </w:p>
        </w:tc>
        <w:tc>
          <w:tcPr>
            <w:tcW w:w="0" w:type="dxa"/>
            <w:vAlign w:val="bottom"/>
          </w:tcPr>
          <w:p>
            <w:pPr>
              <w:spacing w:after="0"/>
              <w:rPr>
                <w:sz w:val="1"/>
                <w:szCs w:val="1"/>
                <w:color w:val="auto"/>
              </w:rPr>
            </w:pPr>
          </w:p>
        </w:tc>
      </w:tr>
      <w:tr>
        <w:trPr>
          <w:trHeight w:val="168"/>
        </w:trPr>
        <w:tc>
          <w:tcPr>
            <w:tcW w:w="1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  Corporation's</w:t>
            </w:r>
          </w:p>
        </w:tc>
        <w:tc>
          <w:tcPr>
            <w:tcW w:w="780" w:type="dxa"/>
            <w:vAlign w:val="bottom"/>
            <w:vMerge w:val="continue"/>
          </w:tcPr>
          <w:p>
            <w:pPr>
              <w:spacing w:after="0"/>
              <w:rPr>
                <w:sz w:val="14"/>
                <w:szCs w:val="14"/>
                <w:color w:val="auto"/>
              </w:rPr>
            </w:pPr>
          </w:p>
        </w:tc>
        <w:tc>
          <w:tcPr>
            <w:tcW w:w="2680" w:type="dxa"/>
            <w:vAlign w:val="bottom"/>
            <w:gridSpan w:val="5"/>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w:t>
            </w:r>
          </w:p>
        </w:tc>
        <w:tc>
          <w:tcPr>
            <w:tcW w:w="16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compared with $245</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million in the</w:t>
            </w:r>
          </w:p>
        </w:tc>
        <w:tc>
          <w:tcPr>
            <w:tcW w:w="318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7"/>
              </w:rPr>
              <w:t>1996 first quarter, and $195 million</w:t>
            </w:r>
          </w:p>
        </w:tc>
        <w:tc>
          <w:tcPr>
            <w:tcW w:w="0" w:type="dxa"/>
            <w:vAlign w:val="bottom"/>
          </w:tcPr>
          <w:p>
            <w:pPr>
              <w:spacing w:after="0"/>
              <w:rPr>
                <w:sz w:val="1"/>
                <w:szCs w:val="1"/>
                <w:color w:val="auto"/>
              </w:rPr>
            </w:pPr>
          </w:p>
        </w:tc>
      </w:tr>
      <w:tr>
        <w:trPr>
          <w:trHeight w:val="168"/>
        </w:trPr>
        <w:tc>
          <w:tcPr>
            <w:tcW w:w="25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in the 1995 second quarter.</w:t>
            </w:r>
          </w:p>
        </w:tc>
        <w:tc>
          <w:tcPr>
            <w:tcW w:w="23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For the first six months,</w:t>
            </w:r>
          </w:p>
        </w:tc>
        <w:tc>
          <w:tcPr>
            <w:tcW w:w="15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6"/>
              </w:rPr>
              <w:t>the provision for</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losses</w:t>
            </w:r>
          </w:p>
        </w:tc>
        <w:tc>
          <w:tcPr>
            <w:tcW w:w="0" w:type="dxa"/>
            <w:vAlign w:val="bottom"/>
          </w:tcPr>
          <w:p>
            <w:pPr>
              <w:spacing w:after="0"/>
              <w:rPr>
                <w:sz w:val="1"/>
                <w:szCs w:val="1"/>
                <w:color w:val="auto"/>
              </w:rPr>
            </w:pPr>
          </w:p>
        </w:tc>
      </w:tr>
      <w:tr>
        <w:trPr>
          <w:trHeight w:val="168"/>
        </w:trPr>
        <w:tc>
          <w:tcPr>
            <w:tcW w:w="1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was $495 million in</w:t>
            </w:r>
          </w:p>
        </w:tc>
        <w:tc>
          <w:tcPr>
            <w:tcW w:w="20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1996 compared with $380</w:t>
            </w:r>
          </w:p>
        </w:tc>
        <w:tc>
          <w:tcPr>
            <w:tcW w:w="18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8"/>
              </w:rPr>
              <w:t>million in 1995. The</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increase</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in the</w:t>
            </w:r>
          </w:p>
        </w:tc>
        <w:tc>
          <w:tcPr>
            <w:tcW w:w="0" w:type="dxa"/>
            <w:vAlign w:val="bottom"/>
          </w:tcPr>
          <w:p>
            <w:pPr>
              <w:spacing w:after="0"/>
              <w:rPr>
                <w:sz w:val="1"/>
                <w:szCs w:val="1"/>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w:t>
            </w:r>
          </w:p>
        </w:tc>
        <w:tc>
          <w:tcPr>
            <w:tcW w:w="22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for losses for both 1996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periods</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was</w:t>
            </w:r>
          </w:p>
        </w:tc>
        <w:tc>
          <w:tcPr>
            <w:tcW w:w="92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primarily</w:t>
            </w:r>
          </w:p>
        </w:tc>
        <w:tc>
          <w:tcPr>
            <w:tcW w:w="12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the result of</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higher</w:t>
            </w:r>
          </w:p>
        </w:tc>
        <w:tc>
          <w:tcPr>
            <w:tcW w:w="0" w:type="dxa"/>
            <w:vAlign w:val="bottom"/>
          </w:tcPr>
          <w:p>
            <w:pPr>
              <w:spacing w:after="0"/>
              <w:rPr>
                <w:sz w:val="1"/>
                <w:szCs w:val="1"/>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commercial</w:t>
            </w:r>
          </w:p>
        </w:tc>
        <w:tc>
          <w:tcPr>
            <w:tcW w:w="16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5"/>
              </w:rPr>
              <w:t>net  charge-offs,</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as a</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result</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4"/>
              </w:rPr>
              <w:t>of a</w:t>
            </w:r>
          </w:p>
        </w:tc>
        <w:tc>
          <w:tcPr>
            <w:tcW w:w="6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3"/>
              </w:rPr>
              <w:t>lower</w:t>
            </w:r>
          </w:p>
        </w:tc>
        <w:tc>
          <w:tcPr>
            <w:tcW w:w="7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level</w:t>
            </w:r>
          </w:p>
        </w:tc>
        <w:tc>
          <w:tcPr>
            <w:tcW w:w="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recoveries,</w:t>
            </w:r>
          </w:p>
        </w:tc>
        <w:tc>
          <w:tcPr>
            <w:tcW w:w="0" w:type="dxa"/>
            <w:vAlign w:val="bottom"/>
          </w:tcPr>
          <w:p>
            <w:pPr>
              <w:spacing w:after="0"/>
              <w:rPr>
                <w:sz w:val="1"/>
                <w:szCs w:val="1"/>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partially</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offset by</w:t>
            </w:r>
          </w:p>
        </w:tc>
        <w:tc>
          <w:tcPr>
            <w:tcW w:w="390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w w:val="97"/>
              </w:rPr>
              <w:t>lower consumer net charge-offs due, in part,</w:t>
            </w:r>
          </w:p>
        </w:tc>
        <w:tc>
          <w:tcPr>
            <w:tcW w:w="13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7"/>
              </w:rPr>
              <w:t>to a decline in</w:t>
            </w:r>
          </w:p>
        </w:tc>
        <w:tc>
          <w:tcPr>
            <w:tcW w:w="0" w:type="dxa"/>
            <w:vAlign w:val="bottom"/>
          </w:tcPr>
          <w:p>
            <w:pPr>
              <w:spacing w:after="0"/>
              <w:rPr>
                <w:sz w:val="1"/>
                <w:szCs w:val="1"/>
                <w:color w:val="auto"/>
              </w:rPr>
            </w:pPr>
          </w:p>
        </w:tc>
      </w:tr>
      <w:tr>
        <w:trPr>
          <w:trHeight w:val="245"/>
        </w:trPr>
        <w:tc>
          <w:tcPr>
            <w:tcW w:w="880" w:type="dxa"/>
            <w:vAlign w:val="bottom"/>
          </w:tcPr>
          <w:p>
            <w:pPr>
              <w:spacing w:after="0"/>
              <w:rPr>
                <w:sz w:val="20"/>
                <w:szCs w:val="20"/>
                <w:color w:val="auto"/>
              </w:rPr>
            </w:pPr>
            <w:r>
              <w:rPr>
                <w:rFonts w:ascii="Courier New" w:cs="Courier New" w:eastAsia="Courier New" w:hAnsi="Courier New"/>
                <w:sz w:val="15"/>
                <w:szCs w:val="15"/>
                <w:color w:val="auto"/>
              </w:rPr>
              <w:t>the level</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of credit</w:t>
            </w:r>
          </w:p>
        </w:tc>
        <w:tc>
          <w:tcPr>
            <w:tcW w:w="4240" w:type="dxa"/>
            <w:vAlign w:val="bottom"/>
            <w:gridSpan w:val="8"/>
          </w:tcPr>
          <w:p>
            <w:pPr>
              <w:spacing w:after="0"/>
              <w:rPr>
                <w:sz w:val="20"/>
                <w:szCs w:val="20"/>
                <w:color w:val="auto"/>
              </w:rPr>
            </w:pPr>
            <w:r>
              <w:rPr>
                <w:rFonts w:ascii="Courier New" w:cs="Courier New" w:eastAsia="Courier New" w:hAnsi="Courier New"/>
                <w:sz w:val="15"/>
                <w:szCs w:val="15"/>
                <w:color w:val="auto"/>
                <w:w w:val="99"/>
              </w:rPr>
              <w:t>card receivables retained on the balance sheet.</w:t>
            </w: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jc w:val="both"/>
        <w:ind w:right="600"/>
        <w:spacing w:after="0" w:line="273" w:lineRule="auto"/>
        <w:rPr>
          <w:sz w:val="20"/>
          <w:szCs w:val="20"/>
          <w:color w:val="auto"/>
        </w:rPr>
      </w:pPr>
      <w:r>
        <w:rPr>
          <w:rFonts w:ascii="Courier New" w:cs="Courier New" w:eastAsia="Courier New" w:hAnsi="Courier New"/>
          <w:sz w:val="15"/>
          <w:szCs w:val="15"/>
          <w:color w:val="auto"/>
        </w:rPr>
        <w:t>Management anticipates that the provision for losses in 1996 will increase over the 1995 level due in part to a lower level of commercial loan recoveries. For a discussion of the Corporation's net charge-offs, see the Credit Risk Management Section on pages 31-36.</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Noninterest Revenue</w:t>
      </w:r>
    </w:p>
    <w:p>
      <w:pPr>
        <w:spacing w:after="0" w:line="24" w:lineRule="exact"/>
        <w:rPr>
          <w:sz w:val="20"/>
          <w:szCs w:val="20"/>
          <w:color w:val="auto"/>
        </w:rPr>
      </w:pPr>
    </w:p>
    <w:p>
      <w:pPr>
        <w:ind w:right="600"/>
        <w:spacing w:after="0" w:line="246" w:lineRule="auto"/>
        <w:rPr>
          <w:sz w:val="20"/>
          <w:szCs w:val="20"/>
          <w:color w:val="auto"/>
        </w:rPr>
      </w:pPr>
      <w:r>
        <w:rPr>
          <w:rFonts w:ascii="Courier New" w:cs="Courier New" w:eastAsia="Courier New" w:hAnsi="Courier New"/>
          <w:sz w:val="15"/>
          <w:szCs w:val="15"/>
          <w:color w:val="auto"/>
        </w:rPr>
        <w:t>Noninterest revenue increased for the 1996 second quarter and six-month period when compared with the corresponding 1995 periods. The 1996 second quarter and six-month results each reflect increases in trading revenue, and fees and commissions (principally from corporate finance and syndication activities, credit card revenue and trust and investment management fees). These increases were partially offset by lower other revenue as the 1996 six-month period includes a loss of $60 million on the sale of a building in Japan while the 1995 period included a gain of $85 million on the sale of the Corporation's investment in Far East Bank and Trust Company.</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The  following  table  presents the  components of</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noninterest</w:t>
            </w:r>
          </w:p>
        </w:tc>
        <w:tc>
          <w:tcPr>
            <w:tcW w:w="17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revenue for the</w:t>
            </w:r>
          </w:p>
        </w:tc>
        <w:tc>
          <w:tcPr>
            <w:tcW w:w="0" w:type="dxa"/>
            <w:vAlign w:val="bottom"/>
          </w:tcPr>
          <w:p>
            <w:pPr>
              <w:spacing w:after="0"/>
              <w:rPr>
                <w:sz w:val="1"/>
                <w:szCs w:val="1"/>
                <w:color w:val="auto"/>
              </w:rPr>
            </w:pPr>
          </w:p>
        </w:tc>
      </w:tr>
      <w:tr>
        <w:trPr>
          <w:trHeight w:val="245"/>
        </w:trPr>
        <w:tc>
          <w:tcPr>
            <w:tcW w:w="4480" w:type="dxa"/>
            <w:vAlign w:val="bottom"/>
          </w:tcPr>
          <w:p>
            <w:pPr>
              <w:spacing w:after="0"/>
              <w:rPr>
                <w:sz w:val="20"/>
                <w:szCs w:val="20"/>
                <w:color w:val="auto"/>
              </w:rPr>
            </w:pPr>
            <w:r>
              <w:rPr>
                <w:rFonts w:ascii="Courier New" w:cs="Courier New" w:eastAsia="Courier New" w:hAnsi="Courier New"/>
                <w:sz w:val="15"/>
                <w:szCs w:val="15"/>
                <w:color w:val="auto"/>
              </w:rPr>
              <w:t>periods indicated.</w:t>
            </w: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4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96"/>
              </w:rPr>
              <w:t>Second Quarter</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480" w:type="dxa"/>
            <w:vAlign w:val="bottom"/>
            <w:vMerge w:val="restart"/>
          </w:tcPr>
          <w:p>
            <w:pPr>
              <w:spacing w:after="0"/>
              <w:rPr>
                <w:sz w:val="20"/>
                <w:szCs w:val="20"/>
                <w:color w:val="auto"/>
              </w:rPr>
            </w:pPr>
            <w:r>
              <w:rPr>
                <w:rFonts w:ascii="Courier New" w:cs="Courier New" w:eastAsia="Courier New" w:hAnsi="Courier New"/>
                <w:sz w:val="15"/>
                <w:szCs w:val="15"/>
                <w:color w:val="auto"/>
              </w:rPr>
              <w:t>(in millions)</w:t>
            </w:r>
          </w:p>
        </w:tc>
        <w:tc>
          <w:tcPr>
            <w:tcW w:w="28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48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c>
          <w:tcPr>
            <w:tcW w:w="12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45"/>
        </w:trPr>
        <w:tc>
          <w:tcPr>
            <w:tcW w:w="4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27"/>
        </w:trPr>
        <w:tc>
          <w:tcPr>
            <w:tcW w:w="4480" w:type="dxa"/>
            <w:vAlign w:val="bottom"/>
          </w:tcPr>
          <w:p>
            <w:pPr>
              <w:spacing w:after="0"/>
              <w:rPr>
                <w:sz w:val="20"/>
                <w:szCs w:val="20"/>
                <w:color w:val="auto"/>
              </w:rPr>
            </w:pPr>
            <w:r>
              <w:rPr>
                <w:rFonts w:ascii="Courier New" w:cs="Courier New" w:eastAsia="Courier New" w:hAnsi="Courier New"/>
                <w:sz w:val="15"/>
                <w:szCs w:val="15"/>
                <w:color w:val="auto"/>
              </w:rPr>
              <w:t>Corporate Finance and Syndication Fees</w:t>
            </w:r>
          </w:p>
        </w:tc>
        <w:tc>
          <w:tcPr>
            <w:tcW w:w="5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258</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197</w:t>
            </w:r>
          </w:p>
        </w:tc>
        <w:tc>
          <w:tcPr>
            <w:tcW w:w="0" w:type="dxa"/>
            <w:vAlign w:val="bottom"/>
          </w:tcPr>
          <w:p>
            <w:pPr>
              <w:spacing w:after="0"/>
              <w:rPr>
                <w:sz w:val="1"/>
                <w:szCs w:val="1"/>
                <w:color w:val="auto"/>
              </w:rPr>
            </w:pP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Trust and Investment Management Fees</w:t>
            </w:r>
          </w:p>
        </w:tc>
        <w:tc>
          <w:tcPr>
            <w:tcW w:w="5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302</w:t>
            </w:r>
          </w:p>
        </w:tc>
        <w:tc>
          <w:tcPr>
            <w:tcW w:w="12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243</w:t>
            </w:r>
          </w:p>
        </w:tc>
        <w:tc>
          <w:tcPr>
            <w:tcW w:w="0" w:type="dxa"/>
            <w:vAlign w:val="bottom"/>
          </w:tcPr>
          <w:p>
            <w:pPr>
              <w:spacing w:after="0"/>
              <w:rPr>
                <w:sz w:val="1"/>
                <w:szCs w:val="1"/>
                <w:color w:val="auto"/>
              </w:rPr>
            </w:pP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Credit Card Revenue</w:t>
            </w:r>
          </w:p>
        </w:tc>
        <w:tc>
          <w:tcPr>
            <w:tcW w:w="5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w:t>
            </w:r>
          </w:p>
        </w:tc>
        <w:tc>
          <w:tcPr>
            <w:tcW w:w="12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w:t>
            </w:r>
          </w:p>
        </w:tc>
        <w:tc>
          <w:tcPr>
            <w:tcW w:w="0" w:type="dxa"/>
            <w:vAlign w:val="bottom"/>
          </w:tcPr>
          <w:p>
            <w:pPr>
              <w:spacing w:after="0"/>
              <w:rPr>
                <w:sz w:val="1"/>
                <w:szCs w:val="1"/>
                <w:color w:val="auto"/>
              </w:rPr>
            </w:pP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Charges on Deposit Accounts</w:t>
            </w:r>
          </w:p>
        </w:tc>
        <w:tc>
          <w:tcPr>
            <w:tcW w:w="5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12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w:t>
            </w:r>
          </w:p>
        </w:tc>
        <w:tc>
          <w:tcPr>
            <w:tcW w:w="0" w:type="dxa"/>
            <w:vAlign w:val="bottom"/>
          </w:tcPr>
          <w:p>
            <w:pPr>
              <w:spacing w:after="0"/>
              <w:rPr>
                <w:sz w:val="1"/>
                <w:szCs w:val="1"/>
                <w:color w:val="auto"/>
              </w:rPr>
            </w:pP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Fees for Other Financial Services</w:t>
            </w:r>
          </w:p>
        </w:tc>
        <w:tc>
          <w:tcPr>
            <w:tcW w:w="5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381</w:t>
            </w:r>
          </w:p>
        </w:tc>
        <w:tc>
          <w:tcPr>
            <w:tcW w:w="12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353</w:t>
            </w:r>
          </w:p>
        </w:tc>
        <w:tc>
          <w:tcPr>
            <w:tcW w:w="0" w:type="dxa"/>
            <w:vAlign w:val="bottom"/>
          </w:tcPr>
          <w:p>
            <w:pPr>
              <w:spacing w:after="0"/>
              <w:rPr>
                <w:sz w:val="1"/>
                <w:szCs w:val="1"/>
                <w:color w:val="auto"/>
              </w:rPr>
            </w:pPr>
          </w:p>
        </w:tc>
      </w:tr>
      <w:tr>
        <w:trPr>
          <w:trHeight w:val="168"/>
        </w:trPr>
        <w:tc>
          <w:tcPr>
            <w:tcW w:w="4480" w:type="dxa"/>
            <w:vAlign w:val="bottom"/>
            <w:vMerge w:val="restart"/>
          </w:tcPr>
          <w:p>
            <w:pPr>
              <w:spacing w:after="0"/>
              <w:rPr>
                <w:sz w:val="20"/>
                <w:szCs w:val="20"/>
                <w:color w:val="auto"/>
              </w:rPr>
            </w:pPr>
            <w:r>
              <w:rPr>
                <w:rFonts w:ascii="Courier New" w:cs="Courier New" w:eastAsia="Courier New" w:hAnsi="Courier New"/>
                <w:sz w:val="15"/>
                <w:szCs w:val="15"/>
                <w:color w:val="auto"/>
              </w:rPr>
              <w:t>Total Fees and Commissions</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48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1,274</w:t>
            </w:r>
          </w:p>
        </w:tc>
        <w:tc>
          <w:tcPr>
            <w:tcW w:w="12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1,096</w:t>
            </w:r>
          </w:p>
        </w:tc>
        <w:tc>
          <w:tcPr>
            <w:tcW w:w="0" w:type="dxa"/>
            <w:vAlign w:val="bottom"/>
          </w:tcPr>
          <w:p>
            <w:pPr>
              <w:spacing w:after="0"/>
              <w:rPr>
                <w:sz w:val="1"/>
                <w:szCs w:val="1"/>
                <w:color w:val="auto"/>
              </w:rPr>
            </w:pP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 Revenue</w:t>
            </w:r>
          </w:p>
        </w:tc>
        <w:tc>
          <w:tcPr>
            <w:tcW w:w="5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379</w:t>
            </w:r>
          </w:p>
        </w:tc>
        <w:tc>
          <w:tcPr>
            <w:tcW w:w="12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301</w:t>
            </w:r>
          </w:p>
        </w:tc>
        <w:tc>
          <w:tcPr>
            <w:tcW w:w="0" w:type="dxa"/>
            <w:vAlign w:val="bottom"/>
          </w:tcPr>
          <w:p>
            <w:pPr>
              <w:spacing w:after="0"/>
              <w:rPr>
                <w:sz w:val="1"/>
                <w:szCs w:val="1"/>
                <w:color w:val="auto"/>
              </w:rPr>
            </w:pP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Gains</w:t>
            </w:r>
          </w:p>
        </w:tc>
        <w:tc>
          <w:tcPr>
            <w:tcW w:w="5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c>
          <w:tcPr>
            <w:tcW w:w="12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w:t>
            </w:r>
          </w:p>
        </w:tc>
        <w:tc>
          <w:tcPr>
            <w:tcW w:w="0" w:type="dxa"/>
            <w:vAlign w:val="bottom"/>
          </w:tcPr>
          <w:p>
            <w:pPr>
              <w:spacing w:after="0"/>
              <w:rPr>
                <w:sz w:val="1"/>
                <w:szCs w:val="1"/>
                <w:color w:val="auto"/>
              </w:rPr>
            </w:pP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Revenue</w:t>
            </w:r>
          </w:p>
        </w:tc>
        <w:tc>
          <w:tcPr>
            <w:tcW w:w="5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254</w:t>
            </w:r>
          </w:p>
        </w:tc>
        <w:tc>
          <w:tcPr>
            <w:tcW w:w="12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257</w:t>
            </w:r>
          </w:p>
        </w:tc>
        <w:tc>
          <w:tcPr>
            <w:tcW w:w="0" w:type="dxa"/>
            <w:vAlign w:val="bottom"/>
          </w:tcPr>
          <w:p>
            <w:pPr>
              <w:spacing w:after="0"/>
              <w:rPr>
                <w:sz w:val="1"/>
                <w:szCs w:val="1"/>
                <w:color w:val="auto"/>
              </w:rPr>
            </w:pPr>
          </w:p>
        </w:tc>
      </w:tr>
      <w:tr>
        <w:trPr>
          <w:trHeight w:val="168"/>
        </w:trPr>
        <w:tc>
          <w:tcPr>
            <w:tcW w:w="448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480" w:type="dxa"/>
            <w:vAlign w:val="bottom"/>
            <w:vMerge w:val="continue"/>
          </w:tcPr>
          <w:p>
            <w:pPr>
              <w:spacing w:after="0"/>
              <w:rPr>
                <w:sz w:val="14"/>
                <w:szCs w:val="14"/>
                <w:color w:val="auto"/>
              </w:rPr>
            </w:pP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1,931</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1,726</w:t>
            </w:r>
          </w:p>
        </w:tc>
        <w:tc>
          <w:tcPr>
            <w:tcW w:w="0" w:type="dxa"/>
            <w:vAlign w:val="bottom"/>
          </w:tcPr>
          <w:p>
            <w:pPr>
              <w:spacing w:after="0"/>
              <w:rPr>
                <w:sz w:val="1"/>
                <w:szCs w:val="1"/>
                <w:color w:val="auto"/>
              </w:rPr>
            </w:pPr>
          </w:p>
        </w:tc>
      </w:tr>
      <w:tr>
        <w:trPr>
          <w:trHeight w:val="245"/>
        </w:trPr>
        <w:tc>
          <w:tcPr>
            <w:tcW w:w="448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Fees and Commissions</w:t>
      </w:r>
    </w:p>
    <w:p>
      <w:pPr>
        <w:spacing w:after="0" w:line="24" w:lineRule="exact"/>
        <w:rPr>
          <w:sz w:val="20"/>
          <w:szCs w:val="20"/>
          <w:color w:val="auto"/>
        </w:rPr>
      </w:pPr>
    </w:p>
    <w:p>
      <w:pPr>
        <w:jc w:val="both"/>
        <w:ind w:right="600"/>
        <w:spacing w:after="0" w:line="247" w:lineRule="auto"/>
        <w:rPr>
          <w:sz w:val="20"/>
          <w:szCs w:val="20"/>
          <w:color w:val="auto"/>
        </w:rPr>
      </w:pPr>
      <w:r>
        <w:rPr>
          <w:rFonts w:ascii="Courier New" w:cs="Courier New" w:eastAsia="Courier New" w:hAnsi="Courier New"/>
          <w:sz w:val="15"/>
          <w:szCs w:val="15"/>
          <w:color w:val="auto"/>
        </w:rPr>
        <w:t>Corporate finance and syndication fees were a record $258 million in the 1996 second quarter, an increase of 31% from the prior-year period. For the first six months of 1996, such fees rose 32% from the comparable period a year ago. The increases from both 1995 periods were the result of strong loan syndication, securities underwriting and advisory activities. During the first six months of 1996, the Corporation acted as agent or co-agent for approximately $240 billion of syndicated credit facilities, a reflection of the Corporation's large client base and strong emphasis on distribution.</w:t>
      </w:r>
    </w:p>
    <w:p>
      <w:pPr>
        <w:spacing w:after="0" w:line="89" w:lineRule="exact"/>
        <w:rPr>
          <w:sz w:val="20"/>
          <w:szCs w:val="20"/>
          <w:color w:val="auto"/>
        </w:rPr>
      </w:pPr>
    </w:p>
    <w:p>
      <w:pPr>
        <w:jc w:val="both"/>
        <w:ind w:right="600"/>
        <w:spacing w:after="0" w:line="252" w:lineRule="auto"/>
        <w:rPr>
          <w:sz w:val="20"/>
          <w:szCs w:val="20"/>
          <w:color w:val="auto"/>
        </w:rPr>
      </w:pPr>
      <w:r>
        <w:rPr>
          <w:rFonts w:ascii="Courier New" w:cs="Courier New" w:eastAsia="Courier New" w:hAnsi="Courier New"/>
          <w:sz w:val="15"/>
          <w:szCs w:val="15"/>
          <w:color w:val="auto"/>
        </w:rPr>
        <w:t>Trust and investment management fees rose 24% in the 1996 second quarter and 22% for the 1996 first six months, reflecting increased global services and securities processing activities, growth in the Vista mutual funds and higher trust fees attributable to growth in assets under management. Also contributing to the increases were higher fees due to the acquisition of the securities processing businesses of U.S. Trust Corporation ("US Trust") in September 1995, which contributed approximately $24 million of revenue in the second quarter and $48 million for the first half of 1996.</w:t>
      </w:r>
    </w:p>
    <w:p>
      <w:pPr>
        <w:spacing w:after="0" w:line="86" w:lineRule="exact"/>
        <w:rPr>
          <w:sz w:val="20"/>
          <w:szCs w:val="20"/>
          <w:color w:val="auto"/>
        </w:rPr>
      </w:pPr>
    </w:p>
    <w:p>
      <w:pPr>
        <w:ind w:right="600"/>
        <w:spacing w:after="0" w:line="246" w:lineRule="auto"/>
        <w:rPr>
          <w:sz w:val="20"/>
          <w:szCs w:val="20"/>
          <w:color w:val="auto"/>
        </w:rPr>
      </w:pPr>
      <w:r>
        <w:rPr>
          <w:rFonts w:ascii="Courier New" w:cs="Courier New" w:eastAsia="Courier New" w:hAnsi="Courier New"/>
          <w:sz w:val="15"/>
          <w:szCs w:val="15"/>
          <w:color w:val="auto"/>
        </w:rPr>
        <w:t>Credit card revenue increased $37 million for the 1996 second quarter and $88 million for the 1996 first six months, primarily the result of an increase in securitization volume as well as growth in managed outstandings and active accounts. Average managed credit card receivables (credit card receivables on the balance sheet plus securitized credit card receivables) grew to $23.3 billion for the second quarter of 1996, compared with $20.3 billion for the prior-year's comparable period. For the first six months of 1996, there was an approximate $6 billion increase in the level of securitized credit card receivables. The favorable impact on credit card revenues from the higher level of securitizations was $6 million in the 1996 second quarter and $55 million in the first six months of 1996. For a further discussion of the credit card portfolio and related securitization activity, see pages 33-34 of this Form 10-Q.</w:t>
      </w:r>
    </w:p>
    <w:p>
      <w:pPr>
        <w:spacing w:after="0" w:line="9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Six Months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42"/>
        </w:trPr>
        <w:tc>
          <w:tcPr>
            <w:tcW w:w="180" w:type="dxa"/>
            <w:vAlign w:val="bottom"/>
          </w:tcPr>
          <w:p>
            <w:pPr>
              <w:spacing w:after="0"/>
              <w:rPr>
                <w:sz w:val="12"/>
                <w:szCs w:val="12"/>
                <w:color w:val="auto"/>
              </w:rPr>
            </w:pPr>
          </w:p>
        </w:tc>
        <w:tc>
          <w:tcPr>
            <w:tcW w:w="1080" w:type="dxa"/>
            <w:vAlign w:val="bottom"/>
          </w:tcPr>
          <w:p>
            <w:pPr>
              <w:jc w:val="right"/>
              <w:ind w:right="567"/>
              <w:spacing w:after="0" w:line="142" w:lineRule="exact"/>
              <w:rPr>
                <w:sz w:val="20"/>
                <w:szCs w:val="20"/>
                <w:color w:val="auto"/>
              </w:rPr>
            </w:pPr>
            <w:r>
              <w:rPr>
                <w:rFonts w:ascii="Courier New" w:cs="Courier New" w:eastAsia="Courier New" w:hAnsi="Courier New"/>
                <w:sz w:val="15"/>
                <w:szCs w:val="15"/>
                <w:color w:val="auto"/>
              </w:rPr>
              <w:t>1996</w:t>
            </w:r>
          </w:p>
        </w:tc>
        <w:tc>
          <w:tcPr>
            <w:tcW w:w="660" w:type="dxa"/>
            <w:vAlign w:val="bottom"/>
          </w:tcPr>
          <w:p>
            <w:pPr>
              <w:spacing w:after="0"/>
              <w:rPr>
                <w:sz w:val="12"/>
                <w:szCs w:val="12"/>
                <w:color w:val="auto"/>
              </w:rPr>
            </w:pPr>
          </w:p>
        </w:tc>
        <w:tc>
          <w:tcPr>
            <w:tcW w:w="520" w:type="dxa"/>
            <w:vAlign w:val="bottom"/>
          </w:tcPr>
          <w:p>
            <w:pPr>
              <w:jc w:val="right"/>
              <w:ind w:right="7"/>
              <w:spacing w:after="0" w:line="142" w:lineRule="exact"/>
              <w:rPr>
                <w:sz w:val="20"/>
                <w:szCs w:val="20"/>
                <w:color w:val="auto"/>
              </w:rPr>
            </w:pPr>
            <w:r>
              <w:rPr>
                <w:rFonts w:ascii="Courier New" w:cs="Courier New" w:eastAsia="Courier New" w:hAnsi="Courier New"/>
                <w:sz w:val="15"/>
                <w:szCs w:val="15"/>
                <w:color w:val="auto"/>
              </w:rPr>
              <w:t>1995</w:t>
            </w:r>
          </w:p>
        </w:tc>
      </w:tr>
      <w:tr>
        <w:trPr>
          <w:trHeight w:val="245"/>
        </w:trPr>
        <w:tc>
          <w:tcPr>
            <w:tcW w:w="180" w:type="dxa"/>
            <w:vAlign w:val="bottom"/>
          </w:tcPr>
          <w:p>
            <w:pPr>
              <w:spacing w:after="0"/>
              <w:rPr>
                <w:sz w:val="21"/>
                <w:szCs w:val="21"/>
                <w:color w:val="auto"/>
              </w:rPr>
            </w:pPr>
          </w:p>
        </w:tc>
        <w:tc>
          <w:tcPr>
            <w:tcW w:w="108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21"/>
                <w:szCs w:val="21"/>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427"/>
        </w:trPr>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482</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366</w:t>
            </w:r>
          </w:p>
        </w:tc>
      </w:tr>
      <w:tr>
        <w:trPr>
          <w:trHeight w:val="168"/>
        </w:trPr>
        <w:tc>
          <w:tcPr>
            <w:tcW w:w="18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587</w:t>
            </w:r>
          </w:p>
        </w:tc>
        <w:tc>
          <w:tcPr>
            <w:tcW w:w="6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483</w:t>
            </w:r>
          </w:p>
        </w:tc>
      </w:tr>
      <w:tr>
        <w:trPr>
          <w:trHeight w:val="194"/>
        </w:trPr>
        <w:tc>
          <w:tcPr>
            <w:tcW w:w="180" w:type="dxa"/>
            <w:vAlign w:val="bottom"/>
          </w:tcPr>
          <w:p>
            <w:pPr>
              <w:spacing w:after="0"/>
              <w:rPr>
                <w:sz w:val="16"/>
                <w:szCs w:val="16"/>
                <w:color w:val="auto"/>
              </w:rPr>
            </w:pPr>
          </w:p>
        </w:tc>
        <w:tc>
          <w:tcPr>
            <w:tcW w:w="10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466</w:t>
            </w:r>
          </w:p>
        </w:tc>
        <w:tc>
          <w:tcPr>
            <w:tcW w:w="6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378</w:t>
            </w:r>
          </w:p>
        </w:tc>
      </w:tr>
    </w:tbl>
    <w:p>
      <w:pPr>
        <w:ind w:left="2180" w:hanging="1657"/>
        <w:spacing w:after="0"/>
        <w:tabs>
          <w:tab w:leader="none" w:pos="2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211</w:t>
      </w:r>
    </w:p>
    <w:p>
      <w:pPr>
        <w:spacing w:after="0" w:line="9" w:lineRule="exact"/>
        <w:rPr>
          <w:rFonts w:ascii="Courier New" w:cs="Courier New" w:eastAsia="Courier New" w:hAnsi="Courier New"/>
          <w:sz w:val="14"/>
          <w:szCs w:val="14"/>
          <w:color w:val="auto"/>
        </w:rPr>
      </w:pPr>
    </w:p>
    <w:p>
      <w:pPr>
        <w:ind w:left="2180" w:hanging="1657"/>
        <w:spacing w:after="0"/>
        <w:tabs>
          <w:tab w:leader="none" w:pos="2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720</w:t>
      </w:r>
    </w:p>
    <w:tbl>
      <w:tblPr>
        <w:tblLayout w:type="fixed"/>
        <w:tblInd w:w="0" w:type="dxa"/>
        <w:tblCellMar>
          <w:top w:w="0" w:type="dxa"/>
          <w:left w:w="0" w:type="dxa"/>
          <w:bottom w:w="0" w:type="dxa"/>
          <w:right w:w="0" w:type="dxa"/>
        </w:tblCellMar>
      </w:tblPr>
      <w:tr>
        <w:trPr>
          <w:trHeight w:val="152"/>
        </w:trPr>
        <w:tc>
          <w:tcPr>
            <w:tcW w:w="1260" w:type="dxa"/>
            <w:vAlign w:val="bottom"/>
            <w:vMerge w:val="restart"/>
          </w:tcPr>
          <w:p>
            <w:pPr>
              <w:jc w:val="right"/>
              <w:ind w:right="414"/>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1"/>
                <w:szCs w:val="21"/>
                <w:color w:val="auto"/>
                <w:w w:val="71"/>
                <w:vertAlign w:val="subscript"/>
              </w:rPr>
              <w:t>2,493</w:t>
            </w:r>
          </w:p>
        </w:tc>
        <w:tc>
          <w:tcPr>
            <w:tcW w:w="118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260" w:type="dxa"/>
            <w:vAlign w:val="bottom"/>
            <w:vMerge w:val="continue"/>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2,158</w:t>
            </w:r>
          </w:p>
        </w:tc>
        <w:tc>
          <w:tcPr>
            <w:tcW w:w="0" w:type="dxa"/>
            <w:vAlign w:val="bottom"/>
          </w:tcPr>
          <w:p>
            <w:pPr>
              <w:spacing w:after="0"/>
              <w:rPr>
                <w:sz w:val="1"/>
                <w:szCs w:val="1"/>
                <w:color w:val="auto"/>
              </w:rPr>
            </w:pPr>
          </w:p>
        </w:tc>
      </w:tr>
      <w:tr>
        <w:trPr>
          <w:trHeight w:val="194"/>
        </w:trPr>
        <w:tc>
          <w:tcPr>
            <w:tcW w:w="1260" w:type="dxa"/>
            <w:vAlign w:val="bottom"/>
          </w:tcPr>
          <w:p>
            <w:pPr>
              <w:jc w:val="right"/>
              <w:ind w:right="414"/>
              <w:spacing w:after="0"/>
              <w:rPr>
                <w:sz w:val="20"/>
                <w:szCs w:val="20"/>
                <w:color w:val="auto"/>
              </w:rPr>
            </w:pPr>
            <w:r>
              <w:rPr>
                <w:rFonts w:ascii="Courier New" w:cs="Courier New" w:eastAsia="Courier New" w:hAnsi="Courier New"/>
                <w:sz w:val="15"/>
                <w:szCs w:val="15"/>
                <w:color w:val="auto"/>
              </w:rPr>
              <w:t>718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0" w:type="dxa"/>
            <w:vAlign w:val="bottom"/>
          </w:tcPr>
          <w:p>
            <w:pPr>
              <w:spacing w:after="0"/>
              <w:rPr>
                <w:sz w:val="1"/>
                <w:szCs w:val="1"/>
                <w:color w:val="auto"/>
              </w:rPr>
            </w:pPr>
          </w:p>
        </w:tc>
      </w:tr>
    </w:tbl>
    <w:p>
      <w:pPr>
        <w:ind w:left="2280" w:hanging="1669"/>
        <w:spacing w:after="0"/>
        <w:tabs>
          <w:tab w:leader="none" w:pos="2280" w:val="left"/>
        </w:tabs>
        <w:numPr>
          <w:ilvl w:val="0"/>
          <w:numId w:val="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54</w:t>
      </w:r>
    </w:p>
    <w:p>
      <w:pPr>
        <w:spacing w:after="0" w:line="32" w:lineRule="exact"/>
        <w:rPr>
          <w:rFonts w:ascii="Courier New" w:cs="Courier New" w:eastAsia="Courier New" w:hAnsi="Courier New"/>
          <w:sz w:val="12"/>
          <w:szCs w:val="12"/>
          <w:color w:val="auto"/>
        </w:rPr>
      </w:pPr>
    </w:p>
    <w:p>
      <w:pPr>
        <w:ind w:left="2180" w:hanging="1657"/>
        <w:spacing w:after="0"/>
        <w:tabs>
          <w:tab w:leader="none" w:pos="2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671</w:t>
      </w:r>
    </w:p>
    <w:tbl>
      <w:tblPr>
        <w:tblLayout w:type="fixed"/>
        <w:tblInd w:w="0" w:type="dxa"/>
        <w:tblCellMar>
          <w:top w:w="0" w:type="dxa"/>
          <w:left w:w="0" w:type="dxa"/>
          <w:bottom w:w="0" w:type="dxa"/>
          <w:right w:w="0" w:type="dxa"/>
        </w:tblCellMar>
      </w:tblPr>
      <w:tr>
        <w:trPr>
          <w:trHeight w:val="152"/>
        </w:trPr>
        <w:tc>
          <w:tcPr>
            <w:tcW w:w="1260" w:type="dxa"/>
            <w:vAlign w:val="bottom"/>
            <w:vMerge w:val="restart"/>
          </w:tcPr>
          <w:p>
            <w:pPr>
              <w:jc w:val="right"/>
              <w:ind w:right="415"/>
              <w:spacing w:after="0"/>
              <w:rPr>
                <w:sz w:val="20"/>
                <w:szCs w:val="20"/>
                <w:color w:val="auto"/>
              </w:rPr>
            </w:pPr>
            <w:r>
              <w:rPr>
                <w:rFonts w:ascii="Courier New" w:cs="Courier New" w:eastAsia="Courier New" w:hAnsi="Courier New"/>
                <w:sz w:val="20"/>
                <w:szCs w:val="20"/>
                <w:color w:val="auto"/>
                <w:w w:val="70"/>
                <w:vertAlign w:val="subscript"/>
              </w:rPr>
              <w:t>$</w:t>
            </w:r>
            <w:r>
              <w:rPr>
                <w:rFonts w:ascii="Courier New" w:cs="Courier New" w:eastAsia="Courier New" w:hAnsi="Courier New"/>
                <w:sz w:val="11"/>
                <w:szCs w:val="11"/>
                <w:color w:val="auto"/>
                <w:w w:val="70"/>
              </w:rPr>
              <w:t>---------</w:t>
            </w:r>
            <w:r>
              <w:rPr>
                <w:rFonts w:ascii="Courier New" w:cs="Courier New" w:eastAsia="Courier New" w:hAnsi="Courier New"/>
                <w:sz w:val="20"/>
                <w:szCs w:val="20"/>
                <w:color w:val="auto"/>
                <w:w w:val="70"/>
                <w:vertAlign w:val="subscript"/>
              </w:rPr>
              <w:t>3,800</w:t>
            </w:r>
          </w:p>
        </w:tc>
        <w:tc>
          <w:tcPr>
            <w:tcW w:w="118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260" w:type="dxa"/>
            <w:vAlign w:val="bottom"/>
            <w:vMerge w:val="continue"/>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3,283</w:t>
            </w:r>
          </w:p>
        </w:tc>
        <w:tc>
          <w:tcPr>
            <w:tcW w:w="0" w:type="dxa"/>
            <w:vAlign w:val="bottom"/>
          </w:tcPr>
          <w:p>
            <w:pPr>
              <w:spacing w:after="0"/>
              <w:rPr>
                <w:sz w:val="1"/>
                <w:szCs w:val="1"/>
                <w:color w:val="auto"/>
              </w:rPr>
            </w:pPr>
          </w:p>
        </w:tc>
      </w:tr>
      <w:tr>
        <w:trPr>
          <w:trHeight w:val="245"/>
        </w:trPr>
        <w:tc>
          <w:tcPr>
            <w:tcW w:w="1260" w:type="dxa"/>
            <w:vAlign w:val="bottom"/>
          </w:tcPr>
          <w:p>
            <w:pPr>
              <w:jc w:val="right"/>
              <w:ind w:right="415"/>
              <w:spacing w:after="0"/>
              <w:rPr>
                <w:sz w:val="20"/>
                <w:szCs w:val="20"/>
                <w:color w:val="auto"/>
              </w:rPr>
            </w:pPr>
            <w:r>
              <w:rPr>
                <w:rFonts w:ascii="Courier New" w:cs="Courier New" w:eastAsia="Courier New" w:hAnsi="Courier New"/>
                <w:sz w:val="15"/>
                <w:szCs w:val="15"/>
                <w:color w:val="auto"/>
                <w:w w:val="93"/>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2">
            <w:col w:w="7600" w:space="720"/>
            <w:col w:w="2440"/>
          </w:cols>
          <w:pgMar w:left="220" w:top="596" w:right="919" w:bottom="1041"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99"/>
              </w:rPr>
              <w:t>The  following  table  sets  forth the</w:t>
            </w:r>
          </w:p>
        </w:tc>
        <w:tc>
          <w:tcPr>
            <w:tcW w:w="2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components  of fees for other</w:t>
            </w:r>
          </w:p>
        </w:tc>
        <w:tc>
          <w:tcPr>
            <w:tcW w:w="14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financial</w:t>
            </w:r>
          </w:p>
        </w:tc>
        <w:tc>
          <w:tcPr>
            <w:tcW w:w="0" w:type="dxa"/>
            <w:vAlign w:val="bottom"/>
          </w:tcPr>
          <w:p>
            <w:pPr>
              <w:spacing w:after="0"/>
              <w:rPr>
                <w:sz w:val="1"/>
                <w:szCs w:val="1"/>
                <w:color w:val="auto"/>
              </w:rPr>
            </w:pPr>
          </w:p>
        </w:tc>
      </w:tr>
      <w:tr>
        <w:trPr>
          <w:trHeight w:val="245"/>
        </w:trPr>
        <w:tc>
          <w:tcPr>
            <w:tcW w:w="3420" w:type="dxa"/>
            <w:vAlign w:val="bottom"/>
          </w:tcPr>
          <w:p>
            <w:pPr>
              <w:spacing w:after="0"/>
              <w:rPr>
                <w:sz w:val="20"/>
                <w:szCs w:val="20"/>
                <w:color w:val="auto"/>
              </w:rPr>
            </w:pPr>
            <w:r>
              <w:rPr>
                <w:rFonts w:ascii="Courier New" w:cs="Courier New" w:eastAsia="Courier New" w:hAnsi="Courier New"/>
                <w:sz w:val="15"/>
                <w:szCs w:val="15"/>
                <w:color w:val="auto"/>
              </w:rPr>
              <w:t>services for the periods indicated.</w:t>
            </w:r>
          </w:p>
        </w:tc>
        <w:tc>
          <w:tcPr>
            <w:tcW w:w="27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3420" w:type="dxa"/>
            <w:vAlign w:val="bottom"/>
          </w:tcPr>
          <w:p>
            <w:pPr>
              <w:spacing w:after="0"/>
              <w:rPr>
                <w:sz w:val="24"/>
                <w:szCs w:val="24"/>
                <w:color w:val="auto"/>
              </w:rPr>
            </w:pPr>
          </w:p>
        </w:tc>
        <w:tc>
          <w:tcPr>
            <w:tcW w:w="41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Second Quarter</w:t>
            </w:r>
          </w:p>
        </w:tc>
        <w:tc>
          <w:tcPr>
            <w:tcW w:w="0" w:type="dxa"/>
            <w:vAlign w:val="bottom"/>
          </w:tcPr>
          <w:p>
            <w:pPr>
              <w:spacing w:after="0"/>
              <w:rPr>
                <w:sz w:val="1"/>
                <w:szCs w:val="1"/>
                <w:color w:val="auto"/>
              </w:rPr>
            </w:pPr>
          </w:p>
        </w:tc>
      </w:tr>
      <w:tr>
        <w:trPr>
          <w:trHeight w:val="168"/>
        </w:trPr>
        <w:tc>
          <w:tcPr>
            <w:tcW w:w="3420" w:type="dxa"/>
            <w:vAlign w:val="bottom"/>
            <w:vMerge w:val="restart"/>
          </w:tcPr>
          <w:p>
            <w:pPr>
              <w:spacing w:after="0"/>
              <w:rPr>
                <w:sz w:val="20"/>
                <w:szCs w:val="20"/>
                <w:color w:val="auto"/>
              </w:rPr>
            </w:pPr>
            <w:r>
              <w:rPr>
                <w:rFonts w:ascii="Courier New" w:cs="Courier New" w:eastAsia="Courier New" w:hAnsi="Courier New"/>
                <w:sz w:val="15"/>
                <w:szCs w:val="15"/>
                <w:color w:val="auto"/>
              </w:rPr>
              <w:t>(in millions)</w:t>
            </w:r>
          </w:p>
        </w:tc>
        <w:tc>
          <w:tcPr>
            <w:tcW w:w="4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420" w:type="dxa"/>
            <w:vAlign w:val="bottom"/>
            <w:vMerge w:val="continue"/>
          </w:tcPr>
          <w:p>
            <w:pPr>
              <w:spacing w:after="0"/>
              <w:rPr>
                <w:sz w:val="14"/>
                <w:szCs w:val="14"/>
                <w:color w:val="auto"/>
              </w:rPr>
            </w:pPr>
          </w:p>
        </w:tc>
        <w:tc>
          <w:tcPr>
            <w:tcW w:w="2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1996</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194"/>
        </w:trPr>
        <w:tc>
          <w:tcPr>
            <w:tcW w:w="3420" w:type="dxa"/>
            <w:vAlign w:val="bottom"/>
          </w:tcPr>
          <w:p>
            <w:pPr>
              <w:spacing w:after="0"/>
              <w:rPr>
                <w:sz w:val="16"/>
                <w:szCs w:val="16"/>
                <w:color w:val="auto"/>
              </w:rPr>
            </w:pPr>
          </w:p>
        </w:tc>
        <w:tc>
          <w:tcPr>
            <w:tcW w:w="2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60" w:type="dxa"/>
            <w:vAlign w:val="bottom"/>
          </w:tcPr>
          <w:p>
            <w:pPr>
              <w:spacing w:after="0"/>
              <w:rPr>
                <w:sz w:val="20"/>
                <w:szCs w:val="20"/>
                <w:color w:val="auto"/>
              </w:rPr>
            </w:pPr>
            <w:r>
              <w:rPr>
                <w:rFonts w:ascii="Courier New" w:cs="Courier New" w:eastAsia="Courier New" w:hAnsi="Courier New"/>
                <w:sz w:val="15"/>
                <w:szCs w:val="15"/>
                <w:color w:val="auto"/>
              </w:rPr>
              <w:t>Fees for Other Financial Services:</w:t>
            </w:r>
          </w:p>
        </w:tc>
        <w:tc>
          <w:tcPr>
            <w:tcW w:w="7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960" w:type="dxa"/>
            <w:vAlign w:val="bottom"/>
          </w:tcPr>
          <w:p>
            <w:pPr>
              <w:ind w:left="280"/>
              <w:spacing w:after="0"/>
              <w:rPr>
                <w:sz w:val="20"/>
                <w:szCs w:val="20"/>
                <w:color w:val="auto"/>
              </w:rPr>
            </w:pPr>
            <w:r>
              <w:rPr>
                <w:rFonts w:ascii="Courier New" w:cs="Courier New" w:eastAsia="Courier New" w:hAnsi="Courier New"/>
                <w:sz w:val="15"/>
                <w:szCs w:val="15"/>
                <w:color w:val="auto"/>
              </w:rPr>
              <w:t>Commissions on Letters of Credit and Acceptances</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82</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83</w:t>
            </w:r>
          </w:p>
        </w:tc>
        <w:tc>
          <w:tcPr>
            <w:tcW w:w="0" w:type="dxa"/>
            <w:vAlign w:val="bottom"/>
          </w:tcPr>
          <w:p>
            <w:pPr>
              <w:spacing w:after="0"/>
              <w:rPr>
                <w:sz w:val="1"/>
                <w:szCs w:val="1"/>
                <w:color w:val="auto"/>
              </w:rPr>
            </w:pP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Fees in Lieu of Compensating Balances</w:t>
            </w:r>
          </w:p>
        </w:tc>
        <w:tc>
          <w:tcPr>
            <w:tcW w:w="740" w:type="dxa"/>
            <w:vAlign w:val="bottom"/>
          </w:tcPr>
          <w:p>
            <w:pPr>
              <w:spacing w:after="0"/>
              <w:rPr>
                <w:sz w:val="14"/>
                <w:szCs w:val="14"/>
                <w:color w:val="auto"/>
              </w:rPr>
            </w:pPr>
          </w:p>
        </w:tc>
        <w:tc>
          <w:tcPr>
            <w:tcW w:w="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74</w:t>
            </w:r>
          </w:p>
        </w:tc>
        <w:tc>
          <w:tcPr>
            <w:tcW w:w="66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w:t>
            </w:r>
          </w:p>
        </w:tc>
        <w:tc>
          <w:tcPr>
            <w:tcW w:w="0" w:type="dxa"/>
            <w:vAlign w:val="bottom"/>
          </w:tcPr>
          <w:p>
            <w:pPr>
              <w:spacing w:after="0"/>
              <w:rPr>
                <w:sz w:val="1"/>
                <w:szCs w:val="1"/>
                <w:color w:val="auto"/>
              </w:rPr>
            </w:pP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Mortgage Servicing Fees</w:t>
            </w:r>
          </w:p>
        </w:tc>
        <w:tc>
          <w:tcPr>
            <w:tcW w:w="740" w:type="dxa"/>
            <w:vAlign w:val="bottom"/>
          </w:tcPr>
          <w:p>
            <w:pPr>
              <w:spacing w:after="0"/>
              <w:rPr>
                <w:sz w:val="14"/>
                <w:szCs w:val="14"/>
                <w:color w:val="auto"/>
              </w:rPr>
            </w:pPr>
          </w:p>
        </w:tc>
        <w:tc>
          <w:tcPr>
            <w:tcW w:w="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54</w:t>
            </w:r>
          </w:p>
        </w:tc>
        <w:tc>
          <w:tcPr>
            <w:tcW w:w="66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c>
          <w:tcPr>
            <w:tcW w:w="0" w:type="dxa"/>
            <w:vAlign w:val="bottom"/>
          </w:tcPr>
          <w:p>
            <w:pPr>
              <w:spacing w:after="0"/>
              <w:rPr>
                <w:sz w:val="1"/>
                <w:szCs w:val="1"/>
                <w:color w:val="auto"/>
              </w:rPr>
            </w:pP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Loan Commitment Fees</w:t>
            </w:r>
          </w:p>
        </w:tc>
        <w:tc>
          <w:tcPr>
            <w:tcW w:w="740" w:type="dxa"/>
            <w:vAlign w:val="bottom"/>
          </w:tcPr>
          <w:p>
            <w:pPr>
              <w:spacing w:after="0"/>
              <w:rPr>
                <w:sz w:val="14"/>
                <w:szCs w:val="14"/>
                <w:color w:val="auto"/>
              </w:rPr>
            </w:pPr>
          </w:p>
        </w:tc>
        <w:tc>
          <w:tcPr>
            <w:tcW w:w="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30</w:t>
            </w:r>
          </w:p>
        </w:tc>
        <w:tc>
          <w:tcPr>
            <w:tcW w:w="66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w:t>
            </w:r>
          </w:p>
        </w:tc>
        <w:tc>
          <w:tcPr>
            <w:tcW w:w="0" w:type="dxa"/>
            <w:vAlign w:val="bottom"/>
          </w:tcPr>
          <w:p>
            <w:pPr>
              <w:spacing w:after="0"/>
              <w:rPr>
                <w:sz w:val="1"/>
                <w:szCs w:val="1"/>
                <w:color w:val="auto"/>
              </w:rPr>
            </w:pP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Fees</w:t>
            </w:r>
          </w:p>
        </w:tc>
        <w:tc>
          <w:tcPr>
            <w:tcW w:w="740" w:type="dxa"/>
            <w:vAlign w:val="bottom"/>
          </w:tcPr>
          <w:p>
            <w:pPr>
              <w:spacing w:after="0"/>
              <w:rPr>
                <w:sz w:val="14"/>
                <w:szCs w:val="14"/>
                <w:color w:val="auto"/>
              </w:rPr>
            </w:pPr>
          </w:p>
        </w:tc>
        <w:tc>
          <w:tcPr>
            <w:tcW w:w="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141</w:t>
            </w:r>
          </w:p>
        </w:tc>
        <w:tc>
          <w:tcPr>
            <w:tcW w:w="66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w:t>
            </w:r>
          </w:p>
        </w:tc>
        <w:tc>
          <w:tcPr>
            <w:tcW w:w="0" w:type="dxa"/>
            <w:vAlign w:val="bottom"/>
          </w:tcPr>
          <w:p>
            <w:pPr>
              <w:spacing w:after="0"/>
              <w:rPr>
                <w:sz w:val="1"/>
                <w:szCs w:val="1"/>
                <w:color w:val="auto"/>
              </w:rPr>
            </w:pPr>
          </w:p>
        </w:tc>
      </w:tr>
      <w:tr>
        <w:trPr>
          <w:trHeight w:val="168"/>
        </w:trPr>
        <w:tc>
          <w:tcPr>
            <w:tcW w:w="496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w:t>
            </w:r>
          </w:p>
        </w:tc>
        <w:tc>
          <w:tcPr>
            <w:tcW w:w="16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960" w:type="dxa"/>
            <w:vAlign w:val="bottom"/>
            <w:vMerge w:val="continue"/>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381</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353</w:t>
            </w:r>
          </w:p>
        </w:tc>
        <w:tc>
          <w:tcPr>
            <w:tcW w:w="0" w:type="dxa"/>
            <w:vAlign w:val="bottom"/>
          </w:tcPr>
          <w:p>
            <w:pPr>
              <w:spacing w:after="0"/>
              <w:rPr>
                <w:sz w:val="1"/>
                <w:szCs w:val="1"/>
                <w:color w:val="auto"/>
              </w:rPr>
            </w:pPr>
          </w:p>
        </w:tc>
      </w:tr>
      <w:tr>
        <w:trPr>
          <w:trHeight w:val="245"/>
        </w:trPr>
        <w:tc>
          <w:tcPr>
            <w:tcW w:w="4960" w:type="dxa"/>
            <w:vAlign w:val="bottom"/>
          </w:tcPr>
          <w:p>
            <w:pPr>
              <w:spacing w:after="0"/>
              <w:rPr>
                <w:sz w:val="21"/>
                <w:szCs w:val="21"/>
                <w:color w:val="auto"/>
              </w:rPr>
            </w:pPr>
          </w:p>
        </w:tc>
        <w:tc>
          <w:tcPr>
            <w:tcW w:w="1600" w:type="dxa"/>
            <w:vAlign w:val="bottom"/>
            <w:gridSpan w:val="2"/>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620"/>
        <w:spacing w:after="0" w:line="264" w:lineRule="auto"/>
        <w:rPr>
          <w:sz w:val="20"/>
          <w:szCs w:val="20"/>
          <w:color w:val="auto"/>
        </w:rPr>
      </w:pPr>
      <w:r>
        <w:rPr>
          <w:rFonts w:ascii="Courier New" w:cs="Courier New" w:eastAsia="Courier New" w:hAnsi="Courier New"/>
          <w:sz w:val="15"/>
          <w:szCs w:val="15"/>
          <w:color w:val="auto"/>
        </w:rPr>
        <w:t>Fees related to automobile securitizations and brokerage commissions contributed to the increase in other fees, reflecting the impact of automobile securitizations in late 1995 and early 1996, as well as higher transaction volume and a larger customer base at the Corporation's discount brokerage firm, Brown and Company.</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Trading Revenue</w:t>
      </w:r>
    </w:p>
    <w:p>
      <w:pPr>
        <w:spacing w:after="0" w:line="24" w:lineRule="exact"/>
        <w:rPr>
          <w:sz w:val="20"/>
          <w:szCs w:val="20"/>
          <w:color w:val="auto"/>
        </w:rPr>
      </w:pPr>
    </w:p>
    <w:p>
      <w:pPr>
        <w:ind w:right="620"/>
        <w:spacing w:after="0" w:line="307" w:lineRule="auto"/>
        <w:rPr>
          <w:sz w:val="20"/>
          <w:szCs w:val="20"/>
          <w:color w:val="auto"/>
        </w:rPr>
      </w:pPr>
      <w:r>
        <w:rPr>
          <w:rFonts w:ascii="Courier New" w:cs="Courier New" w:eastAsia="Courier New" w:hAnsi="Courier New"/>
          <w:sz w:val="15"/>
          <w:szCs w:val="15"/>
          <w:color w:val="auto"/>
        </w:rPr>
        <w:t>The following table sets forth the components of trading revenue for the second quarter and first six months of 1996 and 1995.</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Second Quarter</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vMerge w:val="restart"/>
          </w:tcPr>
          <w:p>
            <w:pPr>
              <w:spacing w:after="0"/>
              <w:rPr>
                <w:sz w:val="20"/>
                <w:szCs w:val="20"/>
                <w:color w:val="auto"/>
              </w:rPr>
            </w:pPr>
            <w:r>
              <w:rPr>
                <w:rFonts w:ascii="Courier New" w:cs="Courier New" w:eastAsia="Courier New" w:hAnsi="Courier New"/>
                <w:sz w:val="15"/>
                <w:szCs w:val="15"/>
                <w:color w:val="auto"/>
              </w:rPr>
              <w:t>(in millions)</w:t>
            </w:r>
          </w:p>
        </w:tc>
        <w:tc>
          <w:tcPr>
            <w:tcW w:w="3360" w:type="dxa"/>
            <w:vAlign w:val="bottom"/>
            <w:gridSpan w:val="4"/>
          </w:tcPr>
          <w:p>
            <w:pPr>
              <w:ind w:left="1180"/>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426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1996</w:t>
            </w:r>
          </w:p>
        </w:tc>
        <w:tc>
          <w:tcPr>
            <w:tcW w:w="62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1995</w:t>
            </w:r>
          </w:p>
        </w:tc>
        <w:tc>
          <w:tcPr>
            <w:tcW w:w="0" w:type="dxa"/>
            <w:vAlign w:val="bottom"/>
          </w:tcPr>
          <w:p>
            <w:pPr>
              <w:spacing w:after="0"/>
              <w:rPr>
                <w:sz w:val="1"/>
                <w:szCs w:val="1"/>
                <w:color w:val="auto"/>
              </w:rPr>
            </w:pPr>
          </w:p>
        </w:tc>
      </w:tr>
      <w:tr>
        <w:trPr>
          <w:trHeight w:val="245"/>
        </w:trPr>
        <w:tc>
          <w:tcPr>
            <w:tcW w:w="4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1"/>
                <w:szCs w:val="21"/>
                <w:color w:val="auto"/>
              </w:rPr>
            </w:pP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59"/>
        </w:trPr>
        <w:tc>
          <w:tcPr>
            <w:tcW w:w="4260" w:type="dxa"/>
            <w:vAlign w:val="bottom"/>
          </w:tcPr>
          <w:p>
            <w:pPr>
              <w:spacing w:after="0"/>
              <w:rPr>
                <w:sz w:val="20"/>
                <w:szCs w:val="20"/>
                <w:color w:val="auto"/>
              </w:rPr>
            </w:pPr>
            <w:r>
              <w:rPr>
                <w:rFonts w:ascii="Courier New" w:cs="Courier New" w:eastAsia="Courier New" w:hAnsi="Courier New"/>
                <w:sz w:val="15"/>
                <w:szCs w:val="15"/>
                <w:color w:val="auto"/>
              </w:rPr>
              <w:t>Trading Revenue</w:t>
            </w:r>
          </w:p>
        </w:tc>
        <w:tc>
          <w:tcPr>
            <w:tcW w:w="1300" w:type="dxa"/>
            <w:vAlign w:val="bottom"/>
          </w:tcPr>
          <w:p>
            <w:pPr>
              <w:ind w:left="11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379</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301</w:t>
            </w:r>
          </w:p>
        </w:tc>
        <w:tc>
          <w:tcPr>
            <w:tcW w:w="0" w:type="dxa"/>
            <w:vAlign w:val="bottom"/>
          </w:tcPr>
          <w:p>
            <w:pPr>
              <w:spacing w:after="0"/>
              <w:rPr>
                <w:sz w:val="1"/>
                <w:szCs w:val="1"/>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Interest Income Impact (a)</w:t>
            </w:r>
          </w:p>
        </w:tc>
        <w:tc>
          <w:tcPr>
            <w:tcW w:w="1300" w:type="dxa"/>
            <w:vAlign w:val="bottom"/>
          </w:tcPr>
          <w:p>
            <w:pPr>
              <w:spacing w:after="0"/>
              <w:rPr>
                <w:sz w:val="14"/>
                <w:szCs w:val="14"/>
                <w:color w:val="auto"/>
              </w:rPr>
            </w:pP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142</w:t>
            </w:r>
          </w:p>
        </w:tc>
        <w:tc>
          <w:tcPr>
            <w:tcW w:w="62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w:t>
            </w:r>
          </w:p>
        </w:tc>
        <w:tc>
          <w:tcPr>
            <w:tcW w:w="0" w:type="dxa"/>
            <w:vAlign w:val="bottom"/>
          </w:tcPr>
          <w:p>
            <w:pPr>
              <w:spacing w:after="0"/>
              <w:rPr>
                <w:sz w:val="1"/>
                <w:szCs w:val="1"/>
                <w:color w:val="auto"/>
              </w:rPr>
            </w:pPr>
          </w:p>
        </w:tc>
      </w:tr>
      <w:tr>
        <w:trPr>
          <w:trHeight w:val="168"/>
        </w:trPr>
        <w:tc>
          <w:tcPr>
            <w:tcW w:w="4260" w:type="dxa"/>
            <w:vAlign w:val="bottom"/>
            <w:vMerge w:val="restart"/>
          </w:tcPr>
          <w:p>
            <w:pPr>
              <w:spacing w:after="0"/>
              <w:rPr>
                <w:sz w:val="20"/>
                <w:szCs w:val="20"/>
                <w:color w:val="auto"/>
              </w:rPr>
            </w:pPr>
            <w:r>
              <w:rPr>
                <w:rFonts w:ascii="Courier New" w:cs="Courier New" w:eastAsia="Courier New" w:hAnsi="Courier New"/>
                <w:sz w:val="15"/>
                <w:szCs w:val="15"/>
                <w:color w:val="auto"/>
              </w:rPr>
              <w:t>Total Trading-Related Revenue</w:t>
            </w:r>
          </w:p>
        </w:tc>
        <w:tc>
          <w:tcPr>
            <w:tcW w:w="23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260" w:type="dxa"/>
            <w:vAlign w:val="bottom"/>
            <w:vMerge w:val="continue"/>
          </w:tcPr>
          <w:p>
            <w:pPr>
              <w:spacing w:after="0"/>
              <w:rPr>
                <w:sz w:val="14"/>
                <w:szCs w:val="14"/>
                <w:color w:val="auto"/>
              </w:rPr>
            </w:pPr>
          </w:p>
        </w:tc>
        <w:tc>
          <w:tcPr>
            <w:tcW w:w="130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521</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409</w:t>
            </w:r>
          </w:p>
        </w:tc>
        <w:tc>
          <w:tcPr>
            <w:tcW w:w="0" w:type="dxa"/>
            <w:vAlign w:val="bottom"/>
          </w:tcPr>
          <w:p>
            <w:pPr>
              <w:spacing w:after="0"/>
              <w:rPr>
                <w:sz w:val="1"/>
                <w:szCs w:val="1"/>
                <w:color w:val="auto"/>
              </w:rPr>
            </w:pPr>
          </w:p>
        </w:tc>
      </w:tr>
      <w:tr>
        <w:trPr>
          <w:trHeight w:val="245"/>
        </w:trPr>
        <w:tc>
          <w:tcPr>
            <w:tcW w:w="4260" w:type="dxa"/>
            <w:vAlign w:val="bottom"/>
            <w:vMerge w:val="restart"/>
          </w:tcPr>
          <w:p>
            <w:pPr>
              <w:spacing w:after="0"/>
              <w:rPr>
                <w:sz w:val="20"/>
                <w:szCs w:val="20"/>
                <w:color w:val="auto"/>
              </w:rPr>
            </w:pPr>
            <w:r>
              <w:rPr>
                <w:rFonts w:ascii="Courier New" w:cs="Courier New" w:eastAsia="Courier New" w:hAnsi="Courier New"/>
                <w:sz w:val="15"/>
                <w:szCs w:val="15"/>
                <w:color w:val="auto"/>
              </w:rPr>
              <w:t>Product Diversification:</w:t>
            </w:r>
          </w:p>
        </w:tc>
        <w:tc>
          <w:tcPr>
            <w:tcW w:w="2300" w:type="dxa"/>
            <w:vAlign w:val="bottom"/>
            <w:gridSpan w:val="2"/>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4260" w:type="dxa"/>
            <w:vAlign w:val="bottom"/>
            <w:vMerge w:val="continue"/>
          </w:tcPr>
          <w:p>
            <w:pPr>
              <w:spacing w:after="0"/>
              <w:rPr>
                <w:sz w:val="7"/>
                <w:szCs w:val="7"/>
                <w:color w:val="auto"/>
              </w:rPr>
            </w:pPr>
          </w:p>
        </w:tc>
        <w:tc>
          <w:tcPr>
            <w:tcW w:w="1300" w:type="dxa"/>
            <w:vAlign w:val="bottom"/>
            <w:vMerge w:val="restart"/>
          </w:tcPr>
          <w:p>
            <w:pPr>
              <w:ind w:left="1180"/>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180</w:t>
            </w:r>
          </w:p>
        </w:tc>
        <w:tc>
          <w:tcPr>
            <w:tcW w:w="6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118</w:t>
            </w:r>
          </w:p>
        </w:tc>
        <w:tc>
          <w:tcPr>
            <w:tcW w:w="0" w:type="dxa"/>
            <w:vAlign w:val="bottom"/>
          </w:tcPr>
          <w:p>
            <w:pPr>
              <w:spacing w:after="0"/>
              <w:rPr>
                <w:sz w:val="1"/>
                <w:szCs w:val="1"/>
                <w:color w:val="auto"/>
              </w:rPr>
            </w:pP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Rate Contracts (b)</w:t>
            </w:r>
          </w:p>
        </w:tc>
        <w:tc>
          <w:tcPr>
            <w:tcW w:w="13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Foreign Exchange Contracts (c)</w:t>
            </w:r>
          </w:p>
        </w:tc>
        <w:tc>
          <w:tcPr>
            <w:tcW w:w="1300" w:type="dxa"/>
            <w:vAlign w:val="bottom"/>
          </w:tcPr>
          <w:p>
            <w:pPr>
              <w:spacing w:after="0"/>
              <w:rPr>
                <w:sz w:val="14"/>
                <w:szCs w:val="14"/>
                <w:color w:val="auto"/>
              </w:rPr>
            </w:pP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93</w:t>
            </w:r>
          </w:p>
        </w:tc>
        <w:tc>
          <w:tcPr>
            <w:tcW w:w="62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143</w:t>
            </w:r>
          </w:p>
        </w:tc>
        <w:tc>
          <w:tcPr>
            <w:tcW w:w="0" w:type="dxa"/>
            <w:vAlign w:val="bottom"/>
          </w:tcPr>
          <w:p>
            <w:pPr>
              <w:spacing w:after="0"/>
              <w:rPr>
                <w:sz w:val="1"/>
                <w:szCs w:val="1"/>
                <w:color w:val="auto"/>
              </w:rPr>
            </w:pP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Debt Instruments and Other (d)</w:t>
            </w:r>
          </w:p>
        </w:tc>
        <w:tc>
          <w:tcPr>
            <w:tcW w:w="1300" w:type="dxa"/>
            <w:vAlign w:val="bottom"/>
          </w:tcPr>
          <w:p>
            <w:pPr>
              <w:spacing w:after="0"/>
              <w:rPr>
                <w:sz w:val="14"/>
                <w:szCs w:val="14"/>
                <w:color w:val="auto"/>
              </w:rPr>
            </w:pP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248</w:t>
            </w:r>
          </w:p>
        </w:tc>
        <w:tc>
          <w:tcPr>
            <w:tcW w:w="62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w:t>
            </w:r>
          </w:p>
        </w:tc>
        <w:tc>
          <w:tcPr>
            <w:tcW w:w="0" w:type="dxa"/>
            <w:vAlign w:val="bottom"/>
          </w:tcPr>
          <w:p>
            <w:pPr>
              <w:spacing w:after="0"/>
              <w:rPr>
                <w:sz w:val="1"/>
                <w:szCs w:val="1"/>
                <w:color w:val="auto"/>
              </w:rPr>
            </w:pPr>
          </w:p>
        </w:tc>
      </w:tr>
      <w:tr>
        <w:trPr>
          <w:trHeight w:val="168"/>
        </w:trPr>
        <w:tc>
          <w:tcPr>
            <w:tcW w:w="4260" w:type="dxa"/>
            <w:vAlign w:val="bottom"/>
            <w:vMerge w:val="restart"/>
          </w:tcPr>
          <w:p>
            <w:pPr>
              <w:spacing w:after="0"/>
              <w:rPr>
                <w:sz w:val="20"/>
                <w:szCs w:val="20"/>
                <w:color w:val="auto"/>
              </w:rPr>
            </w:pPr>
            <w:r>
              <w:rPr>
                <w:rFonts w:ascii="Courier New" w:cs="Courier New" w:eastAsia="Courier New" w:hAnsi="Courier New"/>
                <w:sz w:val="15"/>
                <w:szCs w:val="15"/>
                <w:color w:val="auto"/>
              </w:rPr>
              <w:t>Total Trading-Related Revenue</w:t>
            </w:r>
          </w:p>
        </w:tc>
        <w:tc>
          <w:tcPr>
            <w:tcW w:w="23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260" w:type="dxa"/>
            <w:vAlign w:val="bottom"/>
            <w:vMerge w:val="continue"/>
          </w:tcPr>
          <w:p>
            <w:pPr>
              <w:spacing w:after="0"/>
              <w:rPr>
                <w:sz w:val="14"/>
                <w:szCs w:val="14"/>
                <w:color w:val="auto"/>
              </w:rPr>
            </w:pPr>
          </w:p>
        </w:tc>
        <w:tc>
          <w:tcPr>
            <w:tcW w:w="130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521</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409</w:t>
            </w:r>
          </w:p>
        </w:tc>
        <w:tc>
          <w:tcPr>
            <w:tcW w:w="0" w:type="dxa"/>
            <w:vAlign w:val="bottom"/>
          </w:tcPr>
          <w:p>
            <w:pPr>
              <w:spacing w:after="0"/>
              <w:rPr>
                <w:sz w:val="1"/>
                <w:szCs w:val="1"/>
                <w:color w:val="auto"/>
              </w:rPr>
            </w:pPr>
          </w:p>
        </w:tc>
      </w:tr>
      <w:tr>
        <w:trPr>
          <w:trHeight w:val="245"/>
        </w:trPr>
        <w:tc>
          <w:tcPr>
            <w:tcW w:w="4260" w:type="dxa"/>
            <w:vAlign w:val="bottom"/>
          </w:tcPr>
          <w:p>
            <w:pPr>
              <w:spacing w:after="0"/>
              <w:rPr>
                <w:sz w:val="21"/>
                <w:szCs w:val="21"/>
                <w:color w:val="auto"/>
              </w:rPr>
            </w:pPr>
          </w:p>
        </w:tc>
        <w:tc>
          <w:tcPr>
            <w:tcW w:w="2300" w:type="dxa"/>
            <w:vAlign w:val="bottom"/>
            <w:gridSpan w:val="2"/>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jc w:val="both"/>
        <w:ind w:left="540" w:right="620" w:hanging="530"/>
        <w:spacing w:after="0" w:line="262" w:lineRule="auto"/>
        <w:tabs>
          <w:tab w:leader="none" w:pos="5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interest income attributable to trading activities includes accruals on interest-earning and interest-bearing trading-related positions as well as management allocations reflecting the funding cost or benefit associated with trading positions. This amount is included in the net interest income caption on the Consolidated Statement of Income.</w:t>
      </w:r>
    </w:p>
    <w:p>
      <w:pPr>
        <w:spacing w:after="0" w:line="1" w:lineRule="exact"/>
        <w:rPr>
          <w:rFonts w:ascii="Courier New" w:cs="Courier New" w:eastAsia="Courier New" w:hAnsi="Courier New"/>
          <w:sz w:val="14"/>
          <w:szCs w:val="14"/>
          <w:color w:val="auto"/>
        </w:rPr>
      </w:pPr>
    </w:p>
    <w:p>
      <w:pPr>
        <w:jc w:val="both"/>
        <w:ind w:left="540" w:right="620" w:hanging="530"/>
        <w:spacing w:after="0" w:line="237" w:lineRule="auto"/>
        <w:tabs>
          <w:tab w:leader="none" w:pos="5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interest rate swaps, cross-currency interest rate swaps, foreign exchange forward contracts, interest rate futures, and forward rate agreements and related hedges.</w:t>
      </w:r>
    </w:p>
    <w:p>
      <w:pPr>
        <w:spacing w:after="0" w:line="1" w:lineRule="exact"/>
        <w:rPr>
          <w:rFonts w:ascii="Courier New" w:cs="Courier New" w:eastAsia="Courier New" w:hAnsi="Courier New"/>
          <w:sz w:val="15"/>
          <w:szCs w:val="15"/>
          <w:color w:val="auto"/>
        </w:rPr>
      </w:pPr>
    </w:p>
    <w:p>
      <w:pPr>
        <w:ind w:left="540" w:hanging="530"/>
        <w:spacing w:after="0" w:line="237" w:lineRule="auto"/>
        <w:tabs>
          <w:tab w:leader="none" w:pos="5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foreign exchange spot and option contracts.</w:t>
      </w:r>
    </w:p>
    <w:p>
      <w:pPr>
        <w:jc w:val="both"/>
        <w:ind w:left="540" w:right="620" w:hanging="530"/>
        <w:spacing w:after="0" w:line="260" w:lineRule="auto"/>
        <w:tabs>
          <w:tab w:leader="none" w:pos="5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U.S. and foreign government and government agency securities, corporate debt securities, emerging markets debt instruments, debt-related derivatives, equity securities, equity derivatives, and commodity derivatives.</w:t>
      </w:r>
    </w:p>
    <w:p>
      <w:pPr>
        <w:spacing w:after="0" w:line="200" w:lineRule="exact"/>
        <w:rPr>
          <w:sz w:val="20"/>
          <w:szCs w:val="20"/>
          <w:color w:val="auto"/>
        </w:rPr>
      </w:pPr>
    </w:p>
    <w:p>
      <w:pPr>
        <w:spacing w:after="0" w:line="215" w:lineRule="exact"/>
        <w:rPr>
          <w:sz w:val="20"/>
          <w:szCs w:val="20"/>
          <w:color w:val="auto"/>
        </w:rPr>
      </w:pPr>
    </w:p>
    <w:p>
      <w:pPr>
        <w:ind w:right="620"/>
        <w:spacing w:after="0" w:line="266" w:lineRule="auto"/>
        <w:rPr>
          <w:sz w:val="20"/>
          <w:szCs w:val="20"/>
          <w:color w:val="auto"/>
        </w:rPr>
      </w:pPr>
      <w:r>
        <w:rPr>
          <w:rFonts w:ascii="Courier New" w:cs="Courier New" w:eastAsia="Courier New" w:hAnsi="Courier New"/>
          <w:sz w:val="14"/>
          <w:szCs w:val="14"/>
          <w:color w:val="auto"/>
        </w:rPr>
        <w:t>The increases in revenue from interest rate contracts during the 1996 second quarter and first six months were primarily due to anticipated volatility in certain Western European, Asian and U.S. interest rate markets, as well as increased customer demand for derivatives used for risk management purposes. The decline in foreign exchange revenue in the 1996 second quarter and first six months was caused by several factors, prominent among them was the decrease in the level of cross-currency trading activity in the European markets in anticipation of the integration of the European Monetary System. The increase in debt instrument revenue during the 1996 second quarter and first six months was primarily the result of strong performance in emerging markets in Latin America and Eastern Europe. In addition, the 1995 six-month results had been adversely affected by major declines in the prices of emerging markets debt instruments.</w:t>
      </w:r>
    </w:p>
    <w:p>
      <w:pPr>
        <w:spacing w:after="0" w:line="7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Six Months</w:t>
      </w:r>
    </w:p>
    <w:p>
      <w:pPr>
        <w:spacing w:after="0" w:line="2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tbl>
      <w:tblPr>
        <w:tblLayout w:type="fixed"/>
        <w:tblInd w:w="80" w:type="dxa"/>
        <w:tblCellMar>
          <w:top w:w="0" w:type="dxa"/>
          <w:left w:w="0" w:type="dxa"/>
          <w:bottom w:w="0" w:type="dxa"/>
          <w:right w:w="0" w:type="dxa"/>
        </w:tblCellMar>
      </w:tblPr>
      <w:tr>
        <w:trPr>
          <w:trHeight w:val="142"/>
        </w:trPr>
        <w:tc>
          <w:tcPr>
            <w:tcW w:w="120" w:type="dxa"/>
            <w:vAlign w:val="bottom"/>
          </w:tcPr>
          <w:p>
            <w:pPr>
              <w:spacing w:after="0"/>
              <w:rPr>
                <w:sz w:val="12"/>
                <w:szCs w:val="12"/>
                <w:color w:val="auto"/>
              </w:rPr>
            </w:pPr>
          </w:p>
        </w:tc>
        <w:tc>
          <w:tcPr>
            <w:tcW w:w="880" w:type="dxa"/>
            <w:vAlign w:val="bottom"/>
          </w:tcPr>
          <w:p>
            <w:pPr>
              <w:jc w:val="right"/>
              <w:ind w:right="407"/>
              <w:spacing w:after="0" w:line="142" w:lineRule="exact"/>
              <w:rPr>
                <w:sz w:val="20"/>
                <w:szCs w:val="20"/>
                <w:color w:val="auto"/>
              </w:rPr>
            </w:pPr>
            <w:r>
              <w:rPr>
                <w:rFonts w:ascii="Courier New" w:cs="Courier New" w:eastAsia="Courier New" w:hAnsi="Courier New"/>
                <w:sz w:val="15"/>
                <w:szCs w:val="15"/>
                <w:color w:val="auto"/>
              </w:rPr>
              <w:t>1996</w:t>
            </w:r>
          </w:p>
        </w:tc>
        <w:tc>
          <w:tcPr>
            <w:tcW w:w="660" w:type="dxa"/>
            <w:vAlign w:val="bottom"/>
          </w:tcPr>
          <w:p>
            <w:pPr>
              <w:spacing w:after="0"/>
              <w:rPr>
                <w:sz w:val="12"/>
                <w:szCs w:val="12"/>
                <w:color w:val="auto"/>
              </w:rPr>
            </w:pPr>
          </w:p>
        </w:tc>
        <w:tc>
          <w:tcPr>
            <w:tcW w:w="520" w:type="dxa"/>
            <w:vAlign w:val="bottom"/>
          </w:tcPr>
          <w:p>
            <w:pPr>
              <w:jc w:val="right"/>
              <w:ind w:right="7"/>
              <w:spacing w:after="0" w:line="142" w:lineRule="exact"/>
              <w:rPr>
                <w:sz w:val="20"/>
                <w:szCs w:val="20"/>
                <w:color w:val="auto"/>
              </w:rPr>
            </w:pPr>
            <w:r>
              <w:rPr>
                <w:rFonts w:ascii="Courier New" w:cs="Courier New" w:eastAsia="Courier New" w:hAnsi="Courier New"/>
                <w:sz w:val="15"/>
                <w:szCs w:val="15"/>
                <w:color w:val="auto"/>
              </w:rPr>
              <w:t>1995</w:t>
            </w:r>
          </w:p>
        </w:tc>
      </w:tr>
      <w:tr>
        <w:trPr>
          <w:trHeight w:val="245"/>
        </w:trPr>
        <w:tc>
          <w:tcPr>
            <w:tcW w:w="120" w:type="dxa"/>
            <w:vAlign w:val="bottom"/>
          </w:tcPr>
          <w:p>
            <w:pPr>
              <w:spacing w:after="0"/>
              <w:rPr>
                <w:sz w:val="21"/>
                <w:szCs w:val="21"/>
                <w:color w:val="auto"/>
              </w:rPr>
            </w:pPr>
          </w:p>
        </w:tc>
        <w:tc>
          <w:tcPr>
            <w:tcW w:w="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21"/>
                <w:szCs w:val="21"/>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427"/>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171</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174</w:t>
            </w:r>
          </w:p>
        </w:tc>
      </w:tr>
      <w:tr>
        <w:trPr>
          <w:trHeight w:val="168"/>
        </w:trPr>
        <w:tc>
          <w:tcPr>
            <w:tcW w:w="120" w:type="dxa"/>
            <w:vAlign w:val="bottom"/>
          </w:tcPr>
          <w:p>
            <w:pPr>
              <w:spacing w:after="0"/>
              <w:rPr>
                <w:sz w:val="14"/>
                <w:szCs w:val="14"/>
                <w:color w:val="auto"/>
              </w:rPr>
            </w:pPr>
          </w:p>
        </w:tc>
        <w:tc>
          <w:tcPr>
            <w:tcW w:w="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148</w:t>
            </w:r>
          </w:p>
        </w:tc>
        <w:tc>
          <w:tcPr>
            <w:tcW w:w="6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w:t>
            </w:r>
          </w:p>
        </w:tc>
      </w:tr>
      <w:tr>
        <w:trPr>
          <w:trHeight w:val="168"/>
        </w:trPr>
        <w:tc>
          <w:tcPr>
            <w:tcW w:w="120" w:type="dxa"/>
            <w:vAlign w:val="bottom"/>
          </w:tcPr>
          <w:p>
            <w:pPr>
              <w:spacing w:after="0"/>
              <w:rPr>
                <w:sz w:val="14"/>
                <w:szCs w:val="14"/>
                <w:color w:val="auto"/>
              </w:rPr>
            </w:pPr>
          </w:p>
        </w:tc>
        <w:tc>
          <w:tcPr>
            <w:tcW w:w="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104</w:t>
            </w:r>
          </w:p>
        </w:tc>
        <w:tc>
          <w:tcPr>
            <w:tcW w:w="6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w:t>
            </w:r>
          </w:p>
        </w:tc>
      </w:tr>
      <w:tr>
        <w:trPr>
          <w:trHeight w:val="168"/>
        </w:trPr>
        <w:tc>
          <w:tcPr>
            <w:tcW w:w="120" w:type="dxa"/>
            <w:vAlign w:val="bottom"/>
          </w:tcPr>
          <w:p>
            <w:pPr>
              <w:spacing w:after="0"/>
              <w:rPr>
                <w:sz w:val="14"/>
                <w:szCs w:val="14"/>
                <w:color w:val="auto"/>
              </w:rPr>
            </w:pPr>
          </w:p>
        </w:tc>
        <w:tc>
          <w:tcPr>
            <w:tcW w:w="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60</w:t>
            </w:r>
          </w:p>
        </w:tc>
        <w:tc>
          <w:tcPr>
            <w:tcW w:w="6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120" w:type="dxa"/>
            <w:vAlign w:val="bottom"/>
          </w:tcPr>
          <w:p>
            <w:pPr>
              <w:spacing w:after="0"/>
              <w:rPr>
                <w:sz w:val="14"/>
                <w:szCs w:val="14"/>
                <w:color w:val="auto"/>
              </w:rPr>
            </w:pPr>
          </w:p>
        </w:tc>
        <w:tc>
          <w:tcPr>
            <w:tcW w:w="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276</w:t>
            </w:r>
          </w:p>
        </w:tc>
        <w:tc>
          <w:tcPr>
            <w:tcW w:w="6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234</w:t>
            </w:r>
          </w:p>
        </w:tc>
      </w:tr>
      <w:tr>
        <w:trPr>
          <w:trHeight w:val="168"/>
        </w:trPr>
        <w:tc>
          <w:tcPr>
            <w:tcW w:w="10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2"/>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759</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720</w:t>
            </w:r>
          </w:p>
        </w:tc>
      </w:tr>
      <w:tr>
        <w:trPr>
          <w:trHeight w:val="245"/>
        </w:trPr>
        <w:tc>
          <w:tcPr>
            <w:tcW w:w="10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Six Months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42"/>
        </w:trPr>
        <w:tc>
          <w:tcPr>
            <w:tcW w:w="160" w:type="dxa"/>
            <w:vAlign w:val="bottom"/>
          </w:tcPr>
          <w:p>
            <w:pPr>
              <w:spacing w:after="0"/>
              <w:rPr>
                <w:sz w:val="12"/>
                <w:szCs w:val="12"/>
                <w:color w:val="auto"/>
              </w:rPr>
            </w:pPr>
          </w:p>
        </w:tc>
        <w:tc>
          <w:tcPr>
            <w:tcW w:w="920" w:type="dxa"/>
            <w:vAlign w:val="bottom"/>
          </w:tcPr>
          <w:p>
            <w:pPr>
              <w:jc w:val="right"/>
              <w:ind w:right="407"/>
              <w:spacing w:after="0" w:line="142" w:lineRule="exact"/>
              <w:rPr>
                <w:sz w:val="20"/>
                <w:szCs w:val="20"/>
                <w:color w:val="auto"/>
              </w:rPr>
            </w:pPr>
            <w:r>
              <w:rPr>
                <w:rFonts w:ascii="Courier New" w:cs="Courier New" w:eastAsia="Courier New" w:hAnsi="Courier New"/>
                <w:sz w:val="15"/>
                <w:szCs w:val="15"/>
                <w:color w:val="auto"/>
              </w:rPr>
              <w:t>1996</w:t>
            </w:r>
          </w:p>
        </w:tc>
        <w:tc>
          <w:tcPr>
            <w:tcW w:w="660" w:type="dxa"/>
            <w:vAlign w:val="bottom"/>
          </w:tcPr>
          <w:p>
            <w:pPr>
              <w:spacing w:after="0"/>
              <w:rPr>
                <w:sz w:val="12"/>
                <w:szCs w:val="12"/>
                <w:color w:val="auto"/>
              </w:rPr>
            </w:pPr>
          </w:p>
        </w:tc>
        <w:tc>
          <w:tcPr>
            <w:tcW w:w="520" w:type="dxa"/>
            <w:vAlign w:val="bottom"/>
          </w:tcPr>
          <w:p>
            <w:pPr>
              <w:jc w:val="right"/>
              <w:ind w:right="7"/>
              <w:spacing w:after="0" w:line="142" w:lineRule="exact"/>
              <w:rPr>
                <w:sz w:val="20"/>
                <w:szCs w:val="20"/>
                <w:color w:val="auto"/>
              </w:rPr>
            </w:pPr>
            <w:r>
              <w:rPr>
                <w:rFonts w:ascii="Courier New" w:cs="Courier New" w:eastAsia="Courier New" w:hAnsi="Courier New"/>
                <w:sz w:val="15"/>
                <w:szCs w:val="15"/>
                <w:color w:val="auto"/>
              </w:rPr>
              <w:t>1995</w:t>
            </w:r>
          </w:p>
        </w:tc>
      </w:tr>
      <w:tr>
        <w:trPr>
          <w:trHeight w:val="245"/>
        </w:trPr>
        <w:tc>
          <w:tcPr>
            <w:tcW w:w="160" w:type="dxa"/>
            <w:vAlign w:val="bottom"/>
          </w:tcPr>
          <w:p>
            <w:pPr>
              <w:spacing w:after="0"/>
              <w:rPr>
                <w:sz w:val="21"/>
                <w:szCs w:val="21"/>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21"/>
                <w:szCs w:val="21"/>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259"/>
        </w:trPr>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718</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r>
      <w:tr>
        <w:trPr>
          <w:trHeight w:val="168"/>
        </w:trPr>
        <w:tc>
          <w:tcPr>
            <w:tcW w:w="16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290</w:t>
            </w:r>
          </w:p>
        </w:tc>
        <w:tc>
          <w:tcPr>
            <w:tcW w:w="6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192</w:t>
            </w:r>
          </w:p>
        </w:tc>
      </w:tr>
      <w:tr>
        <w:trPr>
          <w:trHeight w:val="168"/>
        </w:trPr>
        <w:tc>
          <w:tcPr>
            <w:tcW w:w="10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1"/>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1"/>
              </w:rPr>
              <w:t>$ 1,008</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592</w:t>
            </w:r>
          </w:p>
        </w:tc>
      </w:tr>
      <w:tr>
        <w:trPr>
          <w:trHeight w:val="245"/>
        </w:trPr>
        <w:tc>
          <w:tcPr>
            <w:tcW w:w="10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w w:val="91"/>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259"/>
        </w:trPr>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326</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184</w:t>
            </w:r>
          </w:p>
        </w:tc>
      </w:tr>
      <w:tr>
        <w:trPr>
          <w:trHeight w:val="168"/>
        </w:trPr>
        <w:tc>
          <w:tcPr>
            <w:tcW w:w="16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233</w:t>
            </w:r>
          </w:p>
        </w:tc>
        <w:tc>
          <w:tcPr>
            <w:tcW w:w="6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317</w:t>
            </w:r>
          </w:p>
        </w:tc>
      </w:tr>
      <w:tr>
        <w:trPr>
          <w:trHeight w:val="168"/>
        </w:trPr>
        <w:tc>
          <w:tcPr>
            <w:tcW w:w="16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449</w:t>
            </w:r>
          </w:p>
        </w:tc>
        <w:tc>
          <w:tcPr>
            <w:tcW w:w="6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10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1"/>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1"/>
              </w:rPr>
              <w:t>$ 1,008</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592</w:t>
            </w:r>
          </w:p>
        </w:tc>
      </w:tr>
      <w:tr>
        <w:trPr>
          <w:trHeight w:val="245"/>
        </w:trPr>
        <w:tc>
          <w:tcPr>
            <w:tcW w:w="10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w w:val="91"/>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620" w:space="620"/>
            <w:col w:w="2260"/>
          </w:cols>
          <w:pgMar w:left="220" w:top="596" w:right="1179" w:bottom="1440" w:gutter="0" w:footer="0" w:header="0"/>
        </w:sectPr>
      </w:pPr>
    </w:p>
    <w:bookmarkStart w:id="21" w:name="page22"/>
    <w:bookmarkEnd w:id="21"/>
    <w:p>
      <w:pPr>
        <w:jc w:val="both"/>
        <w:ind w:right="1040"/>
        <w:spacing w:after="0" w:line="255" w:lineRule="auto"/>
        <w:rPr>
          <w:sz w:val="20"/>
          <w:szCs w:val="20"/>
          <w:color w:val="auto"/>
        </w:rPr>
      </w:pPr>
      <w:r>
        <w:rPr>
          <w:rFonts w:ascii="Courier New" w:cs="Courier New" w:eastAsia="Courier New" w:hAnsi="Courier New"/>
          <w:sz w:val="15"/>
          <w:szCs w:val="15"/>
          <w:color w:val="auto"/>
        </w:rPr>
        <w:t>Trading revenues are affected by many factors, including volatility of currencies and interest rates, the volume of transactions executed by the Corporation on behalf of its customers, the Corporation's success in proprietary positioning, the credit standing of the Corporation, and the steps taken by central banks and governments which affect financial markets. The Corporation expects its trading revenues will fluctuate as these factors will vary from period to period.</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Noninterest Revenue</w:t>
      </w:r>
    </w:p>
    <w:p>
      <w:pPr>
        <w:spacing w:after="0" w:line="24" w:lineRule="exact"/>
        <w:rPr>
          <w:sz w:val="20"/>
          <w:szCs w:val="20"/>
          <w:color w:val="auto"/>
        </w:rPr>
      </w:pPr>
    </w:p>
    <w:p>
      <w:pPr>
        <w:ind w:right="1380"/>
        <w:spacing w:after="0" w:line="346" w:lineRule="auto"/>
        <w:rPr>
          <w:sz w:val="20"/>
          <w:szCs w:val="20"/>
          <w:color w:val="auto"/>
        </w:rPr>
      </w:pPr>
      <w:r>
        <w:rPr>
          <w:rFonts w:ascii="Courier New" w:cs="Courier New" w:eastAsia="Courier New" w:hAnsi="Courier New"/>
          <w:sz w:val="14"/>
          <w:szCs w:val="14"/>
          <w:color w:val="auto"/>
        </w:rPr>
        <w:t>The following table presents securities gains and the composition of other revenue for the second quarter and first six months of 1996 and 1995.</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40" w:type="dxa"/>
            <w:vAlign w:val="bottom"/>
            <w:gridSpan w:val="3"/>
          </w:tcPr>
          <w:p>
            <w:pPr>
              <w:jc w:val="right"/>
              <w:ind w:right="467"/>
              <w:spacing w:after="0"/>
              <w:rPr>
                <w:sz w:val="20"/>
                <w:szCs w:val="20"/>
                <w:color w:val="auto"/>
              </w:rPr>
            </w:pPr>
            <w:r>
              <w:rPr>
                <w:rFonts w:ascii="Courier New" w:cs="Courier New" w:eastAsia="Courier New" w:hAnsi="Courier New"/>
                <w:sz w:val="15"/>
                <w:szCs w:val="15"/>
                <w:color w:val="auto"/>
              </w:rPr>
              <w:t>Second Quarter</w:t>
            </w:r>
          </w:p>
        </w:tc>
        <w:tc>
          <w:tcPr>
            <w:tcW w:w="0" w:type="dxa"/>
            <w:vAlign w:val="bottom"/>
          </w:tcPr>
          <w:p>
            <w:pPr>
              <w:spacing w:after="0"/>
              <w:rPr>
                <w:sz w:val="1"/>
                <w:szCs w:val="1"/>
                <w:color w:val="auto"/>
              </w:rPr>
            </w:pPr>
          </w:p>
        </w:tc>
      </w:tr>
      <w:tr>
        <w:trPr>
          <w:trHeight w:val="168"/>
        </w:trPr>
        <w:tc>
          <w:tcPr>
            <w:tcW w:w="5080" w:type="dxa"/>
            <w:vAlign w:val="bottom"/>
            <w:vMerge w:val="restart"/>
          </w:tcPr>
          <w:p>
            <w:pPr>
              <w:spacing w:after="0"/>
              <w:rPr>
                <w:sz w:val="20"/>
                <w:szCs w:val="20"/>
                <w:color w:val="auto"/>
              </w:rPr>
            </w:pPr>
            <w:r>
              <w:rPr>
                <w:rFonts w:ascii="Courier New" w:cs="Courier New" w:eastAsia="Courier New" w:hAnsi="Courier New"/>
                <w:sz w:val="15"/>
                <w:szCs w:val="15"/>
                <w:color w:val="auto"/>
              </w:rPr>
              <w:t>(in millions)</w:t>
            </w:r>
          </w:p>
        </w:tc>
        <w:tc>
          <w:tcPr>
            <w:tcW w:w="2720" w:type="dxa"/>
            <w:vAlign w:val="bottom"/>
            <w:gridSpan w:val="4"/>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08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9"/>
              </w:rPr>
              <w:t>1996</w:t>
            </w:r>
          </w:p>
        </w:tc>
        <w:tc>
          <w:tcPr>
            <w:tcW w:w="48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1995</w:t>
            </w:r>
          </w:p>
        </w:tc>
        <w:tc>
          <w:tcPr>
            <w:tcW w:w="0" w:type="dxa"/>
            <w:vAlign w:val="bottom"/>
          </w:tcPr>
          <w:p>
            <w:pPr>
              <w:spacing w:after="0"/>
              <w:rPr>
                <w:sz w:val="1"/>
                <w:szCs w:val="1"/>
                <w:color w:val="auto"/>
              </w:rPr>
            </w:pPr>
          </w:p>
        </w:tc>
      </w:tr>
      <w:tr>
        <w:trPr>
          <w:trHeight w:val="245"/>
        </w:trPr>
        <w:tc>
          <w:tcPr>
            <w:tcW w:w="5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21"/>
                <w:szCs w:val="21"/>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596"/>
        </w:trPr>
        <w:tc>
          <w:tcPr>
            <w:tcW w:w="5080" w:type="dxa"/>
            <w:vAlign w:val="bottom"/>
          </w:tcPr>
          <w:p>
            <w:pPr>
              <w:spacing w:after="0"/>
              <w:rPr>
                <w:sz w:val="20"/>
                <w:szCs w:val="20"/>
                <w:color w:val="auto"/>
              </w:rPr>
            </w:pPr>
            <w:r>
              <w:rPr>
                <w:rFonts w:ascii="Courier New" w:cs="Courier New" w:eastAsia="Courier New" w:hAnsi="Courier New"/>
                <w:sz w:val="15"/>
                <w:szCs w:val="15"/>
                <w:color w:val="auto"/>
              </w:rPr>
              <w:t>Securities Gains</w:t>
            </w:r>
          </w:p>
        </w:tc>
        <w:tc>
          <w:tcPr>
            <w:tcW w:w="5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72</w:t>
            </w:r>
          </w:p>
        </w:tc>
        <w:tc>
          <w:tcPr>
            <w:tcW w:w="0" w:type="dxa"/>
            <w:vAlign w:val="bottom"/>
          </w:tcPr>
          <w:p>
            <w:pPr>
              <w:spacing w:after="0"/>
              <w:rPr>
                <w:sz w:val="1"/>
                <w:szCs w:val="1"/>
                <w:color w:val="auto"/>
              </w:rPr>
            </w:pPr>
          </w:p>
        </w:tc>
      </w:tr>
      <w:tr>
        <w:trPr>
          <w:trHeight w:val="245"/>
        </w:trPr>
        <w:tc>
          <w:tcPr>
            <w:tcW w:w="5080" w:type="dxa"/>
            <w:vAlign w:val="bottom"/>
            <w:vMerge w:val="restart"/>
          </w:tcPr>
          <w:p>
            <w:pPr>
              <w:spacing w:after="0"/>
              <w:rPr>
                <w:sz w:val="20"/>
                <w:szCs w:val="20"/>
                <w:color w:val="auto"/>
              </w:rPr>
            </w:pPr>
            <w:r>
              <w:rPr>
                <w:rFonts w:ascii="Courier New" w:cs="Courier New" w:eastAsia="Courier New" w:hAnsi="Courier New"/>
                <w:sz w:val="15"/>
                <w:szCs w:val="15"/>
                <w:color w:val="auto"/>
              </w:rPr>
              <w:t>Other Revenue:</w:t>
            </w:r>
          </w:p>
        </w:tc>
        <w:tc>
          <w:tcPr>
            <w:tcW w:w="16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080" w:type="dxa"/>
            <w:vAlign w:val="bottom"/>
            <w:vMerge w:val="continue"/>
          </w:tcPr>
          <w:p>
            <w:pPr>
              <w:spacing w:after="0"/>
              <w:rPr>
                <w:sz w:val="7"/>
                <w:szCs w:val="7"/>
                <w:color w:val="auto"/>
              </w:rPr>
            </w:pPr>
          </w:p>
        </w:tc>
        <w:tc>
          <w:tcPr>
            <w:tcW w:w="58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219</w:t>
            </w:r>
          </w:p>
        </w:tc>
        <w:tc>
          <w:tcPr>
            <w:tcW w:w="4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208</w:t>
            </w:r>
          </w:p>
        </w:tc>
        <w:tc>
          <w:tcPr>
            <w:tcW w:w="0" w:type="dxa"/>
            <w:vAlign w:val="bottom"/>
          </w:tcPr>
          <w:p>
            <w:pPr>
              <w:spacing w:after="0"/>
              <w:rPr>
                <w:sz w:val="1"/>
                <w:szCs w:val="1"/>
                <w:color w:val="auto"/>
              </w:rPr>
            </w:pPr>
          </w:p>
        </w:tc>
      </w:tr>
      <w:tr>
        <w:trPr>
          <w:trHeight w:val="168"/>
        </w:trPr>
        <w:tc>
          <w:tcPr>
            <w:tcW w:w="5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Revenue from Equity-Related Investments</w:t>
            </w:r>
          </w:p>
        </w:tc>
        <w:tc>
          <w:tcPr>
            <w:tcW w:w="5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Losses on Emerging Markets Securities Sales</w:t>
            </w:r>
          </w:p>
        </w:tc>
        <w:tc>
          <w:tcPr>
            <w:tcW w:w="58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w:t>
            </w:r>
          </w:p>
        </w:tc>
        <w:tc>
          <w:tcPr>
            <w:tcW w:w="4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c>
          <w:tcPr>
            <w:tcW w:w="0" w:type="dxa"/>
            <w:vAlign w:val="bottom"/>
          </w:tcPr>
          <w:p>
            <w:pPr>
              <w:spacing w:after="0"/>
              <w:rPr>
                <w:sz w:val="1"/>
                <w:szCs w:val="1"/>
                <w:color w:val="auto"/>
              </w:rPr>
            </w:pPr>
          </w:p>
        </w:tc>
      </w:tr>
      <w:tr>
        <w:trPr>
          <w:trHeight w:val="168"/>
        </w:trPr>
        <w:tc>
          <w:tcPr>
            <w:tcW w:w="5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Gain on Sale of Investment in Far East Bank</w:t>
            </w:r>
          </w:p>
        </w:tc>
        <w:tc>
          <w:tcPr>
            <w:tcW w:w="580" w:type="dxa"/>
            <w:vAlign w:val="bottom"/>
          </w:tcPr>
          <w:p>
            <w:pPr>
              <w:spacing w:after="0"/>
              <w:rPr>
                <w:sz w:val="14"/>
                <w:szCs w:val="14"/>
                <w:color w:val="auto"/>
              </w:rPr>
            </w:pPr>
          </w:p>
        </w:tc>
        <w:tc>
          <w:tcPr>
            <w:tcW w:w="104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0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&amp; Trust Company</w:t>
            </w:r>
          </w:p>
        </w:tc>
        <w:tc>
          <w:tcPr>
            <w:tcW w:w="5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Residential Mortgage Origination/Sales Activities</w:t>
            </w:r>
          </w:p>
        </w:tc>
        <w:tc>
          <w:tcPr>
            <w:tcW w:w="58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w:t>
            </w:r>
          </w:p>
        </w:tc>
        <w:tc>
          <w:tcPr>
            <w:tcW w:w="4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w:t>
            </w:r>
          </w:p>
        </w:tc>
        <w:tc>
          <w:tcPr>
            <w:tcW w:w="0" w:type="dxa"/>
            <w:vAlign w:val="bottom"/>
          </w:tcPr>
          <w:p>
            <w:pPr>
              <w:spacing w:after="0"/>
              <w:rPr>
                <w:sz w:val="1"/>
                <w:szCs w:val="1"/>
                <w:color w:val="auto"/>
              </w:rPr>
            </w:pPr>
          </w:p>
        </w:tc>
      </w:tr>
      <w:tr>
        <w:trPr>
          <w:trHeight w:val="168"/>
        </w:trPr>
        <w:tc>
          <w:tcPr>
            <w:tcW w:w="5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Loss on Sale of a Building in Japan</w:t>
            </w:r>
          </w:p>
        </w:tc>
        <w:tc>
          <w:tcPr>
            <w:tcW w:w="580" w:type="dxa"/>
            <w:vAlign w:val="bottom"/>
          </w:tcPr>
          <w:p>
            <w:pPr>
              <w:spacing w:after="0"/>
              <w:rPr>
                <w:sz w:val="14"/>
                <w:szCs w:val="14"/>
                <w:color w:val="auto"/>
              </w:rPr>
            </w:pPr>
          </w:p>
        </w:tc>
        <w:tc>
          <w:tcPr>
            <w:tcW w:w="1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All Other Revenue</w:t>
            </w:r>
          </w:p>
        </w:tc>
        <w:tc>
          <w:tcPr>
            <w:tcW w:w="580" w:type="dxa"/>
            <w:vAlign w:val="bottom"/>
          </w:tcPr>
          <w:p>
            <w:pPr>
              <w:spacing w:after="0"/>
              <w:rPr>
                <w:sz w:val="14"/>
                <w:szCs w:val="14"/>
                <w:color w:val="auto"/>
              </w:rPr>
            </w:pPr>
          </w:p>
        </w:tc>
        <w:tc>
          <w:tcPr>
            <w:tcW w:w="1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67</w:t>
            </w:r>
          </w:p>
        </w:tc>
        <w:tc>
          <w:tcPr>
            <w:tcW w:w="4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w:t>
            </w:r>
          </w:p>
        </w:tc>
        <w:tc>
          <w:tcPr>
            <w:tcW w:w="0" w:type="dxa"/>
            <w:vAlign w:val="bottom"/>
          </w:tcPr>
          <w:p>
            <w:pPr>
              <w:spacing w:after="0"/>
              <w:rPr>
                <w:sz w:val="1"/>
                <w:szCs w:val="1"/>
                <w:color w:val="auto"/>
              </w:rPr>
            </w:pPr>
          </w:p>
        </w:tc>
      </w:tr>
      <w:tr>
        <w:trPr>
          <w:trHeight w:val="168"/>
        </w:trPr>
        <w:tc>
          <w:tcPr>
            <w:tcW w:w="5080" w:type="dxa"/>
            <w:vAlign w:val="bottom"/>
            <w:vMerge w:val="restart"/>
          </w:tcPr>
          <w:p>
            <w:pPr>
              <w:ind w:left="620"/>
              <w:spacing w:after="0"/>
              <w:rPr>
                <w:sz w:val="20"/>
                <w:szCs w:val="20"/>
                <w:color w:val="auto"/>
              </w:rPr>
            </w:pPr>
            <w:r>
              <w:rPr>
                <w:rFonts w:ascii="Courier New" w:cs="Courier New" w:eastAsia="Courier New" w:hAnsi="Courier New"/>
                <w:sz w:val="15"/>
                <w:szCs w:val="15"/>
                <w:color w:val="auto"/>
              </w:rPr>
              <w:t>Total Other Revenue</w:t>
            </w:r>
          </w:p>
        </w:tc>
        <w:tc>
          <w:tcPr>
            <w:tcW w:w="16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080" w:type="dxa"/>
            <w:vAlign w:val="bottom"/>
            <w:vMerge w:val="continue"/>
          </w:tcPr>
          <w:p>
            <w:pPr>
              <w:spacing w:after="0"/>
              <w:rPr>
                <w:sz w:val="14"/>
                <w:szCs w:val="14"/>
                <w:color w:val="auto"/>
              </w:rPr>
            </w:pPr>
          </w:p>
        </w:tc>
        <w:tc>
          <w:tcPr>
            <w:tcW w:w="5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254</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257</w:t>
            </w:r>
          </w:p>
        </w:tc>
        <w:tc>
          <w:tcPr>
            <w:tcW w:w="0" w:type="dxa"/>
            <w:vAlign w:val="bottom"/>
          </w:tcPr>
          <w:p>
            <w:pPr>
              <w:spacing w:after="0"/>
              <w:rPr>
                <w:sz w:val="1"/>
                <w:szCs w:val="1"/>
                <w:color w:val="auto"/>
              </w:rPr>
            </w:pPr>
          </w:p>
        </w:tc>
      </w:tr>
      <w:tr>
        <w:trPr>
          <w:trHeight w:val="245"/>
        </w:trPr>
        <w:tc>
          <w:tcPr>
            <w:tcW w:w="5080" w:type="dxa"/>
            <w:vAlign w:val="bottom"/>
          </w:tcPr>
          <w:p>
            <w:pPr>
              <w:spacing w:after="0"/>
              <w:rPr>
                <w:sz w:val="21"/>
                <w:szCs w:val="21"/>
                <w:color w:val="auto"/>
              </w:rPr>
            </w:pPr>
          </w:p>
        </w:tc>
        <w:tc>
          <w:tcPr>
            <w:tcW w:w="16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right="1040"/>
        <w:spacing w:after="0" w:line="273" w:lineRule="auto"/>
        <w:rPr>
          <w:sz w:val="20"/>
          <w:szCs w:val="20"/>
          <w:color w:val="auto"/>
        </w:rPr>
      </w:pPr>
      <w:r>
        <w:rPr>
          <w:rFonts w:ascii="Courier New" w:cs="Courier New" w:eastAsia="Courier New" w:hAnsi="Courier New"/>
          <w:sz w:val="15"/>
          <w:szCs w:val="15"/>
          <w:color w:val="auto"/>
        </w:rPr>
        <w:t>All securities sales were from the available-for-sale portfolio and were made in connection with the Corporation's asset/liability management ("ALM") activities. For a further discussion of the Corporation's securities, see Note 5 - Securities of the Notes to Financial Statements.</w:t>
      </w:r>
    </w:p>
    <w:p>
      <w:pPr>
        <w:spacing w:after="0" w:line="68" w:lineRule="exact"/>
        <w:rPr>
          <w:sz w:val="20"/>
          <w:szCs w:val="20"/>
          <w:color w:val="auto"/>
        </w:rPr>
      </w:pPr>
    </w:p>
    <w:p>
      <w:pPr>
        <w:ind w:right="1040"/>
        <w:spacing w:after="0" w:line="244" w:lineRule="auto"/>
        <w:rPr>
          <w:sz w:val="20"/>
          <w:szCs w:val="20"/>
          <w:color w:val="auto"/>
        </w:rPr>
      </w:pPr>
      <w:r>
        <w:rPr>
          <w:rFonts w:ascii="Courier New" w:cs="Courier New" w:eastAsia="Courier New" w:hAnsi="Courier New"/>
          <w:sz w:val="15"/>
          <w:szCs w:val="15"/>
          <w:color w:val="auto"/>
        </w:rPr>
        <w:t>The Corporation's other revenue for the second quarter of 1996 was consistent with the second quarter of 1995, and down $158 million for the first six months of 1996 when compared with the 1995 first six months. Revenue from equity-related investments, which includes income from venture capital activities and emerging markets investments, was $219 million in the 1996 second quarter, an increase of $11 million from the comparable 1995 quarter. For the first six months of 1996, revenue from equity-related investments was $442 million, an increase of 14% from 1995, and continues to benefit from a broad-based portfolio of investments in an active market. Revenue from equity-related investments has averaged approximately $170 million per quarter for the last eight quarters. At June 30, 1996, the Corporation had equity-related investments with a carrying value of approximately $2.7 billion. The Corporation believes that equity-related investments will continue to make contributions to the Corporation's earnings, although the timing of the recognition of gains from these activities is unpredictable and revenues from such activities could vary significantly from period to period.</w:t>
      </w:r>
    </w:p>
    <w:p>
      <w:pPr>
        <w:spacing w:after="0" w:line="9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Six Months</w:t>
      </w:r>
    </w:p>
    <w:p>
      <w:pPr>
        <w:spacing w:after="0" w:line="2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ind w:left="260"/>
        <w:spacing w:after="0" w:line="237" w:lineRule="auto"/>
        <w:tabs>
          <w:tab w:leader="none" w:pos="1640" w:val="left"/>
        </w:tabs>
        <w:rPr>
          <w:sz w:val="20"/>
          <w:szCs w:val="20"/>
          <w:color w:val="auto"/>
        </w:rPr>
      </w:pP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ind w:left="260"/>
        <w:spacing w:after="0"/>
        <w:tabs>
          <w:tab w:leader="none" w:pos="16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77" w:lineRule="exact"/>
        <w:rPr>
          <w:sz w:val="20"/>
          <w:szCs w:val="20"/>
          <w:color w:val="auto"/>
        </w:rPr>
      </w:pPr>
    </w:p>
    <w:p>
      <w:pPr>
        <w:spacing w:after="0"/>
        <w:tabs>
          <w:tab w:leader="none" w:pos="500" w:val="left"/>
          <w:tab w:leader="none" w:pos="1560" w:val="left"/>
          <w:tab w:leader="none" w:pos="19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76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54</w:t>
      </w:r>
    </w:p>
    <w:p>
      <w:pPr>
        <w:spacing w:after="0" w:line="2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40" w:lineRule="exact"/>
        <w:rPr>
          <w:sz w:val="20"/>
          <w:szCs w:val="20"/>
          <w:color w:val="auto"/>
        </w:rPr>
      </w:pPr>
    </w:p>
    <w:p>
      <w:pPr>
        <w:spacing w:after="0"/>
        <w:tabs>
          <w:tab w:leader="none" w:pos="420" w:val="left"/>
          <w:tab w:leader="none" w:pos="1560" w:val="left"/>
          <w:tab w:leader="none" w:pos="19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442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389</w:t>
      </w:r>
    </w:p>
    <w:p>
      <w:pPr>
        <w:spacing w:after="0" w:line="24" w:lineRule="exact"/>
        <w:rPr>
          <w:sz w:val="20"/>
          <w:szCs w:val="20"/>
          <w:color w:val="auto"/>
        </w:rPr>
      </w:pPr>
    </w:p>
    <w:p>
      <w:pPr>
        <w:ind w:left="1920" w:hanging="1487"/>
        <w:spacing w:after="0"/>
        <w:tabs>
          <w:tab w:leader="none" w:pos="19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(26)</w:t>
      </w:r>
    </w:p>
    <w:p>
      <w:pPr>
        <w:spacing w:after="0" w:line="140" w:lineRule="exact"/>
        <w:rPr>
          <w:sz w:val="20"/>
          <w:szCs w:val="20"/>
          <w:color w:val="auto"/>
        </w:rPr>
      </w:pPr>
    </w:p>
    <w:p>
      <w:pPr>
        <w:ind w:left="2000" w:hanging="1479"/>
        <w:spacing w:after="0"/>
        <w:tabs>
          <w:tab w:leader="none" w:pos="20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85</w:t>
      </w:r>
    </w:p>
    <w:p>
      <w:pPr>
        <w:spacing w:after="0" w:line="23" w:lineRule="exact"/>
        <w:rPr>
          <w:sz w:val="20"/>
          <w:szCs w:val="20"/>
          <w:color w:val="auto"/>
        </w:rPr>
      </w:pPr>
    </w:p>
    <w:p>
      <w:pPr>
        <w:ind w:left="520"/>
        <w:spacing w:after="0"/>
        <w:tabs>
          <w:tab w:leader="none" w:pos="1980" w:val="left"/>
        </w:tabs>
        <w:rPr>
          <w:sz w:val="20"/>
          <w:szCs w:val="20"/>
          <w:color w:val="auto"/>
        </w:rPr>
      </w:pPr>
      <w:r>
        <w:rPr>
          <w:rFonts w:ascii="Courier New" w:cs="Courier New" w:eastAsia="Courier New" w:hAnsi="Courier New"/>
          <w:sz w:val="15"/>
          <w:szCs w:val="15"/>
          <w:color w:val="auto"/>
        </w:rPr>
        <w:t>26</w:t>
      </w:r>
      <w:r>
        <w:rPr>
          <w:sz w:val="20"/>
          <w:szCs w:val="20"/>
          <w:color w:val="auto"/>
        </w:rPr>
        <w:tab/>
      </w:r>
      <w:r>
        <w:rPr>
          <w:rFonts w:ascii="Courier New" w:cs="Courier New" w:eastAsia="Courier New" w:hAnsi="Courier New"/>
          <w:sz w:val="15"/>
          <w:szCs w:val="15"/>
          <w:color w:val="auto"/>
        </w:rPr>
        <w:t>95</w:t>
      </w:r>
    </w:p>
    <w:p>
      <w:pPr>
        <w:ind w:left="2000" w:hanging="1567"/>
        <w:spacing w:after="0" w:line="237" w:lineRule="auto"/>
        <w:tabs>
          <w:tab w:leader="none" w:pos="20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170</w:t>
      </w:r>
      <w:r>
        <w:rPr>
          <w:rFonts w:ascii="Courier New" w:cs="Courier New" w:eastAsia="Courier New" w:hAnsi="Courier New"/>
          <w:sz w:val="14"/>
          <w:szCs w:val="14"/>
          <w:color w:val="auto"/>
        </w:rPr>
        <w:t>128</w:t>
      </w:r>
    </w:p>
    <w:tbl>
      <w:tblPr>
        <w:tblLayout w:type="fixed"/>
        <w:tblInd w:w="0" w:type="dxa"/>
        <w:tblCellMar>
          <w:top w:w="0" w:type="dxa"/>
          <w:left w:w="0" w:type="dxa"/>
          <w:bottom w:w="0" w:type="dxa"/>
          <w:right w:w="0" w:type="dxa"/>
        </w:tblCellMar>
      </w:tblPr>
      <w:tr>
        <w:trPr>
          <w:trHeight w:val="143"/>
        </w:trPr>
        <w:tc>
          <w:tcPr>
            <w:tcW w:w="1140" w:type="dxa"/>
            <w:vAlign w:val="bottom"/>
            <w:gridSpan w:val="2"/>
          </w:tcPr>
          <w:p>
            <w:pPr>
              <w:jc w:val="right"/>
              <w:ind w:right="367"/>
              <w:spacing w:after="0" w:line="143"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gridSpan w:val="2"/>
          </w:tcPr>
          <w:p>
            <w:pPr>
              <w:jc w:val="right"/>
              <w:spacing w:after="0" w:line="143" w:lineRule="exact"/>
              <w:rPr>
                <w:sz w:val="20"/>
                <w:szCs w:val="20"/>
                <w:color w:val="auto"/>
              </w:rPr>
            </w:pPr>
            <w:r>
              <w:rPr>
                <w:rFonts w:ascii="Courier New" w:cs="Courier New" w:eastAsia="Courier New" w:hAnsi="Courier New"/>
                <w:sz w:val="15"/>
                <w:szCs w:val="15"/>
                <w:color w:val="auto"/>
              </w:rPr>
              <w:t>-------</w:t>
            </w:r>
          </w:p>
        </w:tc>
      </w:tr>
      <w:tr>
        <w:trPr>
          <w:trHeight w:val="168"/>
        </w:trPr>
        <w:tc>
          <w:tcPr>
            <w:tcW w:w="26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513</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671</w:t>
            </w:r>
          </w:p>
        </w:tc>
      </w:tr>
      <w:tr>
        <w:trPr>
          <w:trHeight w:val="245"/>
        </w:trPr>
        <w:tc>
          <w:tcPr>
            <w:tcW w:w="11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4"/>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8040" w:space="720"/>
            <w:col w:w="2280"/>
          </w:cols>
          <w:pgMar w:left="220" w:top="598" w:right="639" w:bottom="1440" w:gutter="0" w:footer="0" w:header="0"/>
        </w:sectPr>
      </w:pPr>
    </w:p>
    <w:bookmarkStart w:id="22" w:name="page23"/>
    <w:bookmarkEnd w:id="22"/>
    <w:p>
      <w:pPr>
        <w:ind w:right="780"/>
        <w:spacing w:after="0" w:line="252" w:lineRule="auto"/>
        <w:rPr>
          <w:sz w:val="20"/>
          <w:szCs w:val="20"/>
          <w:color w:val="auto"/>
        </w:rPr>
      </w:pPr>
      <w:r>
        <w:rPr>
          <w:rFonts w:ascii="Courier New" w:cs="Courier New" w:eastAsia="Courier New" w:hAnsi="Courier New"/>
          <w:sz w:val="15"/>
          <w:szCs w:val="15"/>
          <w:color w:val="auto"/>
        </w:rPr>
        <w:t>Residential mortgage origination/sales activities declined $56 million in the second quarter of 1996, when compared with the second quarter of 1995, and $69 million for the first six months of 1996, when compared with the first six months of 1995. The decreases were largely the result of a favorable impact from the implementation of SFAS 122 relating to the accounting for originated mortgage servicing rights and sale of servicing rights, both of which occurred in the 1995 second quarter. Additionally, the 1996 second quarter was unfavorably impacted by rising interest rates.</w:t>
      </w:r>
    </w:p>
    <w:p>
      <w:pPr>
        <w:spacing w:after="0" w:line="86" w:lineRule="exact"/>
        <w:rPr>
          <w:sz w:val="20"/>
          <w:szCs w:val="20"/>
          <w:color w:val="auto"/>
        </w:rPr>
      </w:pPr>
    </w:p>
    <w:p>
      <w:pPr>
        <w:ind w:right="780"/>
        <w:spacing w:after="0" w:line="264" w:lineRule="auto"/>
        <w:rPr>
          <w:sz w:val="20"/>
          <w:szCs w:val="20"/>
          <w:color w:val="auto"/>
        </w:rPr>
      </w:pPr>
      <w:r>
        <w:rPr>
          <w:rFonts w:ascii="Courier New" w:cs="Courier New" w:eastAsia="Courier New" w:hAnsi="Courier New"/>
          <w:sz w:val="15"/>
          <w:szCs w:val="15"/>
          <w:color w:val="auto"/>
        </w:rPr>
        <w:t>All other revenue in the 1996 second quarter included a $23 million gain on the sale of nonstrategic assets. All other revenue also reflected lower income of $6 million in the 1996 second quarter and $14 million in the first half of 1996 from the Corporation's investment in CIT, as a result of the sale of half of the Corporation's investment in CIT in December 1995.</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Noninterest Expense</w:t>
      </w:r>
    </w:p>
    <w:p>
      <w:pPr>
        <w:spacing w:after="0" w:line="24" w:lineRule="exact"/>
        <w:rPr>
          <w:sz w:val="20"/>
          <w:szCs w:val="20"/>
          <w:color w:val="auto"/>
        </w:rPr>
      </w:pPr>
    </w:p>
    <w:p>
      <w:pPr>
        <w:jc w:val="both"/>
        <w:ind w:right="780"/>
        <w:spacing w:after="0" w:line="247" w:lineRule="auto"/>
        <w:rPr>
          <w:sz w:val="20"/>
          <w:szCs w:val="20"/>
          <w:color w:val="auto"/>
        </w:rPr>
      </w:pPr>
      <w:r>
        <w:rPr>
          <w:rFonts w:ascii="Courier New" w:cs="Courier New" w:eastAsia="Courier New" w:hAnsi="Courier New"/>
          <w:sz w:val="15"/>
          <w:szCs w:val="15"/>
          <w:color w:val="auto"/>
        </w:rPr>
        <w:t>Noninterest expense in the 1996 second quarter was $2,302 million compared with $2,344 million in the second quarter of 1995 (excluding restructuring charges). The decrease in noninterest expense in the 1996 second quarter reflects merger-related expense savings of $120 million, primarily reflecting lower salaries and benefits related to personnel reductions and other merger integration efforts. Also contributing to the decrease in the 1996 second quarter were lower FDIC expenses, partially offset by higher incentive costs related to stronger revenue growth.</w:t>
      </w:r>
    </w:p>
    <w:p>
      <w:pPr>
        <w:spacing w:after="0" w:line="89" w:lineRule="exact"/>
        <w:rPr>
          <w:sz w:val="20"/>
          <w:szCs w:val="20"/>
          <w:color w:val="auto"/>
        </w:rPr>
      </w:pPr>
    </w:p>
    <w:p>
      <w:pPr>
        <w:ind w:right="780"/>
        <w:spacing w:after="0" w:line="248" w:lineRule="auto"/>
        <w:rPr>
          <w:sz w:val="20"/>
          <w:szCs w:val="20"/>
          <w:color w:val="auto"/>
        </w:rPr>
      </w:pPr>
      <w:r>
        <w:rPr>
          <w:rFonts w:ascii="Courier New" w:cs="Courier New" w:eastAsia="Courier New" w:hAnsi="Courier New"/>
          <w:sz w:val="15"/>
          <w:szCs w:val="15"/>
          <w:color w:val="auto"/>
        </w:rPr>
        <w:t>For the first six months, noninterest expense was $4,739 million in 1996 compared with $4,679 million in 1995 (excluding restructuring charges). Excluding foreclosed property expense and a $40 million charge to conform retirement benefits provided to foreign employees, noninterest expense decreased by approximately $16 million during the first half of 1996, when compared with the same 1995 period, primarily due to merger integration efforts and lower FDIC expenses. Additionally, the results for the first six months of 1996 include noninterest expense as a result of the acquisition of the U.S. Trust processing business in September 1995, which is largely offset by the absence of expenses due to the sale of the southern and central New Jersey banking operations in the fourth quarter of 1995.</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60" w:type="dxa"/>
            <w:vAlign w:val="bottom"/>
            <w:gridSpan w:val="2"/>
          </w:tcPr>
          <w:p>
            <w:pPr>
              <w:jc w:val="right"/>
              <w:ind w:right="347"/>
              <w:spacing w:after="0"/>
              <w:rPr>
                <w:sz w:val="20"/>
                <w:szCs w:val="20"/>
                <w:color w:val="auto"/>
              </w:rPr>
            </w:pPr>
            <w:r>
              <w:rPr>
                <w:rFonts w:ascii="Courier New" w:cs="Courier New" w:eastAsia="Courier New" w:hAnsi="Courier New"/>
                <w:sz w:val="15"/>
                <w:szCs w:val="15"/>
                <w:color w:val="auto"/>
                <w:w w:val="96"/>
              </w:rPr>
              <w:t>Second Quarter</w:t>
            </w:r>
          </w:p>
        </w:tc>
        <w:tc>
          <w:tcPr>
            <w:tcW w:w="0" w:type="dxa"/>
            <w:vAlign w:val="bottom"/>
          </w:tcPr>
          <w:p>
            <w:pPr>
              <w:spacing w:after="0"/>
              <w:rPr>
                <w:sz w:val="1"/>
                <w:szCs w:val="1"/>
                <w:color w:val="auto"/>
              </w:rPr>
            </w:pPr>
          </w:p>
        </w:tc>
      </w:tr>
      <w:tr>
        <w:trPr>
          <w:trHeight w:val="168"/>
        </w:trPr>
        <w:tc>
          <w:tcPr>
            <w:tcW w:w="3980" w:type="dxa"/>
            <w:vAlign w:val="bottom"/>
            <w:vMerge w:val="restart"/>
          </w:tcPr>
          <w:p>
            <w:pPr>
              <w:spacing w:after="0"/>
              <w:rPr>
                <w:sz w:val="20"/>
                <w:szCs w:val="20"/>
                <w:color w:val="auto"/>
              </w:rPr>
            </w:pPr>
            <w:r>
              <w:rPr>
                <w:rFonts w:ascii="Courier New" w:cs="Courier New" w:eastAsia="Courier New" w:hAnsi="Courier New"/>
                <w:sz w:val="15"/>
                <w:szCs w:val="15"/>
                <w:color w:val="auto"/>
              </w:rPr>
              <w:t>(in millions)</w:t>
            </w:r>
          </w:p>
        </w:tc>
        <w:tc>
          <w:tcPr>
            <w:tcW w:w="3280" w:type="dxa"/>
            <w:vAlign w:val="bottom"/>
            <w:gridSpan w:val="4"/>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98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1996</w:t>
            </w:r>
          </w:p>
        </w:tc>
        <w:tc>
          <w:tcPr>
            <w:tcW w:w="9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45"/>
        </w:trPr>
        <w:tc>
          <w:tcPr>
            <w:tcW w:w="39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21"/>
                <w:szCs w:val="21"/>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96"/>
        </w:trPr>
        <w:tc>
          <w:tcPr>
            <w:tcW w:w="3980" w:type="dxa"/>
            <w:vAlign w:val="bottom"/>
          </w:tcPr>
          <w:p>
            <w:pPr>
              <w:spacing w:after="0"/>
              <w:rPr>
                <w:sz w:val="20"/>
                <w:szCs w:val="20"/>
                <w:color w:val="auto"/>
              </w:rPr>
            </w:pPr>
            <w:r>
              <w:rPr>
                <w:rFonts w:ascii="Courier New" w:cs="Courier New" w:eastAsia="Courier New" w:hAnsi="Courier New"/>
                <w:sz w:val="15"/>
                <w:szCs w:val="15"/>
                <w:color w:val="auto"/>
              </w:rPr>
              <w:t>Salaries</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1,046</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1,007</w:t>
            </w:r>
          </w:p>
        </w:tc>
        <w:tc>
          <w:tcPr>
            <w:tcW w:w="0" w:type="dxa"/>
            <w:vAlign w:val="bottom"/>
          </w:tcPr>
          <w:p>
            <w:pPr>
              <w:spacing w:after="0"/>
              <w:rPr>
                <w:sz w:val="1"/>
                <w:szCs w:val="1"/>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Benefits</w:t>
            </w:r>
          </w:p>
        </w:tc>
        <w:tc>
          <w:tcPr>
            <w:tcW w:w="9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225</w:t>
            </w:r>
          </w:p>
        </w:tc>
        <w:tc>
          <w:tcPr>
            <w:tcW w:w="9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246</w:t>
            </w:r>
          </w:p>
        </w:tc>
        <w:tc>
          <w:tcPr>
            <w:tcW w:w="0" w:type="dxa"/>
            <w:vAlign w:val="bottom"/>
          </w:tcPr>
          <w:p>
            <w:pPr>
              <w:spacing w:after="0"/>
              <w:rPr>
                <w:sz w:val="1"/>
                <w:szCs w:val="1"/>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Occupancy Expense</w:t>
            </w:r>
          </w:p>
        </w:tc>
        <w:tc>
          <w:tcPr>
            <w:tcW w:w="9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207</w:t>
            </w:r>
          </w:p>
        </w:tc>
        <w:tc>
          <w:tcPr>
            <w:tcW w:w="9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218</w:t>
            </w:r>
          </w:p>
        </w:tc>
        <w:tc>
          <w:tcPr>
            <w:tcW w:w="0" w:type="dxa"/>
            <w:vAlign w:val="bottom"/>
          </w:tcPr>
          <w:p>
            <w:pPr>
              <w:spacing w:after="0"/>
              <w:rPr>
                <w:sz w:val="1"/>
                <w:szCs w:val="1"/>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 Expense</w:t>
            </w:r>
          </w:p>
        </w:tc>
        <w:tc>
          <w:tcPr>
            <w:tcW w:w="9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181</w:t>
            </w:r>
          </w:p>
        </w:tc>
        <w:tc>
          <w:tcPr>
            <w:tcW w:w="9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193</w:t>
            </w:r>
          </w:p>
        </w:tc>
        <w:tc>
          <w:tcPr>
            <w:tcW w:w="0" w:type="dxa"/>
            <w:vAlign w:val="bottom"/>
          </w:tcPr>
          <w:p>
            <w:pPr>
              <w:spacing w:after="0"/>
              <w:rPr>
                <w:sz w:val="1"/>
                <w:szCs w:val="1"/>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Foreclosed Property Expense</w:t>
            </w:r>
          </w:p>
        </w:tc>
        <w:tc>
          <w:tcPr>
            <w:tcW w:w="9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c>
          <w:tcPr>
            <w:tcW w:w="9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c>
          <w:tcPr>
            <w:tcW w:w="0" w:type="dxa"/>
            <w:vAlign w:val="bottom"/>
          </w:tcPr>
          <w:p>
            <w:pPr>
              <w:spacing w:after="0"/>
              <w:rPr>
                <w:sz w:val="1"/>
                <w:szCs w:val="1"/>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Expense</w:t>
            </w:r>
          </w:p>
        </w:tc>
        <w:tc>
          <w:tcPr>
            <w:tcW w:w="9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651</w:t>
            </w:r>
          </w:p>
        </w:tc>
        <w:tc>
          <w:tcPr>
            <w:tcW w:w="9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708</w:t>
            </w:r>
          </w:p>
        </w:tc>
        <w:tc>
          <w:tcPr>
            <w:tcW w:w="0" w:type="dxa"/>
            <w:vAlign w:val="bottom"/>
          </w:tcPr>
          <w:p>
            <w:pPr>
              <w:spacing w:after="0"/>
              <w:rPr>
                <w:sz w:val="1"/>
                <w:szCs w:val="1"/>
                <w:color w:val="auto"/>
              </w:rPr>
            </w:pPr>
          </w:p>
        </w:tc>
      </w:tr>
      <w:tr>
        <w:trPr>
          <w:trHeight w:val="168"/>
        </w:trPr>
        <w:tc>
          <w:tcPr>
            <w:tcW w:w="398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Before Restructuring Charge</w:t>
            </w: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98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2,302</w:t>
            </w:r>
          </w:p>
        </w:tc>
        <w:tc>
          <w:tcPr>
            <w:tcW w:w="9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2,344</w:t>
            </w:r>
          </w:p>
        </w:tc>
        <w:tc>
          <w:tcPr>
            <w:tcW w:w="0" w:type="dxa"/>
            <w:vAlign w:val="bottom"/>
          </w:tcPr>
          <w:p>
            <w:pPr>
              <w:spacing w:after="0"/>
              <w:rPr>
                <w:sz w:val="1"/>
                <w:szCs w:val="1"/>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Charge and Expenses</w:t>
            </w:r>
          </w:p>
        </w:tc>
        <w:tc>
          <w:tcPr>
            <w:tcW w:w="9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w:t>
            </w:r>
          </w:p>
        </w:tc>
        <w:tc>
          <w:tcPr>
            <w:tcW w:w="9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68"/>
        </w:trPr>
        <w:tc>
          <w:tcPr>
            <w:tcW w:w="398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w:t>
            </w: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980" w:type="dxa"/>
            <w:vAlign w:val="bottom"/>
            <w:vMerge w:val="continue"/>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2,324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2,359</w:t>
            </w:r>
          </w:p>
        </w:tc>
        <w:tc>
          <w:tcPr>
            <w:tcW w:w="0" w:type="dxa"/>
            <w:vAlign w:val="bottom"/>
          </w:tcPr>
          <w:p>
            <w:pPr>
              <w:spacing w:after="0"/>
              <w:rPr>
                <w:sz w:val="1"/>
                <w:szCs w:val="1"/>
                <w:color w:val="auto"/>
              </w:rPr>
            </w:pPr>
          </w:p>
        </w:tc>
      </w:tr>
      <w:tr>
        <w:trPr>
          <w:trHeight w:val="245"/>
        </w:trPr>
        <w:tc>
          <w:tcPr>
            <w:tcW w:w="3980" w:type="dxa"/>
            <w:vAlign w:val="bottom"/>
          </w:tcPr>
          <w:p>
            <w:pPr>
              <w:spacing w:after="0"/>
              <w:rPr>
                <w:sz w:val="21"/>
                <w:szCs w:val="21"/>
                <w:color w:val="auto"/>
              </w:rPr>
            </w:pPr>
          </w:p>
        </w:tc>
        <w:tc>
          <w:tcPr>
            <w:tcW w:w="16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780"/>
        <w:spacing w:after="0" w:line="269" w:lineRule="auto"/>
        <w:rPr>
          <w:sz w:val="20"/>
          <w:szCs w:val="20"/>
          <w:color w:val="auto"/>
        </w:rPr>
      </w:pPr>
      <w:r>
        <w:rPr>
          <w:rFonts w:ascii="Courier New" w:cs="Courier New" w:eastAsia="Courier New" w:hAnsi="Courier New"/>
          <w:sz w:val="14"/>
          <w:szCs w:val="14"/>
          <w:color w:val="auto"/>
        </w:rPr>
        <w:t>The Corporation's efficiency ratio improved in the 1996 second quarter and first six months to 58.4% and 59.0%, respectively, from 63.2% and 65.2%, respectively, in 1995. The computation of the efficiency ratio (noninterest expense as a percentage of the total of net interest income and noninterest revenue) excludes restructuring charges, foreclosed property expense, and nonrecurring items. During the first six months of 1996, nonrecurring items reflected the receipt of interest related to Federal and State tax audit settlements, a loss on sale of a building in Japan and costs incurred in combining the Corporation's foreign retirement plans. The 1995 first six months excluded the gain on the sale of the Corporation's investment in Far East Bank and Trust Company.</w:t>
      </w:r>
    </w:p>
    <w:p>
      <w:pPr>
        <w:spacing w:after="0" w:line="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Six Months</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2460" w:type="dxa"/>
            <w:vAlign w:val="bottom"/>
            <w:gridSpan w:val="3"/>
          </w:tcPr>
          <w:p>
            <w:pPr>
              <w:jc w:val="right"/>
              <w:ind w:right="207"/>
              <w:spacing w:after="0" w:line="168" w:lineRule="exact"/>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1996</w:t>
            </w:r>
          </w:p>
        </w:tc>
        <w:tc>
          <w:tcPr>
            <w:tcW w:w="920" w:type="dxa"/>
            <w:vAlign w:val="bottom"/>
          </w:tcPr>
          <w:p>
            <w:pPr>
              <w:spacing w:after="0"/>
              <w:rPr>
                <w:sz w:val="14"/>
                <w:szCs w:val="14"/>
                <w:color w:val="auto"/>
              </w:rPr>
            </w:pPr>
          </w:p>
        </w:tc>
        <w:tc>
          <w:tcPr>
            <w:tcW w:w="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88"/>
              </w:rPr>
              <w:t>1995</w:t>
            </w:r>
          </w:p>
        </w:tc>
        <w:tc>
          <w:tcPr>
            <w:tcW w:w="0" w:type="dxa"/>
            <w:vAlign w:val="bottom"/>
          </w:tcPr>
          <w:p>
            <w:pPr>
              <w:spacing w:after="0"/>
              <w:rPr>
                <w:sz w:val="1"/>
                <w:szCs w:val="1"/>
                <w:color w:val="auto"/>
              </w:rPr>
            </w:pPr>
          </w:p>
        </w:tc>
      </w:tr>
      <w:tr>
        <w:trPr>
          <w:trHeight w:val="245"/>
        </w:trPr>
        <w:tc>
          <w:tcPr>
            <w:tcW w:w="80" w:type="dxa"/>
            <w:vAlign w:val="bottom"/>
          </w:tcPr>
          <w:p>
            <w:pPr>
              <w:spacing w:after="0"/>
              <w:rPr>
                <w:sz w:val="21"/>
                <w:szCs w:val="21"/>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21"/>
                <w:szCs w:val="21"/>
                <w:color w:val="auto"/>
              </w:rPr>
            </w:pPr>
          </w:p>
        </w:tc>
        <w:tc>
          <w:tcPr>
            <w:tcW w:w="6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88"/>
              </w:rPr>
              <w:t>----</w:t>
            </w:r>
          </w:p>
        </w:tc>
        <w:tc>
          <w:tcPr>
            <w:tcW w:w="0" w:type="dxa"/>
            <w:vAlign w:val="bottom"/>
          </w:tcPr>
          <w:p>
            <w:pPr>
              <w:spacing w:after="0"/>
              <w:rPr>
                <w:sz w:val="1"/>
                <w:szCs w:val="1"/>
                <w:color w:val="auto"/>
              </w:rPr>
            </w:pPr>
          </w:p>
        </w:tc>
      </w:tr>
      <w:tr>
        <w:trPr>
          <w:trHeight w:val="596"/>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2,122</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2,004</w:t>
            </w: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530</w:t>
            </w:r>
          </w:p>
        </w:tc>
        <w:tc>
          <w:tcPr>
            <w:tcW w:w="9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480</w:t>
            </w: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428</w:t>
            </w:r>
          </w:p>
        </w:tc>
        <w:tc>
          <w:tcPr>
            <w:tcW w:w="9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446</w:t>
            </w: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365</w:t>
            </w:r>
          </w:p>
        </w:tc>
        <w:tc>
          <w:tcPr>
            <w:tcW w:w="9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391</w:t>
            </w: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c>
          <w:tcPr>
            <w:tcW w:w="9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1,311</w:t>
            </w:r>
          </w:p>
        </w:tc>
        <w:tc>
          <w:tcPr>
            <w:tcW w:w="9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1,411</w:t>
            </w:r>
          </w:p>
        </w:tc>
        <w:tc>
          <w:tcPr>
            <w:tcW w:w="0" w:type="dxa"/>
            <w:vAlign w:val="bottom"/>
          </w:tcPr>
          <w:p>
            <w:pPr>
              <w:spacing w:after="0"/>
              <w:rPr>
                <w:sz w:val="1"/>
                <w:szCs w:val="1"/>
                <w:color w:val="auto"/>
              </w:rPr>
            </w:pPr>
          </w:p>
        </w:tc>
      </w:tr>
      <w:tr>
        <w:trPr>
          <w:trHeight w:val="168"/>
        </w:trPr>
        <w:tc>
          <w:tcPr>
            <w:tcW w:w="80" w:type="dxa"/>
            <w:vAlign w:val="bottom"/>
          </w:tcPr>
          <w:p>
            <w:pPr>
              <w:jc w:val="right"/>
              <w:spacing w:after="0"/>
              <w:rPr>
                <w:sz w:val="20"/>
                <w:szCs w:val="20"/>
                <w:color w:val="auto"/>
              </w:rPr>
            </w:pPr>
            <w:r>
              <w:rPr>
                <w:rFonts w:ascii="Courier New" w:cs="Courier New" w:eastAsia="Courier New" w:hAnsi="Courier New"/>
                <w:sz w:val="1"/>
                <w:szCs w:val="1"/>
                <w:color w:val="auto"/>
                <w:w w:val="99"/>
              </w:rPr>
              <w:t>----------</w:t>
            </w: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4,739</w:t>
            </w:r>
          </w:p>
        </w:tc>
        <w:tc>
          <w:tcPr>
            <w:tcW w:w="9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4,679</w:t>
            </w: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1,678</w:t>
            </w:r>
          </w:p>
        </w:tc>
        <w:tc>
          <w:tcPr>
            <w:tcW w:w="9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68"/>
        </w:trPr>
        <w:tc>
          <w:tcPr>
            <w:tcW w:w="80" w:type="dxa"/>
            <w:vAlign w:val="bottom"/>
            <w:vMerge w:val="restart"/>
          </w:tcPr>
          <w:p>
            <w:pPr>
              <w:jc w:val="right"/>
              <w:spacing w:after="0"/>
              <w:rPr>
                <w:sz w:val="20"/>
                <w:szCs w:val="20"/>
                <w:color w:val="auto"/>
              </w:rPr>
            </w:pPr>
            <w:r>
              <w:rPr>
                <w:rFonts w:ascii="Courier New" w:cs="Courier New" w:eastAsia="Courier New" w:hAnsi="Courier New"/>
                <w:sz w:val="2"/>
                <w:szCs w:val="2"/>
                <w:color w:val="auto"/>
                <w:w w:val="87"/>
                <w:vertAlign w:val="subscript"/>
              </w:rPr>
              <w:t>$</w:t>
            </w:r>
            <w:r>
              <w:rPr>
                <w:rFonts w:ascii="Courier New" w:cs="Courier New" w:eastAsia="Courier New" w:hAnsi="Courier New"/>
                <w:sz w:val="1"/>
                <w:szCs w:val="1"/>
                <w:color w:val="auto"/>
                <w:w w:val="87"/>
              </w:rPr>
              <w:t>----------</w:t>
            </w: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6,417</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4,694</w:t>
            </w:r>
          </w:p>
        </w:tc>
        <w:tc>
          <w:tcPr>
            <w:tcW w:w="0" w:type="dxa"/>
            <w:vAlign w:val="bottom"/>
          </w:tcPr>
          <w:p>
            <w:pPr>
              <w:spacing w:after="0"/>
              <w:rPr>
                <w:sz w:val="1"/>
                <w:szCs w:val="1"/>
                <w:color w:val="auto"/>
              </w:rPr>
            </w:pPr>
          </w:p>
        </w:tc>
      </w:tr>
      <w:tr>
        <w:trPr>
          <w:trHeight w:val="245"/>
        </w:trPr>
        <w:tc>
          <w:tcPr>
            <w:tcW w:w="10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3"/>
              </w:rPr>
              <w:t>==========</w:t>
            </w:r>
          </w:p>
        </w:tc>
        <w:tc>
          <w:tcPr>
            <w:tcW w:w="15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2">
            <w:col w:w="7780" w:space="720"/>
            <w:col w:w="2540"/>
          </w:cols>
          <w:pgMar w:left="220" w:top="598" w:right="639"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Salaries and Employee Benefits</w:t>
      </w:r>
    </w:p>
    <w:p>
      <w:pPr>
        <w:spacing w:after="0" w:line="24"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The increase in salaries for the 1996 second quarter and first six months was primarily due to higher incentive costs as a result of stronger earnings for most businesses. Also contributing to the increase in salaries was the vesting</w:t>
      </w:r>
    </w:p>
    <w:tbl>
      <w:tblPr>
        <w:tblLayout w:type="fixed"/>
        <w:tblInd w:w="0" w:type="dxa"/>
        <w:tblCellMar>
          <w:top w:w="0" w:type="dxa"/>
          <w:left w:w="0" w:type="dxa"/>
          <w:bottom w:w="0" w:type="dxa"/>
          <w:right w:w="0" w:type="dxa"/>
        </w:tblCellMar>
      </w:tblPr>
      <w:tr>
        <w:trPr>
          <w:trHeight w:val="143"/>
        </w:trPr>
        <w:tc>
          <w:tcPr>
            <w:tcW w:w="2860" w:type="dxa"/>
            <w:vAlign w:val="bottom"/>
            <w:gridSpan w:val="2"/>
          </w:tcPr>
          <w:p>
            <w:pPr>
              <w:spacing w:after="0" w:line="144" w:lineRule="exact"/>
              <w:rPr>
                <w:sz w:val="20"/>
                <w:szCs w:val="20"/>
                <w:color w:val="auto"/>
              </w:rPr>
            </w:pPr>
            <w:r>
              <w:rPr>
                <w:rFonts w:ascii="Courier New" w:cs="Courier New" w:eastAsia="Courier New" w:hAnsi="Courier New"/>
                <w:sz w:val="15"/>
                <w:szCs w:val="15"/>
                <w:color w:val="auto"/>
              </w:rPr>
              <w:t>in the first quarter of 1996 of</w:t>
            </w:r>
          </w:p>
        </w:tc>
        <w:tc>
          <w:tcPr>
            <w:tcW w:w="1820" w:type="dxa"/>
            <w:vAlign w:val="bottom"/>
          </w:tcPr>
          <w:p>
            <w:pPr>
              <w:ind w:left="40"/>
              <w:spacing w:after="0" w:line="144" w:lineRule="exact"/>
              <w:rPr>
                <w:sz w:val="20"/>
                <w:szCs w:val="20"/>
                <w:color w:val="auto"/>
              </w:rPr>
            </w:pPr>
            <w:r>
              <w:rPr>
                <w:rFonts w:ascii="Courier New" w:cs="Courier New" w:eastAsia="Courier New" w:hAnsi="Courier New"/>
                <w:sz w:val="15"/>
                <w:szCs w:val="15"/>
                <w:color w:val="auto"/>
                <w:w w:val="97"/>
              </w:rPr>
              <w:t>certain  stock-based</w:t>
            </w:r>
          </w:p>
        </w:tc>
        <w:tc>
          <w:tcPr>
            <w:tcW w:w="1060" w:type="dxa"/>
            <w:vAlign w:val="bottom"/>
          </w:tcPr>
          <w:p>
            <w:pPr>
              <w:ind w:left="220"/>
              <w:spacing w:after="0" w:line="144" w:lineRule="exact"/>
              <w:rPr>
                <w:sz w:val="20"/>
                <w:szCs w:val="20"/>
                <w:color w:val="auto"/>
              </w:rPr>
            </w:pPr>
            <w:r>
              <w:rPr>
                <w:rFonts w:ascii="Courier New" w:cs="Courier New" w:eastAsia="Courier New" w:hAnsi="Courier New"/>
                <w:sz w:val="15"/>
                <w:szCs w:val="15"/>
                <w:color w:val="auto"/>
              </w:rPr>
              <w:t>incentive</w:t>
            </w:r>
          </w:p>
        </w:tc>
        <w:tc>
          <w:tcPr>
            <w:tcW w:w="1100" w:type="dxa"/>
            <w:vAlign w:val="bottom"/>
          </w:tcPr>
          <w:p>
            <w:pPr>
              <w:jc w:val="right"/>
              <w:spacing w:after="0" w:line="144" w:lineRule="exact"/>
              <w:rPr>
                <w:sz w:val="20"/>
                <w:szCs w:val="20"/>
                <w:color w:val="auto"/>
              </w:rPr>
            </w:pPr>
            <w:r>
              <w:rPr>
                <w:rFonts w:ascii="Courier New" w:cs="Courier New" w:eastAsia="Courier New" w:hAnsi="Courier New"/>
                <w:sz w:val="15"/>
                <w:szCs w:val="15"/>
                <w:color w:val="auto"/>
              </w:rPr>
              <w:t>awards  due</w:t>
            </w:r>
          </w:p>
        </w:tc>
      </w:tr>
      <w:tr>
        <w:trPr>
          <w:trHeight w:val="168"/>
        </w:trPr>
        <w:tc>
          <w:tcPr>
            <w:tcW w:w="68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to  the  improvement  in  the Corporation's  stock  price,  the  continued</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investment  in  the</w:t>
            </w:r>
          </w:p>
        </w:tc>
        <w:tc>
          <w:tcPr>
            <w:tcW w:w="512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Corporation's securities  underwriting  business and the</w:t>
            </w: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additional staff costs resulting</w:t>
            </w: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from the U.S. Trust</w:t>
            </w:r>
          </w:p>
        </w:tc>
        <w:tc>
          <w:tcPr>
            <w:tcW w:w="10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processing</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business</w:t>
            </w: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acquisition in September  1995.</w:t>
            </w:r>
          </w:p>
        </w:tc>
        <w:tc>
          <w:tcPr>
            <w:tcW w:w="39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6"/>
              </w:rPr>
              <w:t>Partially offsetting these increases were the</w:t>
            </w:r>
          </w:p>
        </w:tc>
      </w:tr>
      <w:tr>
        <w:trPr>
          <w:trHeight w:val="168"/>
        </w:trPr>
        <w:tc>
          <w:tcPr>
            <w:tcW w:w="68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impact of reductions of approximately 5,000 full-time equivalent employees</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since June 30, 1995</w:t>
            </w:r>
          </w:p>
        </w:tc>
        <w:tc>
          <w:tcPr>
            <w:tcW w:w="5120" w:type="dxa"/>
            <w:vAlign w:val="bottom"/>
            <w:gridSpan w:val="4"/>
          </w:tcPr>
          <w:p>
            <w:pPr>
              <w:jc w:val="right"/>
              <w:ind w:right="287"/>
              <w:spacing w:after="0" w:line="168" w:lineRule="exact"/>
              <w:rPr>
                <w:sz w:val="20"/>
                <w:szCs w:val="20"/>
                <w:color w:val="auto"/>
              </w:rPr>
            </w:pPr>
            <w:r>
              <w:rPr>
                <w:rFonts w:ascii="Courier New" w:cs="Courier New" w:eastAsia="Courier New" w:hAnsi="Courier New"/>
                <w:sz w:val="15"/>
                <w:szCs w:val="15"/>
                <w:color w:val="auto"/>
                <w:w w:val="97"/>
              </w:rPr>
              <w:t>as well as the aforementioned sale of the southern and</w:t>
            </w:r>
          </w:p>
        </w:tc>
      </w:tr>
      <w:tr>
        <w:trPr>
          <w:trHeight w:val="245"/>
        </w:trPr>
        <w:tc>
          <w:tcPr>
            <w:tcW w:w="4680" w:type="dxa"/>
            <w:vAlign w:val="bottom"/>
            <w:gridSpan w:val="3"/>
          </w:tcPr>
          <w:p>
            <w:pPr>
              <w:spacing w:after="0"/>
              <w:rPr>
                <w:sz w:val="20"/>
                <w:szCs w:val="20"/>
                <w:color w:val="auto"/>
              </w:rPr>
            </w:pPr>
            <w:r>
              <w:rPr>
                <w:rFonts w:ascii="Courier New" w:cs="Courier New" w:eastAsia="Courier New" w:hAnsi="Courier New"/>
                <w:sz w:val="15"/>
                <w:szCs w:val="15"/>
                <w:color w:val="auto"/>
              </w:rPr>
              <w:t>central New Jersey banking operations.</w:t>
            </w: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r>
    </w:tbl>
    <w:p>
      <w:pPr>
        <w:spacing w:after="0" w:line="91" w:lineRule="exact"/>
        <w:rPr>
          <w:sz w:val="20"/>
          <w:szCs w:val="20"/>
          <w:color w:val="auto"/>
        </w:rPr>
      </w:pPr>
    </w:p>
    <w:p>
      <w:pPr>
        <w:ind w:right="3239"/>
        <w:spacing w:after="0" w:line="344" w:lineRule="auto"/>
        <w:rPr>
          <w:sz w:val="20"/>
          <w:szCs w:val="20"/>
          <w:color w:val="auto"/>
        </w:rPr>
      </w:pPr>
      <w:r>
        <w:rPr>
          <w:rFonts w:ascii="Courier New" w:cs="Courier New" w:eastAsia="Courier New" w:hAnsi="Courier New"/>
          <w:sz w:val="15"/>
          <w:szCs w:val="15"/>
          <w:color w:val="auto"/>
        </w:rPr>
        <w:t>The following table presents the Corporation's full-time equivalent employees at the dates indicated.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June 30,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245"/>
        </w:trPr>
        <w:tc>
          <w:tcPr>
            <w:tcW w:w="3980" w:type="dxa"/>
            <w:vAlign w:val="bottom"/>
          </w:tcPr>
          <w:p>
            <w:pPr>
              <w:spacing w:after="0"/>
              <w:rPr>
                <w:sz w:val="21"/>
                <w:szCs w:val="21"/>
                <w:color w:val="auto"/>
              </w:rPr>
            </w:pP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427"/>
        </w:trPr>
        <w:tc>
          <w:tcPr>
            <w:tcW w:w="3980" w:type="dxa"/>
            <w:vAlign w:val="bottom"/>
          </w:tcPr>
          <w:p>
            <w:pPr>
              <w:spacing w:after="0"/>
              <w:rPr>
                <w:sz w:val="20"/>
                <w:szCs w:val="20"/>
                <w:color w:val="auto"/>
              </w:rPr>
            </w:pPr>
            <w:r>
              <w:rPr>
                <w:rFonts w:ascii="Courier New" w:cs="Courier New" w:eastAsia="Courier New" w:hAnsi="Courier New"/>
                <w:sz w:val="15"/>
                <w:szCs w:val="15"/>
                <w:color w:val="auto"/>
              </w:rPr>
              <w:t>Domestic Offices</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58,136</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60,904</w:t>
            </w:r>
          </w:p>
        </w:tc>
        <w:tc>
          <w:tcPr>
            <w:tcW w:w="0" w:type="dxa"/>
            <w:vAlign w:val="bottom"/>
          </w:tcPr>
          <w:p>
            <w:pPr>
              <w:spacing w:after="0"/>
              <w:rPr>
                <w:sz w:val="1"/>
                <w:szCs w:val="1"/>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Offices</w:t>
            </w: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10,692</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11,792</w:t>
            </w:r>
          </w:p>
        </w:tc>
        <w:tc>
          <w:tcPr>
            <w:tcW w:w="0" w:type="dxa"/>
            <w:vAlign w:val="bottom"/>
          </w:tcPr>
          <w:p>
            <w:pPr>
              <w:spacing w:after="0"/>
              <w:rPr>
                <w:sz w:val="1"/>
                <w:szCs w:val="1"/>
                <w:color w:val="auto"/>
              </w:rPr>
            </w:pPr>
          </w:p>
        </w:tc>
      </w:tr>
      <w:tr>
        <w:trPr>
          <w:trHeight w:val="168"/>
        </w:trPr>
        <w:tc>
          <w:tcPr>
            <w:tcW w:w="398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Full-Time Equivalent Employees</w:t>
            </w: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980" w:type="dxa"/>
            <w:vAlign w:val="bottom"/>
            <w:vMerge w:val="continue"/>
          </w:tcPr>
          <w:p>
            <w:pPr>
              <w:spacing w:after="0"/>
              <w:rPr>
                <w:sz w:val="14"/>
                <w:szCs w:val="14"/>
                <w:color w:val="auto"/>
              </w:rPr>
            </w:pP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68,828</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72,696</w:t>
            </w:r>
          </w:p>
        </w:tc>
        <w:tc>
          <w:tcPr>
            <w:tcW w:w="0" w:type="dxa"/>
            <w:vAlign w:val="bottom"/>
          </w:tcPr>
          <w:p>
            <w:pPr>
              <w:spacing w:after="0"/>
              <w:rPr>
                <w:sz w:val="1"/>
                <w:szCs w:val="1"/>
                <w:color w:val="auto"/>
              </w:rPr>
            </w:pPr>
          </w:p>
        </w:tc>
      </w:tr>
      <w:tr>
        <w:trPr>
          <w:trHeight w:val="245"/>
        </w:trPr>
        <w:tc>
          <w:tcPr>
            <w:tcW w:w="3980" w:type="dxa"/>
            <w:vAlign w:val="bottom"/>
          </w:tcPr>
          <w:p>
            <w:pPr>
              <w:spacing w:after="0"/>
              <w:rPr>
                <w:sz w:val="21"/>
                <w:szCs w:val="21"/>
                <w:color w:val="auto"/>
              </w:rPr>
            </w:pP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right="3239"/>
        <w:spacing w:after="0" w:line="250" w:lineRule="auto"/>
        <w:rPr>
          <w:sz w:val="20"/>
          <w:szCs w:val="20"/>
          <w:color w:val="auto"/>
        </w:rPr>
      </w:pPr>
      <w:r>
        <w:rPr>
          <w:rFonts w:ascii="Courier New" w:cs="Courier New" w:eastAsia="Courier New" w:hAnsi="Courier New"/>
          <w:sz w:val="15"/>
          <w:szCs w:val="15"/>
          <w:color w:val="auto"/>
        </w:rPr>
        <w:t>Employee benefits in the 1996 second quarter decreased $21 million from the prior-year's second quarter due to personnel reductions. The increase in employee benefits in the first six months of 1996 was primarily the result of a $40 million charge to conform retirement benefits provided to foreign employees, and other expenses associated with a newly consolidated foreign investment. Also impacting employee benefits was an increase in FICA expenses associated with the exercise of options granted under broad-based employee plans and the vesting of certain stock-based incentive awards in the first quarter of 1996.</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Occupancy and Equipment Expense</w:t>
      </w:r>
    </w:p>
    <w:p>
      <w:pPr>
        <w:spacing w:after="0" w:line="24" w:lineRule="exact"/>
        <w:rPr>
          <w:sz w:val="20"/>
          <w:szCs w:val="20"/>
          <w:color w:val="auto"/>
        </w:rPr>
      </w:pPr>
    </w:p>
    <w:p>
      <w:pPr>
        <w:jc w:val="both"/>
        <w:ind w:right="3239"/>
        <w:spacing w:after="0" w:line="260" w:lineRule="auto"/>
        <w:rPr>
          <w:sz w:val="20"/>
          <w:szCs w:val="20"/>
          <w:color w:val="auto"/>
        </w:rPr>
      </w:pPr>
      <w:r>
        <w:rPr>
          <w:rFonts w:ascii="Courier New" w:cs="Courier New" w:eastAsia="Courier New" w:hAnsi="Courier New"/>
          <w:sz w:val="15"/>
          <w:szCs w:val="15"/>
          <w:color w:val="auto"/>
        </w:rPr>
        <w:t>Occupancy expense in the 1996 second quarter and first six months decreased by $11 million and $18 million, respectively, largely as a result of the consolidation of operations and branch facilities (from a previously announced program).</w:t>
      </w:r>
    </w:p>
    <w:p>
      <w:pPr>
        <w:spacing w:after="0" w:line="79" w:lineRule="exact"/>
        <w:rPr>
          <w:sz w:val="20"/>
          <w:szCs w:val="20"/>
          <w:color w:val="auto"/>
        </w:rPr>
      </w:pPr>
    </w:p>
    <w:p>
      <w:pPr>
        <w:jc w:val="both"/>
        <w:ind w:right="3239"/>
        <w:spacing w:after="0" w:line="290" w:lineRule="auto"/>
        <w:rPr>
          <w:sz w:val="20"/>
          <w:szCs w:val="20"/>
          <w:color w:val="auto"/>
        </w:rPr>
      </w:pPr>
      <w:r>
        <w:rPr>
          <w:rFonts w:ascii="Courier New" w:cs="Courier New" w:eastAsia="Courier New" w:hAnsi="Courier New"/>
          <w:sz w:val="15"/>
          <w:szCs w:val="15"/>
          <w:color w:val="auto"/>
        </w:rPr>
        <w:t>The lower level of equipment expense in both 1996 periods was primarily the result of expense reduction initiatives relating to software costs and equipment rentals.</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Foreclosed Property Expense</w:t>
      </w:r>
    </w:p>
    <w:p>
      <w:pPr>
        <w:spacing w:after="0" w:line="24" w:lineRule="exact"/>
        <w:rPr>
          <w:sz w:val="20"/>
          <w:szCs w:val="20"/>
          <w:color w:val="auto"/>
        </w:rPr>
      </w:pPr>
    </w:p>
    <w:p>
      <w:pPr>
        <w:jc w:val="both"/>
        <w:ind w:right="3239"/>
        <w:spacing w:after="0" w:line="249" w:lineRule="auto"/>
        <w:rPr>
          <w:sz w:val="20"/>
          <w:szCs w:val="20"/>
          <w:color w:val="auto"/>
        </w:rPr>
      </w:pPr>
      <w:r>
        <w:rPr>
          <w:rFonts w:ascii="Courier New" w:cs="Courier New" w:eastAsia="Courier New" w:hAnsi="Courier New"/>
          <w:sz w:val="15"/>
          <w:szCs w:val="15"/>
          <w:color w:val="auto"/>
        </w:rPr>
        <w:t>Foreclosed property expense was a credit of $8 million compared with a credit of $28 million in the second quarter of 1995. For the first six months, foreclosed property expense was a credit of $17 million in 1996, compared with a credit of $53 million in 1995. The results reflect continued progress in reducing the Corporation's real estate portfolio as a result of improved real estate market conditions. The 1995 amounts included proceeds received from the sale of certain foreclosed properties previously written down.</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Restructuring Charge</w:t>
      </w:r>
    </w:p>
    <w:p>
      <w:pPr>
        <w:spacing w:after="0" w:line="24" w:lineRule="exact"/>
        <w:rPr>
          <w:sz w:val="20"/>
          <w:szCs w:val="20"/>
          <w:color w:val="auto"/>
        </w:rPr>
      </w:pPr>
    </w:p>
    <w:p>
      <w:pPr>
        <w:ind w:right="3239"/>
        <w:spacing w:after="0" w:line="249" w:lineRule="auto"/>
        <w:rPr>
          <w:sz w:val="20"/>
          <w:szCs w:val="20"/>
          <w:color w:val="auto"/>
        </w:rPr>
      </w:pPr>
      <w:r>
        <w:rPr>
          <w:rFonts w:ascii="Courier New" w:cs="Courier New" w:eastAsia="Courier New" w:hAnsi="Courier New"/>
          <w:sz w:val="15"/>
          <w:szCs w:val="15"/>
          <w:color w:val="auto"/>
        </w:rPr>
        <w:t>In connection with the merger, $1.9 billion of one-time merger-related costs have been identified, of which $1.65 billion was taken as a restructuring charge on March 31, 1996. In addition, $22 million of merger-related expenses were incurred in the 1996 second quarter and $28 million for the first six months of 1996 and were included in the restructuring charge and expenses caption on the income statement. For a further discussion of the restructuring charge, see Note 2 on page 8.</w:t>
      </w:r>
    </w:p>
    <w:p>
      <w:pPr>
        <w:spacing w:after="0" w:line="86"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5"/>
          <w:szCs w:val="15"/>
          <w:color w:val="auto"/>
        </w:rPr>
        <w:t>Management does not anticipate that the restructuring charge will have a material impact on the Corporation's future liquidity. Because of the inherent uncertainties associated with merging two large corporations, there can be no assurance that the $1.9 billion of merger-related costs will reflect the actual costs ultimately incurred by the Corporation in implementing the merger or that the Corporation would not deem it appropriate to take additional charges, as the merger implementation process continues.</w:t>
      </w:r>
    </w:p>
    <w:p>
      <w:pPr>
        <w:spacing w:after="0" w:line="8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598"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Other Expense</w:t>
      </w:r>
    </w:p>
    <w:p>
      <w:pPr>
        <w:spacing w:after="0" w:line="24" w:lineRule="exact"/>
        <w:rPr>
          <w:sz w:val="20"/>
          <w:szCs w:val="20"/>
          <w:color w:val="auto"/>
        </w:rPr>
      </w:pPr>
    </w:p>
    <w:p>
      <w:pPr>
        <w:ind w:right="1040"/>
        <w:spacing w:after="0" w:line="307" w:lineRule="auto"/>
        <w:rPr>
          <w:sz w:val="20"/>
          <w:szCs w:val="20"/>
          <w:color w:val="auto"/>
        </w:rPr>
      </w:pPr>
      <w:r>
        <w:rPr>
          <w:rFonts w:ascii="Courier New" w:cs="Courier New" w:eastAsia="Courier New" w:hAnsi="Courier New"/>
          <w:sz w:val="15"/>
          <w:szCs w:val="15"/>
          <w:color w:val="auto"/>
        </w:rPr>
        <w:t>The following table presents the components of other expense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Second Quarter</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60" w:type="dxa"/>
            <w:vAlign w:val="bottom"/>
            <w:vMerge w:val="restart"/>
          </w:tcPr>
          <w:p>
            <w:pPr>
              <w:spacing w:after="0"/>
              <w:rPr>
                <w:sz w:val="20"/>
                <w:szCs w:val="20"/>
                <w:color w:val="auto"/>
              </w:rPr>
            </w:pPr>
            <w:r>
              <w:rPr>
                <w:rFonts w:ascii="Courier New" w:cs="Courier New" w:eastAsia="Courier New" w:hAnsi="Courier New"/>
                <w:sz w:val="15"/>
                <w:szCs w:val="15"/>
                <w:color w:val="auto"/>
              </w:rPr>
              <w:t>(in millions)</w:t>
            </w:r>
          </w:p>
        </w:tc>
        <w:tc>
          <w:tcPr>
            <w:tcW w:w="36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160" w:type="dxa"/>
            <w:vAlign w:val="bottom"/>
            <w:vMerge w:val="continue"/>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88"/>
              </w:rPr>
              <w:t>1995</w:t>
            </w:r>
          </w:p>
        </w:tc>
        <w:tc>
          <w:tcPr>
            <w:tcW w:w="74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45"/>
        </w:trPr>
        <w:tc>
          <w:tcPr>
            <w:tcW w:w="4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Other Expense:</w:t>
            </w: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Professional Services</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141</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142</w:t>
            </w:r>
          </w:p>
        </w:tc>
        <w:tc>
          <w:tcPr>
            <w:tcW w:w="0" w:type="dxa"/>
            <w:vAlign w:val="bottom"/>
          </w:tcPr>
          <w:p>
            <w:pPr>
              <w:spacing w:after="0"/>
              <w:rPr>
                <w:sz w:val="1"/>
                <w:szCs w:val="1"/>
                <w:color w:val="auto"/>
              </w:rPr>
            </w:pP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Marketing Expense</w:t>
            </w:r>
          </w:p>
        </w:tc>
        <w:tc>
          <w:tcPr>
            <w:tcW w:w="15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73</w:t>
            </w:r>
          </w:p>
        </w:tc>
        <w:tc>
          <w:tcPr>
            <w:tcW w:w="74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w:t>
            </w:r>
          </w:p>
        </w:tc>
        <w:tc>
          <w:tcPr>
            <w:tcW w:w="0" w:type="dxa"/>
            <w:vAlign w:val="bottom"/>
          </w:tcPr>
          <w:p>
            <w:pPr>
              <w:spacing w:after="0"/>
              <w:rPr>
                <w:sz w:val="1"/>
                <w:szCs w:val="1"/>
                <w:color w:val="auto"/>
              </w:rPr>
            </w:pP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FDIC Assessments</w:t>
            </w:r>
          </w:p>
        </w:tc>
        <w:tc>
          <w:tcPr>
            <w:tcW w:w="15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w:t>
            </w:r>
          </w:p>
        </w:tc>
        <w:tc>
          <w:tcPr>
            <w:tcW w:w="74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w:t>
            </w:r>
          </w:p>
        </w:tc>
        <w:tc>
          <w:tcPr>
            <w:tcW w:w="0" w:type="dxa"/>
            <w:vAlign w:val="bottom"/>
          </w:tcPr>
          <w:p>
            <w:pPr>
              <w:spacing w:after="0"/>
              <w:rPr>
                <w:sz w:val="1"/>
                <w:szCs w:val="1"/>
                <w:color w:val="auto"/>
              </w:rPr>
            </w:pP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Telecommunications</w:t>
            </w:r>
          </w:p>
        </w:tc>
        <w:tc>
          <w:tcPr>
            <w:tcW w:w="15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82</w:t>
            </w:r>
          </w:p>
        </w:tc>
        <w:tc>
          <w:tcPr>
            <w:tcW w:w="74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w:t>
            </w:r>
          </w:p>
        </w:tc>
        <w:tc>
          <w:tcPr>
            <w:tcW w:w="0" w:type="dxa"/>
            <w:vAlign w:val="bottom"/>
          </w:tcPr>
          <w:p>
            <w:pPr>
              <w:spacing w:after="0"/>
              <w:rPr>
                <w:sz w:val="1"/>
                <w:szCs w:val="1"/>
                <w:color w:val="auto"/>
              </w:rPr>
            </w:pP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Amortization of Intangibles</w:t>
            </w:r>
          </w:p>
        </w:tc>
        <w:tc>
          <w:tcPr>
            <w:tcW w:w="15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w:t>
            </w:r>
          </w:p>
        </w:tc>
        <w:tc>
          <w:tcPr>
            <w:tcW w:w="74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w:t>
            </w:r>
          </w:p>
        </w:tc>
        <w:tc>
          <w:tcPr>
            <w:tcW w:w="0" w:type="dxa"/>
            <w:vAlign w:val="bottom"/>
          </w:tcPr>
          <w:p>
            <w:pPr>
              <w:spacing w:after="0"/>
              <w:rPr>
                <w:sz w:val="1"/>
                <w:szCs w:val="1"/>
                <w:color w:val="auto"/>
              </w:rPr>
            </w:pP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All Other</w:t>
            </w:r>
          </w:p>
        </w:tc>
        <w:tc>
          <w:tcPr>
            <w:tcW w:w="15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312</w:t>
            </w:r>
          </w:p>
        </w:tc>
        <w:tc>
          <w:tcPr>
            <w:tcW w:w="74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276</w:t>
            </w:r>
          </w:p>
        </w:tc>
        <w:tc>
          <w:tcPr>
            <w:tcW w:w="0" w:type="dxa"/>
            <w:vAlign w:val="bottom"/>
          </w:tcPr>
          <w:p>
            <w:pPr>
              <w:spacing w:after="0"/>
              <w:rPr>
                <w:sz w:val="1"/>
                <w:szCs w:val="1"/>
                <w:color w:val="auto"/>
              </w:rPr>
            </w:pPr>
          </w:p>
        </w:tc>
      </w:tr>
      <w:tr>
        <w:trPr>
          <w:trHeight w:val="168"/>
        </w:trPr>
        <w:tc>
          <w:tcPr>
            <w:tcW w:w="416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Total</w:t>
            </w:r>
          </w:p>
        </w:tc>
        <w:tc>
          <w:tcPr>
            <w:tcW w:w="25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160" w:type="dxa"/>
            <w:vAlign w:val="bottom"/>
            <w:vMerge w:val="continue"/>
          </w:tcPr>
          <w:p>
            <w:pPr>
              <w:spacing w:after="0"/>
              <w:rPr>
                <w:sz w:val="14"/>
                <w:szCs w:val="14"/>
                <w:color w:val="auto"/>
              </w:rPr>
            </w:pP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651</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708</w:t>
            </w:r>
          </w:p>
        </w:tc>
        <w:tc>
          <w:tcPr>
            <w:tcW w:w="0" w:type="dxa"/>
            <w:vAlign w:val="bottom"/>
          </w:tcPr>
          <w:p>
            <w:pPr>
              <w:spacing w:after="0"/>
              <w:rPr>
                <w:sz w:val="1"/>
                <w:szCs w:val="1"/>
                <w:color w:val="auto"/>
              </w:rPr>
            </w:pPr>
          </w:p>
        </w:tc>
      </w:tr>
      <w:tr>
        <w:trPr>
          <w:trHeight w:val="245"/>
        </w:trPr>
        <w:tc>
          <w:tcPr>
            <w:tcW w:w="4160" w:type="dxa"/>
            <w:vAlign w:val="bottom"/>
          </w:tcPr>
          <w:p>
            <w:pPr>
              <w:spacing w:after="0"/>
              <w:rPr>
                <w:sz w:val="21"/>
                <w:szCs w:val="21"/>
                <w:color w:val="auto"/>
              </w:rPr>
            </w:pPr>
          </w:p>
        </w:tc>
        <w:tc>
          <w:tcPr>
            <w:tcW w:w="25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1040"/>
        <w:spacing w:after="0" w:line="267" w:lineRule="auto"/>
        <w:rPr>
          <w:sz w:val="20"/>
          <w:szCs w:val="20"/>
          <w:color w:val="auto"/>
        </w:rPr>
      </w:pPr>
      <w:r>
        <w:rPr>
          <w:rFonts w:ascii="Courier New" w:cs="Courier New" w:eastAsia="Courier New" w:hAnsi="Courier New"/>
          <w:sz w:val="14"/>
          <w:szCs w:val="14"/>
          <w:color w:val="auto"/>
        </w:rPr>
        <w:t>Other expense decreased $57 million, or 8%, in the 1996 second quarter when compared with the second quarter of 1995. For the first six months of 1996, other expense decreased $100 million, or 7%, from the 1995 comparable period. The improvement reflected a $31 million decline in marketing expense in the 1996 second quarter primarily as a result of expense reduction initiatives. Lower FDIC assessments of $54 million in the second quarter of 1996 and $110 million for the first six months of 1996 resulted from the elimination of a FDIC assessment, with the exception of deposits associated with the acquisition of former savings and loan branches. Partially offsetting these declines were increases in other expenses largely as a result of the aforementioned acquisition from U.S. Trust and consolidation of a foreign investment.</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24" w:lineRule="exact"/>
        <w:rPr>
          <w:sz w:val="20"/>
          <w:szCs w:val="20"/>
          <w:color w:val="auto"/>
        </w:rPr>
      </w:pPr>
    </w:p>
    <w:p>
      <w:pPr>
        <w:ind w:right="1040"/>
        <w:spacing w:after="0" w:line="266" w:lineRule="auto"/>
        <w:rPr>
          <w:sz w:val="20"/>
          <w:szCs w:val="20"/>
          <w:color w:val="auto"/>
        </w:rPr>
      </w:pPr>
      <w:r>
        <w:rPr>
          <w:rFonts w:ascii="Courier New" w:cs="Courier New" w:eastAsia="Courier New" w:hAnsi="Courier New"/>
          <w:sz w:val="14"/>
          <w:szCs w:val="14"/>
          <w:color w:val="auto"/>
        </w:rPr>
        <w:t>The Corporation recognized income tax expense of $524 million in the second quarter of 1996, compared with $471 million in the second quarter of 1995. For the first six months, the Corporation recorded income tax expense of $310 million in 1996, compared with $885 million in 1995. The 1996 six-month amount includes tax benefits related to the restructuring charge and aggregate tax benefits and refunds of $132 million. The Corporation's effective tax rates were 38.0% and 39.3% for the second quarters of 1996 and 1995, respectively, and were 38.0% (excluding the aforementioned tax benefits and refunds) and 39.1% for the first six months of 1996 and 1995, respectively.</w:t>
      </w:r>
    </w:p>
    <w:p>
      <w:pPr>
        <w:spacing w:after="0" w:line="74" w:lineRule="exact"/>
        <w:rPr>
          <w:sz w:val="20"/>
          <w:szCs w:val="20"/>
          <w:color w:val="auto"/>
        </w:rPr>
      </w:pPr>
    </w:p>
    <w:p>
      <w:pPr>
        <w:ind w:left="180" w:hanging="170"/>
        <w:spacing w:after="0"/>
        <w:tabs>
          <w:tab w:leader="none" w:pos="1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4" w:lineRule="exact"/>
        <w:rPr>
          <w:rFonts w:ascii="Courier New" w:cs="Courier New" w:eastAsia="Courier New" w:hAnsi="Courier New"/>
          <w:sz w:val="15"/>
          <w:szCs w:val="15"/>
          <w:color w:val="auto"/>
        </w:rPr>
      </w:pP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LINES OF BUSINESS RESULTS</w:t>
      </w:r>
    </w:p>
    <w:p>
      <w:pPr>
        <w:ind w:left="180" w:hanging="170"/>
        <w:spacing w:after="0"/>
        <w:tabs>
          <w:tab w:leader="none" w:pos="1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jc w:val="both"/>
        <w:ind w:right="1040"/>
        <w:spacing w:after="0" w:line="258" w:lineRule="auto"/>
        <w:rPr>
          <w:sz w:val="20"/>
          <w:szCs w:val="20"/>
          <w:color w:val="auto"/>
        </w:rPr>
      </w:pPr>
      <w:r>
        <w:rPr>
          <w:rFonts w:ascii="Courier New" w:cs="Courier New" w:eastAsia="Courier New" w:hAnsi="Courier New"/>
          <w:sz w:val="15"/>
          <w:szCs w:val="15"/>
          <w:color w:val="auto"/>
        </w:rPr>
        <w:t>Profitability of the Corporation is tracked with an internal management information system that produces lines-of-business performance. The current presentation of lines-of-business results is based on uniform management accounting policies. Lines-of-business results are subject to restatement as appropriate whenever there are refinements in management reporting policies or changes to the management organization.</w:t>
      </w:r>
    </w:p>
    <w:p>
      <w:pPr>
        <w:spacing w:after="0" w:line="81" w:lineRule="exact"/>
        <w:rPr>
          <w:sz w:val="20"/>
          <w:szCs w:val="20"/>
          <w:color w:val="auto"/>
        </w:rPr>
      </w:pPr>
    </w:p>
    <w:p>
      <w:pPr>
        <w:ind w:right="1040"/>
        <w:spacing w:after="0" w:line="267" w:lineRule="auto"/>
        <w:rPr>
          <w:sz w:val="20"/>
          <w:szCs w:val="20"/>
          <w:color w:val="auto"/>
        </w:rPr>
      </w:pPr>
      <w:r>
        <w:rPr>
          <w:rFonts w:ascii="Courier New" w:cs="Courier New" w:eastAsia="Courier New" w:hAnsi="Courier New"/>
          <w:sz w:val="14"/>
          <w:szCs w:val="14"/>
          <w:color w:val="auto"/>
        </w:rPr>
        <w:t>Guidelines exist for assigning expenses that are not directly incurred by the businesses, such as overhead and taxes, as well as for allocating shareholders' equity and the provision for losses, utilizing a risk-based methodology. Also incorporated in the guidelines is a process for matching assets and liabilities with similar maturity, liquidity and interest characteristics within each business. Noninterest expenses of the Corporation are fully allocated to the business units except for special corporate one-time charges. Management has developed a risk-adjusted capital methodology that quantifies different types of risk -- credit, market, and operating/business -- within various businesses and assigns capital accordingly. A long-term expected tax rate is assigned in evaluating the Corporation's businesses.</w:t>
      </w:r>
    </w:p>
    <w:p>
      <w:pPr>
        <w:spacing w:after="0" w:line="7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Six Months</w:t>
            </w:r>
          </w:p>
        </w:tc>
        <w:tc>
          <w:tcPr>
            <w:tcW w:w="52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214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 w:type="dxa"/>
            <w:vAlign w:val="bottom"/>
          </w:tcPr>
          <w:p>
            <w:pPr>
              <w:spacing w:after="0"/>
              <w:rPr>
                <w:sz w:val="14"/>
                <w:szCs w:val="14"/>
                <w:color w:val="auto"/>
              </w:rPr>
            </w:pP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1996</w:t>
            </w:r>
          </w:p>
        </w:tc>
        <w:tc>
          <w:tcPr>
            <w:tcW w:w="102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1995</w:t>
            </w:r>
          </w:p>
        </w:tc>
      </w:tr>
      <w:tr>
        <w:trPr>
          <w:trHeight w:val="245"/>
        </w:trPr>
        <w:tc>
          <w:tcPr>
            <w:tcW w:w="220" w:type="dxa"/>
            <w:vAlign w:val="bottom"/>
          </w:tcPr>
          <w:p>
            <w:pPr>
              <w:spacing w:after="0"/>
              <w:rPr>
                <w:sz w:val="21"/>
                <w:szCs w:val="21"/>
                <w:color w:val="auto"/>
              </w:rPr>
            </w:pPr>
          </w:p>
        </w:tc>
        <w:tc>
          <w:tcPr>
            <w:tcW w:w="6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21"/>
                <w:szCs w:val="21"/>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w:t>
            </w:r>
          </w:p>
        </w:tc>
      </w:tr>
      <w:tr>
        <w:trPr>
          <w:trHeight w:val="596"/>
        </w:trPr>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270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277</w:t>
            </w:r>
          </w:p>
        </w:tc>
      </w:tr>
      <w:tr>
        <w:trPr>
          <w:trHeight w:val="168"/>
        </w:trPr>
        <w:tc>
          <w:tcPr>
            <w:tcW w:w="220" w:type="dxa"/>
            <w:vAlign w:val="bottom"/>
          </w:tcPr>
          <w:p>
            <w:pPr>
              <w:spacing w:after="0"/>
              <w:rPr>
                <w:sz w:val="14"/>
                <w:szCs w:val="14"/>
                <w:color w:val="auto"/>
              </w:rPr>
            </w:pP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163</w:t>
            </w:r>
          </w:p>
        </w:tc>
        <w:tc>
          <w:tcPr>
            <w:tcW w:w="10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w:t>
            </w:r>
          </w:p>
        </w:tc>
      </w:tr>
      <w:tr>
        <w:trPr>
          <w:trHeight w:val="168"/>
        </w:trPr>
        <w:tc>
          <w:tcPr>
            <w:tcW w:w="220" w:type="dxa"/>
            <w:vAlign w:val="bottom"/>
          </w:tcPr>
          <w:p>
            <w:pPr>
              <w:spacing w:after="0"/>
              <w:rPr>
                <w:sz w:val="14"/>
                <w:szCs w:val="14"/>
                <w:color w:val="auto"/>
              </w:rPr>
            </w:pP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w:t>
            </w:r>
          </w:p>
        </w:tc>
        <w:tc>
          <w:tcPr>
            <w:tcW w:w="10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w:t>
            </w:r>
          </w:p>
        </w:tc>
      </w:tr>
      <w:tr>
        <w:trPr>
          <w:trHeight w:val="194"/>
        </w:trPr>
        <w:tc>
          <w:tcPr>
            <w:tcW w:w="220" w:type="dxa"/>
            <w:vAlign w:val="bottom"/>
          </w:tcPr>
          <w:p>
            <w:pPr>
              <w:spacing w:after="0"/>
              <w:rPr>
                <w:sz w:val="16"/>
                <w:szCs w:val="16"/>
                <w:color w:val="auto"/>
              </w:rPr>
            </w:pPr>
          </w:p>
        </w:tc>
        <w:tc>
          <w:tcPr>
            <w:tcW w:w="6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167</w:t>
            </w:r>
          </w:p>
        </w:tc>
        <w:tc>
          <w:tcPr>
            <w:tcW w:w="10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165</w:t>
            </w:r>
          </w:p>
        </w:tc>
      </w:tr>
    </w:tbl>
    <w:p>
      <w:pPr>
        <w:ind w:left="2180" w:hanging="1659"/>
        <w:spacing w:after="0" w:line="237" w:lineRule="auto"/>
        <w:tabs>
          <w:tab w:leader="none" w:pos="21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94</w:t>
      </w:r>
    </w:p>
    <w:p>
      <w:pPr>
        <w:ind w:left="2100" w:hanging="1667"/>
        <w:spacing w:after="0"/>
        <w:tabs>
          <w:tab w:leader="none" w:pos="210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578</w:t>
      </w:r>
    </w:p>
    <w:p>
      <w:pPr>
        <w:spacing w:after="0" w:line="10"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240" w:val="left"/>
          <w:tab w:leader="none" w:pos="1640" w:val="left"/>
          <w:tab w:leader="none" w:pos="1900" w:val="left"/>
        </w:tabs>
        <w:rPr>
          <w:sz w:val="20"/>
          <w:szCs w:val="20"/>
          <w:color w:val="auto"/>
        </w:rPr>
      </w:pPr>
      <w:r>
        <w:rPr>
          <w:rFonts w:ascii="Courier New" w:cs="Courier New" w:eastAsia="Courier New" w:hAnsi="Courier New"/>
          <w:sz w:val="15"/>
          <w:szCs w:val="15"/>
          <w:color w:val="auto"/>
        </w:rPr>
        <w:t>$</w:t>
        <w:tab/>
        <w:t>1,311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1,411</w:t>
      </w:r>
    </w:p>
    <w:p>
      <w:pPr>
        <w:spacing w:after="0"/>
        <w:tabs>
          <w:tab w:leader="none" w:pos="16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2">
            <w:col w:w="8040" w:space="720"/>
            <w:col w:w="2360"/>
          </w:cols>
          <w:pgMar w:left="220" w:top="598" w:right="5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Global Bank</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40" w:type="dxa"/>
            <w:vAlign w:val="bottom"/>
            <w:gridSpan w:val="3"/>
          </w:tcPr>
          <w:p>
            <w:pPr>
              <w:jc w:val="right"/>
              <w:ind w:right="227"/>
              <w:spacing w:after="0"/>
              <w:rPr>
                <w:sz w:val="20"/>
                <w:szCs w:val="20"/>
                <w:color w:val="auto"/>
              </w:rPr>
            </w:pPr>
            <w:r>
              <w:rPr>
                <w:rFonts w:ascii="Courier New" w:cs="Courier New" w:eastAsia="Courier New" w:hAnsi="Courier New"/>
                <w:sz w:val="15"/>
                <w:szCs w:val="15"/>
                <w:color w:val="auto"/>
              </w:rPr>
              <w:t>Regional and Consumer</w:t>
            </w:r>
          </w:p>
        </w:tc>
        <w:tc>
          <w:tcPr>
            <w:tcW w:w="440" w:type="dxa"/>
            <w:vAlign w:val="bottom"/>
          </w:tcPr>
          <w:p>
            <w:pPr>
              <w:spacing w:after="0"/>
              <w:rPr>
                <w:sz w:val="14"/>
                <w:szCs w:val="14"/>
                <w:color w:val="auto"/>
              </w:rPr>
            </w:pPr>
          </w:p>
        </w:tc>
        <w:tc>
          <w:tcPr>
            <w:tcW w:w="10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Global</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Banking</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Services</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420" w:type="dxa"/>
            <w:vAlign w:val="bottom"/>
          </w:tcPr>
          <w:p>
            <w:pPr>
              <w:spacing w:after="0"/>
              <w:rPr>
                <w:sz w:val="21"/>
                <w:szCs w:val="21"/>
                <w:color w:val="auto"/>
              </w:rPr>
            </w:pPr>
          </w:p>
        </w:tc>
        <w:tc>
          <w:tcPr>
            <w:tcW w:w="2840" w:type="dxa"/>
            <w:vAlign w:val="bottom"/>
            <w:gridSpan w:val="4"/>
          </w:tcPr>
          <w:p>
            <w:pPr>
              <w:ind w:left="360"/>
              <w:spacing w:after="0"/>
              <w:rPr>
                <w:sz w:val="20"/>
                <w:szCs w:val="20"/>
                <w:color w:val="auto"/>
              </w:rPr>
            </w:pPr>
            <w:r>
              <w:rPr>
                <w:rFonts w:ascii="Courier New" w:cs="Courier New" w:eastAsia="Courier New" w:hAnsi="Courier New"/>
                <w:sz w:val="15"/>
                <w:szCs w:val="15"/>
                <w:color w:val="auto"/>
              </w:rPr>
              <w:t>------------------------</w:t>
            </w:r>
          </w:p>
        </w:tc>
        <w:tc>
          <w:tcPr>
            <w:tcW w:w="2540" w:type="dxa"/>
            <w:vAlign w:val="bottom"/>
            <w:gridSpan w:val="4"/>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420" w:type="dxa"/>
            <w:vAlign w:val="bottom"/>
          </w:tcPr>
          <w:p>
            <w:pPr>
              <w:spacing w:after="0"/>
              <w:rPr>
                <w:sz w:val="20"/>
                <w:szCs w:val="20"/>
                <w:color w:val="auto"/>
              </w:rPr>
            </w:pPr>
            <w:r>
              <w:rPr>
                <w:rFonts w:ascii="Courier New" w:cs="Courier New" w:eastAsia="Courier New" w:hAnsi="Courier New"/>
                <w:sz w:val="15"/>
                <w:szCs w:val="15"/>
                <w:color w:val="auto"/>
              </w:rPr>
              <w:t>For the three months ended June 30,</w:t>
            </w:r>
          </w:p>
        </w:tc>
        <w:tc>
          <w:tcPr>
            <w:tcW w:w="520" w:type="dxa"/>
            <w:vAlign w:val="bottom"/>
          </w:tcPr>
          <w:p>
            <w:pPr>
              <w:spacing w:after="0"/>
              <w:rPr>
                <w:sz w:val="22"/>
                <w:szCs w:val="22"/>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1996</w:t>
            </w:r>
          </w:p>
        </w:tc>
        <w:tc>
          <w:tcPr>
            <w:tcW w:w="480" w:type="dxa"/>
            <w:vAlign w:val="bottom"/>
          </w:tcPr>
          <w:p>
            <w:pPr>
              <w:spacing w:after="0"/>
              <w:rPr>
                <w:sz w:val="22"/>
                <w:szCs w:val="22"/>
                <w:color w:val="auto"/>
              </w:rPr>
            </w:pPr>
          </w:p>
        </w:tc>
        <w:tc>
          <w:tcPr>
            <w:tcW w:w="8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1995</w:t>
            </w:r>
          </w:p>
        </w:tc>
        <w:tc>
          <w:tcPr>
            <w:tcW w:w="300" w:type="dxa"/>
            <w:vAlign w:val="bottom"/>
          </w:tcPr>
          <w:p>
            <w:pPr>
              <w:spacing w:after="0"/>
              <w:rPr>
                <w:sz w:val="22"/>
                <w:szCs w:val="22"/>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1996</w:t>
            </w:r>
          </w:p>
        </w:tc>
        <w:tc>
          <w:tcPr>
            <w:tcW w:w="440" w:type="dxa"/>
            <w:vAlign w:val="bottom"/>
          </w:tcPr>
          <w:p>
            <w:pPr>
              <w:spacing w:after="0"/>
              <w:rPr>
                <w:sz w:val="22"/>
                <w:szCs w:val="22"/>
                <w:color w:val="auto"/>
              </w:rPr>
            </w:pPr>
          </w:p>
        </w:tc>
        <w:tc>
          <w:tcPr>
            <w:tcW w:w="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1995</w:t>
            </w:r>
          </w:p>
        </w:tc>
        <w:tc>
          <w:tcPr>
            <w:tcW w:w="440" w:type="dxa"/>
            <w:vAlign w:val="bottom"/>
          </w:tcPr>
          <w:p>
            <w:pPr>
              <w:spacing w:after="0"/>
              <w:rPr>
                <w:sz w:val="22"/>
                <w:szCs w:val="22"/>
                <w:color w:val="auto"/>
              </w:rPr>
            </w:pP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1996</w:t>
            </w:r>
          </w:p>
        </w:tc>
        <w:tc>
          <w:tcPr>
            <w:tcW w:w="340" w:type="dxa"/>
            <w:vAlign w:val="bottom"/>
          </w:tcPr>
          <w:p>
            <w:pPr>
              <w:spacing w:after="0"/>
              <w:rPr>
                <w:sz w:val="22"/>
                <w:szCs w:val="22"/>
                <w:color w:val="auto"/>
              </w:rPr>
            </w:pP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45"/>
        </w:trPr>
        <w:tc>
          <w:tcPr>
            <w:tcW w:w="342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(in millions, except ratios)</w:t>
            </w:r>
          </w:p>
        </w:tc>
        <w:tc>
          <w:tcPr>
            <w:tcW w:w="520" w:type="dxa"/>
            <w:vAlign w:val="bottom"/>
          </w:tcPr>
          <w:p>
            <w:pPr>
              <w:spacing w:after="0"/>
              <w:rPr>
                <w:sz w:val="21"/>
                <w:szCs w:val="21"/>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1"/>
                <w:szCs w:val="21"/>
                <w:color w:val="auto"/>
              </w:rPr>
            </w:pPr>
          </w:p>
        </w:tc>
        <w:tc>
          <w:tcPr>
            <w:tcW w:w="8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1"/>
                <w:szCs w:val="21"/>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1"/>
                <w:szCs w:val="21"/>
                <w:color w:val="auto"/>
              </w:rPr>
            </w:pPr>
          </w:p>
        </w:tc>
        <w:tc>
          <w:tcPr>
            <w:tcW w:w="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1"/>
                <w:szCs w:val="21"/>
                <w:color w:val="auto"/>
              </w:rPr>
            </w:pP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1"/>
                <w:szCs w:val="21"/>
                <w:color w:val="auto"/>
              </w:rPr>
            </w:pP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4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Interest Income</w:t>
            </w:r>
          </w:p>
        </w:tc>
        <w:tc>
          <w:tcPr>
            <w:tcW w:w="5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606</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564</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1,452</w:t>
            </w:r>
          </w:p>
        </w:tc>
        <w:tc>
          <w:tcPr>
            <w:tcW w:w="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1,375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210</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178</w:t>
            </w:r>
          </w:p>
        </w:tc>
        <w:tc>
          <w:tcPr>
            <w:tcW w:w="0" w:type="dxa"/>
            <w:vAlign w:val="bottom"/>
          </w:tcPr>
          <w:p>
            <w:pPr>
              <w:spacing w:after="0"/>
              <w:rPr>
                <w:sz w:val="1"/>
                <w:szCs w:val="1"/>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Revenue</w:t>
            </w:r>
          </w:p>
        </w:tc>
        <w:tc>
          <w:tcPr>
            <w:tcW w:w="52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1,038</w:t>
            </w:r>
          </w:p>
        </w:tc>
        <w:tc>
          <w:tcPr>
            <w:tcW w:w="4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888</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533</w:t>
            </w:r>
          </w:p>
        </w:tc>
        <w:tc>
          <w:tcPr>
            <w:tcW w:w="44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539</w:t>
            </w:r>
          </w:p>
        </w:tc>
        <w:tc>
          <w:tcPr>
            <w:tcW w:w="44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306</w:t>
            </w:r>
          </w:p>
        </w:tc>
        <w:tc>
          <w:tcPr>
            <w:tcW w:w="3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265</w:t>
            </w:r>
          </w:p>
        </w:tc>
        <w:tc>
          <w:tcPr>
            <w:tcW w:w="0" w:type="dxa"/>
            <w:vAlign w:val="bottom"/>
          </w:tcPr>
          <w:p>
            <w:pPr>
              <w:spacing w:after="0"/>
              <w:rPr>
                <w:sz w:val="1"/>
                <w:szCs w:val="1"/>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Expense</w:t>
            </w:r>
          </w:p>
        </w:tc>
        <w:tc>
          <w:tcPr>
            <w:tcW w:w="52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753</w:t>
            </w:r>
          </w:p>
        </w:tc>
        <w:tc>
          <w:tcPr>
            <w:tcW w:w="4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724</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1,102</w:t>
            </w:r>
          </w:p>
        </w:tc>
        <w:tc>
          <w:tcPr>
            <w:tcW w:w="44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1,223</w:t>
            </w:r>
          </w:p>
        </w:tc>
        <w:tc>
          <w:tcPr>
            <w:tcW w:w="44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397</w:t>
            </w:r>
          </w:p>
        </w:tc>
        <w:tc>
          <w:tcPr>
            <w:tcW w:w="3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355</w:t>
            </w:r>
          </w:p>
        </w:tc>
        <w:tc>
          <w:tcPr>
            <w:tcW w:w="0" w:type="dxa"/>
            <w:vAlign w:val="bottom"/>
          </w:tcPr>
          <w:p>
            <w:pPr>
              <w:spacing w:after="0"/>
              <w:rPr>
                <w:sz w:val="1"/>
                <w:szCs w:val="1"/>
                <w:color w:val="auto"/>
              </w:rPr>
            </w:pPr>
          </w:p>
        </w:tc>
      </w:tr>
      <w:tr>
        <w:trPr>
          <w:trHeight w:val="168"/>
        </w:trPr>
        <w:tc>
          <w:tcPr>
            <w:tcW w:w="342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Margin</w:t>
            </w:r>
          </w:p>
        </w:tc>
        <w:tc>
          <w:tcPr>
            <w:tcW w:w="15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4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891</w:t>
            </w:r>
          </w:p>
        </w:tc>
        <w:tc>
          <w:tcPr>
            <w:tcW w:w="4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728</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883</w:t>
            </w:r>
          </w:p>
        </w:tc>
        <w:tc>
          <w:tcPr>
            <w:tcW w:w="44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691</w:t>
            </w:r>
          </w:p>
        </w:tc>
        <w:tc>
          <w:tcPr>
            <w:tcW w:w="44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w:t>
            </w:r>
          </w:p>
        </w:tc>
        <w:tc>
          <w:tcPr>
            <w:tcW w:w="3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w:t>
            </w:r>
          </w:p>
        </w:tc>
        <w:tc>
          <w:tcPr>
            <w:tcW w:w="0" w:type="dxa"/>
            <w:vAlign w:val="bottom"/>
          </w:tcPr>
          <w:p>
            <w:pPr>
              <w:spacing w:after="0"/>
              <w:rPr>
                <w:sz w:val="1"/>
                <w:szCs w:val="1"/>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Credit Provision (a)</w:t>
            </w:r>
          </w:p>
        </w:tc>
        <w:tc>
          <w:tcPr>
            <w:tcW w:w="52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61</w:t>
            </w:r>
          </w:p>
        </w:tc>
        <w:tc>
          <w:tcPr>
            <w:tcW w:w="4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345</w:t>
            </w:r>
          </w:p>
        </w:tc>
        <w:tc>
          <w:tcPr>
            <w:tcW w:w="44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270</w:t>
            </w:r>
          </w:p>
        </w:tc>
        <w:tc>
          <w:tcPr>
            <w:tcW w:w="44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w:t>
            </w:r>
          </w:p>
        </w:tc>
        <w:tc>
          <w:tcPr>
            <w:tcW w:w="3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Foreclosed Property Expense</w:t>
            </w:r>
          </w:p>
        </w:tc>
        <w:tc>
          <w:tcPr>
            <w:tcW w:w="52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3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w:t>
            </w:r>
          </w:p>
        </w:tc>
        <w:tc>
          <w:tcPr>
            <w:tcW w:w="4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w:t>
            </w:r>
          </w:p>
        </w:tc>
        <w:tc>
          <w:tcPr>
            <w:tcW w:w="44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42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Taxes</w:t>
            </w:r>
          </w:p>
        </w:tc>
        <w:tc>
          <w:tcPr>
            <w:tcW w:w="15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4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830</w:t>
            </w:r>
          </w:p>
        </w:tc>
        <w:tc>
          <w:tcPr>
            <w:tcW w:w="4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656</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542</w:t>
            </w:r>
          </w:p>
        </w:tc>
        <w:tc>
          <w:tcPr>
            <w:tcW w:w="44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433</w:t>
            </w:r>
          </w:p>
        </w:tc>
        <w:tc>
          <w:tcPr>
            <w:tcW w:w="44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w:t>
            </w:r>
          </w:p>
        </w:tc>
        <w:tc>
          <w:tcPr>
            <w:tcW w:w="3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w:t>
            </w:r>
          </w:p>
        </w:tc>
        <w:tc>
          <w:tcPr>
            <w:tcW w:w="0" w:type="dxa"/>
            <w:vAlign w:val="bottom"/>
          </w:tcPr>
          <w:p>
            <w:pPr>
              <w:spacing w:after="0"/>
              <w:rPr>
                <w:sz w:val="1"/>
                <w:szCs w:val="1"/>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52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310</w:t>
            </w:r>
          </w:p>
        </w:tc>
        <w:tc>
          <w:tcPr>
            <w:tcW w:w="4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253</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220</w:t>
            </w:r>
          </w:p>
        </w:tc>
        <w:tc>
          <w:tcPr>
            <w:tcW w:w="44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173</w:t>
            </w:r>
          </w:p>
        </w:tc>
        <w:tc>
          <w:tcPr>
            <w:tcW w:w="44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w:t>
            </w:r>
          </w:p>
        </w:tc>
        <w:tc>
          <w:tcPr>
            <w:tcW w:w="3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w:t>
            </w:r>
          </w:p>
        </w:tc>
        <w:tc>
          <w:tcPr>
            <w:tcW w:w="0" w:type="dxa"/>
            <w:vAlign w:val="bottom"/>
          </w:tcPr>
          <w:p>
            <w:pPr>
              <w:spacing w:after="0"/>
              <w:rPr>
                <w:sz w:val="1"/>
                <w:szCs w:val="1"/>
                <w:color w:val="auto"/>
              </w:rPr>
            </w:pPr>
          </w:p>
        </w:tc>
      </w:tr>
      <w:tr>
        <w:trPr>
          <w:trHeight w:val="168"/>
        </w:trPr>
        <w:tc>
          <w:tcPr>
            <w:tcW w:w="342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Net Income</w:t>
            </w:r>
          </w:p>
        </w:tc>
        <w:tc>
          <w:tcPr>
            <w:tcW w:w="15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4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520</w:t>
            </w:r>
          </w:p>
        </w:tc>
        <w:tc>
          <w:tcPr>
            <w:tcW w:w="4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403</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322</w:t>
            </w:r>
          </w:p>
        </w:tc>
        <w:tc>
          <w:tcPr>
            <w:tcW w:w="44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260</w:t>
            </w:r>
          </w:p>
        </w:tc>
        <w:tc>
          <w:tcPr>
            <w:tcW w:w="44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w:t>
            </w:r>
          </w:p>
        </w:tc>
        <w:tc>
          <w:tcPr>
            <w:tcW w:w="3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w:t>
            </w:r>
          </w:p>
        </w:tc>
        <w:tc>
          <w:tcPr>
            <w:tcW w:w="0" w:type="dxa"/>
            <w:vAlign w:val="bottom"/>
          </w:tcPr>
          <w:p>
            <w:pPr>
              <w:spacing w:after="0"/>
              <w:rPr>
                <w:sz w:val="1"/>
                <w:szCs w:val="1"/>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Charge &amp; Expenses</w:t>
            </w:r>
          </w:p>
        </w:tc>
        <w:tc>
          <w:tcPr>
            <w:tcW w:w="5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w:t>
            </w:r>
          </w:p>
        </w:tc>
        <w:tc>
          <w:tcPr>
            <w:tcW w:w="3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w:t>
            </w:r>
          </w:p>
        </w:tc>
        <w:tc>
          <w:tcPr>
            <w:tcW w:w="44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w:t>
            </w:r>
          </w:p>
        </w:tc>
        <w:tc>
          <w:tcPr>
            <w:tcW w:w="3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42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420" w:type="dxa"/>
            <w:vAlign w:val="bottom"/>
            <w:vMerge w:val="continue"/>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515</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394</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316</w:t>
            </w: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w:t>
            </w:r>
          </w:p>
        </w:tc>
        <w:tc>
          <w:tcPr>
            <w:tcW w:w="0" w:type="dxa"/>
            <w:vAlign w:val="bottom"/>
          </w:tcPr>
          <w:p>
            <w:pPr>
              <w:spacing w:after="0"/>
              <w:rPr>
                <w:sz w:val="1"/>
                <w:szCs w:val="1"/>
                <w:color w:val="auto"/>
              </w:rPr>
            </w:pPr>
          </w:p>
        </w:tc>
      </w:tr>
      <w:tr>
        <w:trPr>
          <w:trHeight w:val="245"/>
        </w:trPr>
        <w:tc>
          <w:tcPr>
            <w:tcW w:w="3420" w:type="dxa"/>
            <w:vAlign w:val="bottom"/>
          </w:tcPr>
          <w:p>
            <w:pPr>
              <w:spacing w:after="0"/>
              <w:rPr>
                <w:sz w:val="21"/>
                <w:szCs w:val="21"/>
                <w:color w:val="auto"/>
              </w:rPr>
            </w:pPr>
          </w:p>
        </w:tc>
        <w:tc>
          <w:tcPr>
            <w:tcW w:w="15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420" w:type="dxa"/>
            <w:vAlign w:val="bottom"/>
          </w:tcPr>
          <w:p>
            <w:pPr>
              <w:spacing w:after="0"/>
              <w:rPr>
                <w:sz w:val="20"/>
                <w:szCs w:val="20"/>
                <w:color w:val="auto"/>
              </w:rPr>
            </w:pPr>
            <w:r>
              <w:rPr>
                <w:rFonts w:ascii="Courier New" w:cs="Courier New" w:eastAsia="Courier New" w:hAnsi="Courier New"/>
                <w:sz w:val="15"/>
                <w:szCs w:val="15"/>
                <w:color w:val="auto"/>
              </w:rPr>
              <w:t>Average Assets</w:t>
            </w:r>
          </w:p>
        </w:tc>
        <w:tc>
          <w:tcPr>
            <w:tcW w:w="5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208,286</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1"/>
              </w:rPr>
              <w:t>187,537</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110,767</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$ 106,013</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$ 9,699</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9,592</w:t>
            </w:r>
          </w:p>
        </w:tc>
        <w:tc>
          <w:tcPr>
            <w:tcW w:w="0" w:type="dxa"/>
            <w:vAlign w:val="bottom"/>
          </w:tcPr>
          <w:p>
            <w:pPr>
              <w:spacing w:after="0"/>
              <w:rPr>
                <w:sz w:val="1"/>
                <w:szCs w:val="1"/>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Return on Common Equity (b)</w:t>
            </w:r>
          </w:p>
        </w:tc>
        <w:tc>
          <w:tcPr>
            <w:tcW w:w="52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24.9%</w:t>
            </w:r>
          </w:p>
        </w:tc>
        <w:tc>
          <w:tcPr>
            <w:tcW w:w="4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21.5%</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18.8%</w:t>
            </w:r>
          </w:p>
        </w:tc>
        <w:tc>
          <w:tcPr>
            <w:tcW w:w="44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14.8%</w:t>
            </w:r>
          </w:p>
        </w:tc>
        <w:tc>
          <w:tcPr>
            <w:tcW w:w="44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20.2%</w:t>
            </w:r>
          </w:p>
        </w:tc>
        <w:tc>
          <w:tcPr>
            <w:tcW w:w="3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w:t>
            </w:r>
          </w:p>
        </w:tc>
        <w:tc>
          <w:tcPr>
            <w:tcW w:w="0" w:type="dxa"/>
            <w:vAlign w:val="bottom"/>
          </w:tcPr>
          <w:p>
            <w:pPr>
              <w:spacing w:after="0"/>
              <w:rPr>
                <w:sz w:val="1"/>
                <w:szCs w:val="1"/>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Return on Assets (b)</w:t>
            </w:r>
          </w:p>
        </w:tc>
        <w:tc>
          <w:tcPr>
            <w:tcW w:w="52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1.00%</w:t>
            </w:r>
          </w:p>
        </w:tc>
        <w:tc>
          <w:tcPr>
            <w:tcW w:w="4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w:t>
            </w:r>
          </w:p>
        </w:tc>
        <w:tc>
          <w:tcPr>
            <w:tcW w:w="44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.98%</w:t>
            </w:r>
          </w:p>
        </w:tc>
        <w:tc>
          <w:tcPr>
            <w:tcW w:w="44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2.78%</w:t>
            </w:r>
          </w:p>
        </w:tc>
        <w:tc>
          <w:tcPr>
            <w:tcW w:w="3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w:t>
            </w:r>
          </w:p>
        </w:tc>
        <w:tc>
          <w:tcPr>
            <w:tcW w:w="0" w:type="dxa"/>
            <w:vAlign w:val="bottom"/>
          </w:tcPr>
          <w:p>
            <w:pPr>
              <w:spacing w:after="0"/>
              <w:rPr>
                <w:sz w:val="1"/>
                <w:szCs w:val="1"/>
                <w:color w:val="auto"/>
              </w:rPr>
            </w:pPr>
          </w:p>
        </w:tc>
      </w:tr>
      <w:tr>
        <w:trPr>
          <w:trHeight w:val="245"/>
        </w:trPr>
        <w:tc>
          <w:tcPr>
            <w:tcW w:w="3420" w:type="dxa"/>
            <w:vAlign w:val="bottom"/>
          </w:tcPr>
          <w:p>
            <w:pPr>
              <w:spacing w:after="0"/>
              <w:rPr>
                <w:sz w:val="20"/>
                <w:szCs w:val="20"/>
                <w:color w:val="auto"/>
              </w:rPr>
            </w:pPr>
            <w:r>
              <w:rPr>
                <w:rFonts w:ascii="Courier New" w:cs="Courier New" w:eastAsia="Courier New" w:hAnsi="Courier New"/>
                <w:sz w:val="15"/>
                <w:szCs w:val="15"/>
                <w:color w:val="auto"/>
              </w:rPr>
              <w:t>Efficiency Ratio (c)</w:t>
            </w:r>
          </w:p>
        </w:tc>
        <w:tc>
          <w:tcPr>
            <w:tcW w:w="520" w:type="dxa"/>
            <w:vAlign w:val="bottom"/>
          </w:tcPr>
          <w:p>
            <w:pPr>
              <w:spacing w:after="0"/>
              <w:rPr>
                <w:sz w:val="21"/>
                <w:szCs w:val="21"/>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45.8%</w:t>
            </w:r>
          </w:p>
        </w:tc>
        <w:tc>
          <w:tcPr>
            <w:tcW w:w="480" w:type="dxa"/>
            <w:vAlign w:val="bottom"/>
          </w:tcPr>
          <w:p>
            <w:pPr>
              <w:spacing w:after="0"/>
              <w:rPr>
                <w:sz w:val="21"/>
                <w:szCs w:val="21"/>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49.9%</w:t>
            </w:r>
          </w:p>
        </w:tc>
        <w:tc>
          <w:tcPr>
            <w:tcW w:w="300" w:type="dxa"/>
            <w:vAlign w:val="bottom"/>
          </w:tcPr>
          <w:p>
            <w:pPr>
              <w:spacing w:after="0"/>
              <w:rPr>
                <w:sz w:val="21"/>
                <w:szCs w:val="21"/>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55.5%</w:t>
            </w:r>
          </w:p>
        </w:tc>
        <w:tc>
          <w:tcPr>
            <w:tcW w:w="440" w:type="dxa"/>
            <w:vAlign w:val="bottom"/>
          </w:tcPr>
          <w:p>
            <w:pPr>
              <w:spacing w:after="0"/>
              <w:rPr>
                <w:sz w:val="21"/>
                <w:szCs w:val="21"/>
                <w:color w:val="auto"/>
              </w:rPr>
            </w:pP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63.9%</w:t>
            </w:r>
          </w:p>
        </w:tc>
        <w:tc>
          <w:tcPr>
            <w:tcW w:w="440" w:type="dxa"/>
            <w:vAlign w:val="bottom"/>
          </w:tcPr>
          <w:p>
            <w:pPr>
              <w:spacing w:after="0"/>
              <w:rPr>
                <w:sz w:val="21"/>
                <w:szCs w:val="21"/>
                <w:color w:val="auto"/>
              </w:rPr>
            </w:pP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76.9%</w:t>
            </w:r>
          </w:p>
        </w:tc>
        <w:tc>
          <w:tcPr>
            <w:tcW w:w="3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80.1%</w:t>
            </w:r>
          </w:p>
        </w:tc>
        <w:tc>
          <w:tcPr>
            <w:tcW w:w="0" w:type="dxa"/>
            <w:vAlign w:val="bottom"/>
          </w:tcPr>
          <w:p>
            <w:pPr>
              <w:spacing w:after="0"/>
              <w:rPr>
                <w:sz w:val="1"/>
                <w:szCs w:val="1"/>
                <w:color w:val="auto"/>
              </w:rPr>
            </w:pPr>
          </w:p>
        </w:tc>
      </w:tr>
    </w:tbl>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Terminal</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4"/>
              </w:rPr>
              <w:t>Total(d)</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(LDC and Real Estate)</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3280" w:type="dxa"/>
            <w:vAlign w:val="bottom"/>
            <w:gridSpan w:val="4"/>
          </w:tcPr>
          <w:p>
            <w:pPr>
              <w:ind w:left="11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21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59"/>
        </w:trPr>
        <w:tc>
          <w:tcPr>
            <w:tcW w:w="4380" w:type="dxa"/>
            <w:vAlign w:val="bottom"/>
          </w:tcPr>
          <w:p>
            <w:pPr>
              <w:spacing w:after="0"/>
              <w:rPr>
                <w:sz w:val="20"/>
                <w:szCs w:val="20"/>
                <w:color w:val="auto"/>
              </w:rPr>
            </w:pPr>
            <w:r>
              <w:rPr>
                <w:rFonts w:ascii="Courier New" w:cs="Courier New" w:eastAsia="Courier New" w:hAnsi="Courier New"/>
                <w:sz w:val="15"/>
                <w:szCs w:val="15"/>
                <w:color w:val="auto"/>
              </w:rPr>
              <w:t>For the three months ended June 30,</w:t>
            </w:r>
          </w:p>
        </w:tc>
        <w:tc>
          <w:tcPr>
            <w:tcW w:w="1280" w:type="dxa"/>
            <w:vAlign w:val="bottom"/>
          </w:tcPr>
          <w:p>
            <w:pPr>
              <w:spacing w:after="0"/>
              <w:rPr>
                <w:sz w:val="22"/>
                <w:szCs w:val="22"/>
                <w:color w:val="auto"/>
              </w:rPr>
            </w:pP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1996</w:t>
            </w:r>
          </w:p>
        </w:tc>
        <w:tc>
          <w:tcPr>
            <w:tcW w:w="780" w:type="dxa"/>
            <w:vAlign w:val="bottom"/>
          </w:tcPr>
          <w:p>
            <w:pPr>
              <w:spacing w:after="0"/>
              <w:rPr>
                <w:sz w:val="22"/>
                <w:szCs w:val="22"/>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22"/>
                <w:szCs w:val="22"/>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1996</w:t>
            </w:r>
          </w:p>
        </w:tc>
        <w:tc>
          <w:tcPr>
            <w:tcW w:w="700" w:type="dxa"/>
            <w:vAlign w:val="bottom"/>
          </w:tcPr>
          <w:p>
            <w:pPr>
              <w:spacing w:after="0"/>
              <w:rPr>
                <w:sz w:val="22"/>
                <w:szCs w:val="22"/>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45"/>
        </w:trPr>
        <w:tc>
          <w:tcPr>
            <w:tcW w:w="4380" w:type="dxa"/>
            <w:vAlign w:val="bottom"/>
            <w:vMerge w:val="restart"/>
          </w:tcPr>
          <w:p>
            <w:pPr>
              <w:spacing w:after="0"/>
              <w:rPr>
                <w:sz w:val="20"/>
                <w:szCs w:val="20"/>
                <w:color w:val="auto"/>
              </w:rPr>
            </w:pPr>
            <w:r>
              <w:rPr>
                <w:rFonts w:ascii="Courier New" w:cs="Courier New" w:eastAsia="Courier New" w:hAnsi="Courier New"/>
                <w:sz w:val="15"/>
                <w:szCs w:val="15"/>
                <w:color w:val="auto"/>
              </w:rPr>
              <w:t>(in millions, except ratios)</w:t>
            </w:r>
          </w:p>
        </w:tc>
        <w:tc>
          <w:tcPr>
            <w:tcW w:w="1280" w:type="dxa"/>
            <w:vAlign w:val="bottom"/>
          </w:tcPr>
          <w:p>
            <w:pPr>
              <w:spacing w:after="0"/>
              <w:rPr>
                <w:sz w:val="21"/>
                <w:szCs w:val="21"/>
                <w:color w:val="auto"/>
              </w:rPr>
            </w:pP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21"/>
                <w:szCs w:val="21"/>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21"/>
                <w:szCs w:val="21"/>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8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Interest Income</w:t>
            </w:r>
          </w:p>
        </w:tc>
        <w:tc>
          <w:tcPr>
            <w:tcW w:w="1280" w:type="dxa"/>
            <w:vAlign w:val="bottom"/>
          </w:tcPr>
          <w:p>
            <w:pPr>
              <w:ind w:left="114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2,023</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2,028</w:t>
            </w: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Revenue</w:t>
            </w:r>
          </w:p>
        </w:tc>
        <w:tc>
          <w:tcPr>
            <w:tcW w:w="128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c>
          <w:tcPr>
            <w:tcW w:w="78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1,931</w:t>
            </w:r>
          </w:p>
        </w:tc>
        <w:tc>
          <w:tcPr>
            <w:tcW w:w="7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1,726</w:t>
            </w: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Expense</w:t>
            </w:r>
          </w:p>
        </w:tc>
        <w:tc>
          <w:tcPr>
            <w:tcW w:w="128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c>
          <w:tcPr>
            <w:tcW w:w="7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2,310</w:t>
            </w:r>
          </w:p>
        </w:tc>
        <w:tc>
          <w:tcPr>
            <w:tcW w:w="7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2,372</w:t>
            </w:r>
          </w:p>
        </w:tc>
        <w:tc>
          <w:tcPr>
            <w:tcW w:w="0" w:type="dxa"/>
            <w:vAlign w:val="bottom"/>
          </w:tcPr>
          <w:p>
            <w:pPr>
              <w:spacing w:after="0"/>
              <w:rPr>
                <w:sz w:val="1"/>
                <w:szCs w:val="1"/>
                <w:color w:val="auto"/>
              </w:rPr>
            </w:pPr>
          </w:p>
        </w:tc>
      </w:tr>
      <w:tr>
        <w:trPr>
          <w:trHeight w:val="168"/>
        </w:trPr>
        <w:tc>
          <w:tcPr>
            <w:tcW w:w="438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Margin</w:t>
            </w:r>
          </w:p>
        </w:tc>
        <w:tc>
          <w:tcPr>
            <w:tcW w:w="18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8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78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1,644</w:t>
            </w:r>
          </w:p>
        </w:tc>
        <w:tc>
          <w:tcPr>
            <w:tcW w:w="7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1,382</w:t>
            </w: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Credit Provision (a)</w:t>
            </w:r>
          </w:p>
        </w:tc>
        <w:tc>
          <w:tcPr>
            <w:tcW w:w="128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w:t>
            </w:r>
          </w:p>
        </w:tc>
        <w:tc>
          <w:tcPr>
            <w:tcW w:w="78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w:t>
            </w:r>
          </w:p>
        </w:tc>
        <w:tc>
          <w:tcPr>
            <w:tcW w:w="7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195</w:t>
            </w: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Foreclosed Property Expense</w:t>
            </w:r>
          </w:p>
        </w:tc>
        <w:tc>
          <w:tcPr>
            <w:tcW w:w="128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78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c>
          <w:tcPr>
            <w:tcW w:w="7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c>
          <w:tcPr>
            <w:tcW w:w="0" w:type="dxa"/>
            <w:vAlign w:val="bottom"/>
          </w:tcPr>
          <w:p>
            <w:pPr>
              <w:spacing w:after="0"/>
              <w:rPr>
                <w:sz w:val="1"/>
                <w:szCs w:val="1"/>
                <w:color w:val="auto"/>
              </w:rPr>
            </w:pPr>
          </w:p>
        </w:tc>
      </w:tr>
      <w:tr>
        <w:trPr>
          <w:trHeight w:val="168"/>
        </w:trPr>
        <w:tc>
          <w:tcPr>
            <w:tcW w:w="438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Before Taxes (Benefits)</w:t>
            </w:r>
          </w:p>
        </w:tc>
        <w:tc>
          <w:tcPr>
            <w:tcW w:w="18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8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c>
          <w:tcPr>
            <w:tcW w:w="7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1,402</w:t>
            </w:r>
          </w:p>
        </w:tc>
        <w:tc>
          <w:tcPr>
            <w:tcW w:w="7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1,215</w:t>
            </w: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 (Benefits)</w:t>
            </w:r>
          </w:p>
        </w:tc>
        <w:tc>
          <w:tcPr>
            <w:tcW w:w="128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7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532</w:t>
            </w:r>
          </w:p>
        </w:tc>
        <w:tc>
          <w:tcPr>
            <w:tcW w:w="7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477</w:t>
            </w:r>
          </w:p>
        </w:tc>
        <w:tc>
          <w:tcPr>
            <w:tcW w:w="0" w:type="dxa"/>
            <w:vAlign w:val="bottom"/>
          </w:tcPr>
          <w:p>
            <w:pPr>
              <w:spacing w:after="0"/>
              <w:rPr>
                <w:sz w:val="1"/>
                <w:szCs w:val="1"/>
                <w:color w:val="auto"/>
              </w:rPr>
            </w:pPr>
          </w:p>
        </w:tc>
      </w:tr>
      <w:tr>
        <w:trPr>
          <w:trHeight w:val="168"/>
        </w:trPr>
        <w:tc>
          <w:tcPr>
            <w:tcW w:w="438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Net Income (Loss)</w:t>
            </w:r>
          </w:p>
        </w:tc>
        <w:tc>
          <w:tcPr>
            <w:tcW w:w="18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8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7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870</w:t>
            </w:r>
          </w:p>
        </w:tc>
        <w:tc>
          <w:tcPr>
            <w:tcW w:w="7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738</w:t>
            </w: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Charge &amp; Expenses</w:t>
            </w:r>
          </w:p>
        </w:tc>
        <w:tc>
          <w:tcPr>
            <w:tcW w:w="128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7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68"/>
        </w:trPr>
        <w:tc>
          <w:tcPr>
            <w:tcW w:w="438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w:t>
            </w:r>
          </w:p>
        </w:tc>
        <w:tc>
          <w:tcPr>
            <w:tcW w:w="18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80" w:type="dxa"/>
            <w:vAlign w:val="bottom"/>
            <w:vMerge w:val="continue"/>
          </w:tcPr>
          <w:p>
            <w:pPr>
              <w:spacing w:after="0"/>
              <w:rPr>
                <w:sz w:val="14"/>
                <w:szCs w:val="14"/>
                <w:color w:val="auto"/>
              </w:rPr>
            </w:pPr>
          </w:p>
        </w:tc>
        <w:tc>
          <w:tcPr>
            <w:tcW w:w="12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856</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729</w:t>
            </w: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1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380" w:type="dxa"/>
            <w:vAlign w:val="bottom"/>
          </w:tcPr>
          <w:p>
            <w:pPr>
              <w:spacing w:after="0"/>
              <w:rPr>
                <w:sz w:val="20"/>
                <w:szCs w:val="20"/>
                <w:color w:val="auto"/>
              </w:rPr>
            </w:pPr>
            <w:r>
              <w:rPr>
                <w:rFonts w:ascii="Courier New" w:cs="Courier New" w:eastAsia="Courier New" w:hAnsi="Courier New"/>
                <w:sz w:val="15"/>
                <w:szCs w:val="15"/>
                <w:color w:val="auto"/>
              </w:rPr>
              <w:t>Average Assets</w:t>
            </w:r>
          </w:p>
        </w:tc>
        <w:tc>
          <w:tcPr>
            <w:tcW w:w="1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$ 4,295</w:t>
            </w: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$ 8,364</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$ 317,579</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308,346</w:t>
            </w: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Return on Common Equity (b)</w:t>
            </w:r>
          </w:p>
        </w:tc>
        <w:tc>
          <w:tcPr>
            <w:tcW w:w="128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NM</w:t>
            </w:r>
          </w:p>
        </w:tc>
        <w:tc>
          <w:tcPr>
            <w:tcW w:w="7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NM</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19.0%</w:t>
            </w:r>
          </w:p>
        </w:tc>
        <w:tc>
          <w:tcPr>
            <w:tcW w:w="7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16.5%</w:t>
            </w: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Return on Assets (b)</w:t>
            </w:r>
          </w:p>
        </w:tc>
        <w:tc>
          <w:tcPr>
            <w:tcW w:w="128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NM</w:t>
            </w:r>
          </w:p>
        </w:tc>
        <w:tc>
          <w:tcPr>
            <w:tcW w:w="7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NM</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w:t>
            </w:r>
          </w:p>
        </w:tc>
        <w:tc>
          <w:tcPr>
            <w:tcW w:w="7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w:t>
            </w: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0"/>
                <w:szCs w:val="20"/>
                <w:color w:val="auto"/>
              </w:rPr>
            </w:pPr>
            <w:r>
              <w:rPr>
                <w:rFonts w:ascii="Courier New" w:cs="Courier New" w:eastAsia="Courier New" w:hAnsi="Courier New"/>
                <w:sz w:val="15"/>
                <w:szCs w:val="15"/>
                <w:color w:val="auto"/>
              </w:rPr>
              <w:t>Efficiency Ratio (c)</w:t>
            </w:r>
          </w:p>
        </w:tc>
        <w:tc>
          <w:tcPr>
            <w:tcW w:w="1280" w:type="dxa"/>
            <w:vAlign w:val="bottom"/>
          </w:tcPr>
          <w:p>
            <w:pPr>
              <w:spacing w:after="0"/>
              <w:rPr>
                <w:sz w:val="21"/>
                <w:szCs w:val="21"/>
                <w:color w:val="auto"/>
              </w:rPr>
            </w:pP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NM</w:t>
            </w:r>
          </w:p>
        </w:tc>
        <w:tc>
          <w:tcPr>
            <w:tcW w:w="780" w:type="dxa"/>
            <w:vAlign w:val="bottom"/>
          </w:tcPr>
          <w:p>
            <w:pPr>
              <w:spacing w:after="0"/>
              <w:rPr>
                <w:sz w:val="21"/>
                <w:szCs w:val="21"/>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NM</w:t>
            </w:r>
          </w:p>
        </w:tc>
        <w:tc>
          <w:tcPr>
            <w:tcW w:w="220" w:type="dxa"/>
            <w:vAlign w:val="bottom"/>
          </w:tcPr>
          <w:p>
            <w:pPr>
              <w:spacing w:after="0"/>
              <w:rPr>
                <w:sz w:val="21"/>
                <w:szCs w:val="21"/>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58.4%</w:t>
            </w:r>
          </w:p>
        </w:tc>
        <w:tc>
          <w:tcPr>
            <w:tcW w:w="700" w:type="dxa"/>
            <w:vAlign w:val="bottom"/>
          </w:tcPr>
          <w:p>
            <w:pPr>
              <w:spacing w:after="0"/>
              <w:rPr>
                <w:sz w:val="21"/>
                <w:szCs w:val="21"/>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540" w:right="3760" w:hanging="530"/>
        <w:spacing w:after="0" w:line="244" w:lineRule="auto"/>
        <w:tabs>
          <w:tab w:leader="none" w:pos="5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 is allocated to business units using a credit risk methodology applied consistently across the Corporation and a risk-grading system appropriate for a business unit's portfolio. The difference between the risk-based provision and the Corporation's provision is included in the Corporate results.</w:t>
      </w:r>
    </w:p>
    <w:p>
      <w:pPr>
        <w:spacing w:after="0" w:line="3" w:lineRule="exact"/>
        <w:rPr>
          <w:rFonts w:ascii="Courier New" w:cs="Courier New" w:eastAsia="Courier New" w:hAnsi="Courier New"/>
          <w:sz w:val="15"/>
          <w:szCs w:val="15"/>
          <w:color w:val="auto"/>
        </w:rPr>
      </w:pPr>
    </w:p>
    <w:p>
      <w:pPr>
        <w:ind w:left="540" w:hanging="530"/>
        <w:spacing w:after="0" w:line="237" w:lineRule="auto"/>
        <w:tabs>
          <w:tab w:leader="none" w:pos="5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annualized operating net income amounts.</w:t>
      </w:r>
    </w:p>
    <w:p>
      <w:pPr>
        <w:ind w:left="540" w:right="4020" w:hanging="530"/>
        <w:spacing w:after="0" w:line="254" w:lineRule="auto"/>
        <w:tabs>
          <w:tab w:leader="none" w:pos="5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computation of the efficiency ratio excludes restructuring charges, foreclosed property expense and, if applicable, nonrecurring items.</w:t>
      </w:r>
    </w:p>
    <w:p>
      <w:pPr>
        <w:ind w:left="540" w:right="4100" w:hanging="530"/>
        <w:spacing w:after="0" w:line="237" w:lineRule="auto"/>
        <w:tabs>
          <w:tab w:leader="none" w:pos="5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column includes Corporate results. See description of Corporate results on page 30.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NM - Not meaningful.</w:t>
      </w: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760"/>
          </w:cols>
          <w:pgMar w:left="220" w:top="932" w:right="9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gridSpan w:val="2"/>
            <w:vMerge w:val="restart"/>
          </w:tcPr>
          <w:p>
            <w:pPr>
              <w:ind w:left="540"/>
              <w:spacing w:after="0"/>
              <w:rPr>
                <w:sz w:val="20"/>
                <w:szCs w:val="20"/>
                <w:color w:val="auto"/>
              </w:rPr>
            </w:pPr>
            <w:r>
              <w:rPr>
                <w:rFonts w:ascii="Courier New" w:cs="Courier New" w:eastAsia="Courier New" w:hAnsi="Courier New"/>
                <w:sz w:val="15"/>
                <w:szCs w:val="15"/>
                <w:color w:val="auto"/>
              </w:rPr>
              <w:t>Global Bank</w:t>
            </w:r>
          </w:p>
        </w:tc>
        <w:tc>
          <w:tcPr>
            <w:tcW w:w="700" w:type="dxa"/>
            <w:vAlign w:val="bottom"/>
          </w:tcPr>
          <w:p>
            <w:pPr>
              <w:spacing w:after="0"/>
              <w:rPr>
                <w:sz w:val="14"/>
                <w:szCs w:val="14"/>
                <w:color w:val="auto"/>
              </w:rPr>
            </w:pPr>
          </w:p>
        </w:tc>
        <w:tc>
          <w:tcPr>
            <w:tcW w:w="2440" w:type="dxa"/>
            <w:vAlign w:val="bottom"/>
            <w:gridSpan w:val="4"/>
          </w:tcPr>
          <w:p>
            <w:pPr>
              <w:jc w:val="right"/>
              <w:ind w:right="87"/>
              <w:spacing w:after="0"/>
              <w:rPr>
                <w:sz w:val="20"/>
                <w:szCs w:val="20"/>
                <w:color w:val="auto"/>
              </w:rPr>
            </w:pPr>
            <w:r>
              <w:rPr>
                <w:rFonts w:ascii="Courier New" w:cs="Courier New" w:eastAsia="Courier New" w:hAnsi="Courier New"/>
                <w:sz w:val="15"/>
                <w:szCs w:val="15"/>
                <w:color w:val="auto"/>
              </w:rPr>
              <w:t>Regional and Consumer</w:t>
            </w:r>
          </w:p>
        </w:tc>
        <w:tc>
          <w:tcPr>
            <w:tcW w:w="580" w:type="dxa"/>
            <w:vAlign w:val="bottom"/>
          </w:tcPr>
          <w:p>
            <w:pPr>
              <w:spacing w:after="0"/>
              <w:rPr>
                <w:sz w:val="14"/>
                <w:szCs w:val="14"/>
                <w:color w:val="auto"/>
              </w:rPr>
            </w:pPr>
          </w:p>
        </w:tc>
        <w:tc>
          <w:tcPr>
            <w:tcW w:w="10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Global</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2"/>
          </w:tcPr>
          <w:p>
            <w:pPr>
              <w:ind w:left="420"/>
              <w:spacing w:after="0" w:line="168" w:lineRule="exact"/>
              <w:rPr>
                <w:sz w:val="20"/>
                <w:szCs w:val="20"/>
                <w:color w:val="auto"/>
              </w:rPr>
            </w:pPr>
            <w:r>
              <w:rPr>
                <w:rFonts w:ascii="Courier New" w:cs="Courier New" w:eastAsia="Courier New" w:hAnsi="Courier New"/>
                <w:sz w:val="15"/>
                <w:szCs w:val="15"/>
                <w:color w:val="auto"/>
                <w:w w:val="95"/>
              </w:rPr>
              <w:t>Banking</w:t>
            </w: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Services</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500" w:type="dxa"/>
            <w:vAlign w:val="bottom"/>
          </w:tcPr>
          <w:p>
            <w:pPr>
              <w:spacing w:after="0"/>
              <w:rPr>
                <w:sz w:val="21"/>
                <w:szCs w:val="21"/>
                <w:color w:val="auto"/>
              </w:rPr>
            </w:pPr>
          </w:p>
        </w:tc>
        <w:tc>
          <w:tcPr>
            <w:tcW w:w="2720" w:type="dxa"/>
            <w:vAlign w:val="bottom"/>
            <w:gridSpan w:val="4"/>
          </w:tcPr>
          <w:p>
            <w:pPr>
              <w:ind w:left="280"/>
              <w:spacing w:after="0"/>
              <w:rPr>
                <w:sz w:val="20"/>
                <w:szCs w:val="20"/>
                <w:color w:val="auto"/>
              </w:rPr>
            </w:pPr>
            <w:r>
              <w:rPr>
                <w:rFonts w:ascii="Courier New" w:cs="Courier New" w:eastAsia="Courier New" w:hAnsi="Courier New"/>
                <w:sz w:val="15"/>
                <w:szCs w:val="15"/>
                <w:color w:val="auto"/>
              </w:rPr>
              <w:t>------------------------</w:t>
            </w:r>
          </w:p>
        </w:tc>
        <w:tc>
          <w:tcPr>
            <w:tcW w:w="2440" w:type="dxa"/>
            <w:vAlign w:val="bottom"/>
            <w:gridSpan w:val="4"/>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10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500" w:type="dxa"/>
            <w:vAlign w:val="bottom"/>
          </w:tcPr>
          <w:p>
            <w:pPr>
              <w:spacing w:after="0"/>
              <w:rPr>
                <w:sz w:val="20"/>
                <w:szCs w:val="20"/>
                <w:color w:val="auto"/>
              </w:rPr>
            </w:pPr>
            <w:r>
              <w:rPr>
                <w:rFonts w:ascii="Courier New" w:cs="Courier New" w:eastAsia="Courier New" w:hAnsi="Courier New"/>
                <w:sz w:val="15"/>
                <w:szCs w:val="15"/>
                <w:color w:val="auto"/>
              </w:rPr>
              <w:t>For the six months ended June 30,</w:t>
            </w:r>
          </w:p>
        </w:tc>
        <w:tc>
          <w:tcPr>
            <w:tcW w:w="440" w:type="dxa"/>
            <w:vAlign w:val="bottom"/>
          </w:tcPr>
          <w:p>
            <w:pPr>
              <w:spacing w:after="0"/>
              <w:rPr>
                <w:sz w:val="22"/>
                <w:szCs w:val="22"/>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1996</w:t>
            </w:r>
          </w:p>
        </w:tc>
        <w:tc>
          <w:tcPr>
            <w:tcW w:w="560" w:type="dxa"/>
            <w:vAlign w:val="bottom"/>
          </w:tcPr>
          <w:p>
            <w:pPr>
              <w:spacing w:after="0"/>
              <w:rPr>
                <w:sz w:val="22"/>
                <w:szCs w:val="22"/>
                <w:color w:val="auto"/>
              </w:rPr>
            </w:pP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1995</w:t>
            </w:r>
          </w:p>
        </w:tc>
        <w:tc>
          <w:tcPr>
            <w:tcW w:w="620" w:type="dxa"/>
            <w:vAlign w:val="bottom"/>
          </w:tcPr>
          <w:p>
            <w:pPr>
              <w:spacing w:after="0"/>
              <w:rPr>
                <w:sz w:val="22"/>
                <w:szCs w:val="22"/>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1996</w:t>
            </w:r>
          </w:p>
        </w:tc>
        <w:tc>
          <w:tcPr>
            <w:tcW w:w="300" w:type="dxa"/>
            <w:vAlign w:val="bottom"/>
          </w:tcPr>
          <w:p>
            <w:pPr>
              <w:spacing w:after="0"/>
              <w:rPr>
                <w:sz w:val="22"/>
                <w:szCs w:val="22"/>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1995</w:t>
            </w:r>
          </w:p>
        </w:tc>
        <w:tc>
          <w:tcPr>
            <w:tcW w:w="580" w:type="dxa"/>
            <w:vAlign w:val="bottom"/>
          </w:tcPr>
          <w:p>
            <w:pPr>
              <w:spacing w:after="0"/>
              <w:rPr>
                <w:sz w:val="22"/>
                <w:szCs w:val="22"/>
                <w:color w:val="auto"/>
              </w:rPr>
            </w:pPr>
          </w:p>
        </w:tc>
        <w:tc>
          <w:tcPr>
            <w:tcW w:w="8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22"/>
                <w:szCs w:val="22"/>
                <w:color w:val="auto"/>
              </w:rPr>
            </w:pP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45"/>
        </w:trPr>
        <w:tc>
          <w:tcPr>
            <w:tcW w:w="350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(in millions, except ratios)</w:t>
            </w:r>
          </w:p>
        </w:tc>
        <w:tc>
          <w:tcPr>
            <w:tcW w:w="440" w:type="dxa"/>
            <w:vAlign w:val="bottom"/>
          </w:tcPr>
          <w:p>
            <w:pPr>
              <w:spacing w:after="0"/>
              <w:rPr>
                <w:sz w:val="21"/>
                <w:szCs w:val="21"/>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21"/>
                <w:szCs w:val="21"/>
                <w:color w:val="auto"/>
              </w:rPr>
            </w:pP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spacing w:after="0"/>
              <w:rPr>
                <w:sz w:val="21"/>
                <w:szCs w:val="21"/>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w:t>
            </w:r>
          </w:p>
        </w:tc>
        <w:tc>
          <w:tcPr>
            <w:tcW w:w="300" w:type="dxa"/>
            <w:vAlign w:val="bottom"/>
          </w:tcPr>
          <w:p>
            <w:pPr>
              <w:spacing w:after="0"/>
              <w:rPr>
                <w:sz w:val="21"/>
                <w:szCs w:val="21"/>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21"/>
                <w:szCs w:val="21"/>
                <w:color w:val="auto"/>
              </w:rPr>
            </w:pPr>
          </w:p>
        </w:tc>
        <w:tc>
          <w:tcPr>
            <w:tcW w:w="8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5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7"/>
        </w:trPr>
        <w:tc>
          <w:tcPr>
            <w:tcW w:w="3500" w:type="dxa"/>
            <w:vAlign w:val="bottom"/>
          </w:tcPr>
          <w:p>
            <w:pPr>
              <w:spacing w:after="0"/>
              <w:rPr>
                <w:sz w:val="20"/>
                <w:szCs w:val="20"/>
                <w:color w:val="auto"/>
              </w:rPr>
            </w:pPr>
            <w:r>
              <w:rPr>
                <w:rFonts w:ascii="Courier New" w:cs="Courier New" w:eastAsia="Courier New" w:hAnsi="Courier New"/>
                <w:sz w:val="15"/>
                <w:szCs w:val="15"/>
                <w:color w:val="auto"/>
              </w:rPr>
              <w:t>Net Interest Income</w:t>
            </w:r>
          </w:p>
        </w:tc>
        <w:tc>
          <w:tcPr>
            <w:tcW w:w="4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1,319</w:t>
            </w:r>
          </w:p>
        </w:tc>
        <w:tc>
          <w:tcPr>
            <w:tcW w:w="5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1,098</w:t>
            </w: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88"/>
              </w:rPr>
              <w:t>2,885</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2,741</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428</w:t>
            </w:r>
          </w:p>
        </w:tc>
        <w:tc>
          <w:tcPr>
            <w:tcW w:w="2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88"/>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361</w:t>
            </w:r>
          </w:p>
        </w:tc>
        <w:tc>
          <w:tcPr>
            <w:tcW w:w="0" w:type="dxa"/>
            <w:vAlign w:val="bottom"/>
          </w:tcPr>
          <w:p>
            <w:pPr>
              <w:spacing w:after="0"/>
              <w:rPr>
                <w:sz w:val="1"/>
                <w:szCs w:val="1"/>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Revenue</w:t>
            </w:r>
          </w:p>
        </w:tc>
        <w:tc>
          <w:tcPr>
            <w:tcW w:w="44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2,049</w:t>
            </w:r>
          </w:p>
        </w:tc>
        <w:tc>
          <w:tcPr>
            <w:tcW w:w="5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1,488</w:t>
            </w:r>
          </w:p>
        </w:tc>
        <w:tc>
          <w:tcPr>
            <w:tcW w:w="620" w:type="dxa"/>
            <w:vAlign w:val="bottom"/>
          </w:tcPr>
          <w:p>
            <w:pPr>
              <w:spacing w:after="0"/>
              <w:rPr>
                <w:sz w:val="14"/>
                <w:szCs w:val="14"/>
                <w:color w:val="auto"/>
              </w:rPr>
            </w:pP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88"/>
              </w:rPr>
              <w:t>1,106</w:t>
            </w:r>
          </w:p>
        </w:tc>
        <w:tc>
          <w:tcPr>
            <w:tcW w:w="3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1,049</w:t>
            </w:r>
          </w:p>
        </w:tc>
        <w:tc>
          <w:tcPr>
            <w:tcW w:w="58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606</w:t>
            </w:r>
          </w:p>
        </w:tc>
        <w:tc>
          <w:tcPr>
            <w:tcW w:w="22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521</w:t>
            </w:r>
          </w:p>
        </w:tc>
        <w:tc>
          <w:tcPr>
            <w:tcW w:w="0" w:type="dxa"/>
            <w:vAlign w:val="bottom"/>
          </w:tcPr>
          <w:p>
            <w:pPr>
              <w:spacing w:after="0"/>
              <w:rPr>
                <w:sz w:val="1"/>
                <w:szCs w:val="1"/>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Expense</w:t>
            </w:r>
          </w:p>
        </w:tc>
        <w:tc>
          <w:tcPr>
            <w:tcW w:w="44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1,508</w:t>
            </w:r>
          </w:p>
        </w:tc>
        <w:tc>
          <w:tcPr>
            <w:tcW w:w="5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1,436</w:t>
            </w:r>
          </w:p>
        </w:tc>
        <w:tc>
          <w:tcPr>
            <w:tcW w:w="620" w:type="dxa"/>
            <w:vAlign w:val="bottom"/>
          </w:tcPr>
          <w:p>
            <w:pPr>
              <w:spacing w:after="0"/>
              <w:rPr>
                <w:sz w:val="14"/>
                <w:szCs w:val="14"/>
                <w:color w:val="auto"/>
              </w:rPr>
            </w:pP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88"/>
              </w:rPr>
              <w:t>2,236</w:t>
            </w:r>
          </w:p>
        </w:tc>
        <w:tc>
          <w:tcPr>
            <w:tcW w:w="3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2,439</w:t>
            </w:r>
          </w:p>
        </w:tc>
        <w:tc>
          <w:tcPr>
            <w:tcW w:w="58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778</w:t>
            </w:r>
          </w:p>
        </w:tc>
        <w:tc>
          <w:tcPr>
            <w:tcW w:w="22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699</w:t>
            </w:r>
          </w:p>
        </w:tc>
        <w:tc>
          <w:tcPr>
            <w:tcW w:w="0" w:type="dxa"/>
            <w:vAlign w:val="bottom"/>
          </w:tcPr>
          <w:p>
            <w:pPr>
              <w:spacing w:after="0"/>
              <w:rPr>
                <w:sz w:val="1"/>
                <w:szCs w:val="1"/>
                <w:color w:val="auto"/>
              </w:rPr>
            </w:pPr>
          </w:p>
        </w:tc>
      </w:tr>
      <w:tr>
        <w:trPr>
          <w:trHeight w:val="168"/>
        </w:trPr>
        <w:tc>
          <w:tcPr>
            <w:tcW w:w="350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Margin</w:t>
            </w:r>
          </w:p>
        </w:tc>
        <w:tc>
          <w:tcPr>
            <w:tcW w:w="14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168"/>
        </w:trPr>
        <w:tc>
          <w:tcPr>
            <w:tcW w:w="35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1,860</w:t>
            </w:r>
          </w:p>
        </w:tc>
        <w:tc>
          <w:tcPr>
            <w:tcW w:w="5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1,150</w:t>
            </w:r>
          </w:p>
        </w:tc>
        <w:tc>
          <w:tcPr>
            <w:tcW w:w="620" w:type="dxa"/>
            <w:vAlign w:val="bottom"/>
          </w:tcPr>
          <w:p>
            <w:pPr>
              <w:spacing w:after="0"/>
              <w:rPr>
                <w:sz w:val="14"/>
                <w:szCs w:val="14"/>
                <w:color w:val="auto"/>
              </w:rPr>
            </w:pP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88"/>
              </w:rPr>
              <w:t>1,755</w:t>
            </w:r>
          </w:p>
        </w:tc>
        <w:tc>
          <w:tcPr>
            <w:tcW w:w="3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1,351</w:t>
            </w:r>
          </w:p>
        </w:tc>
        <w:tc>
          <w:tcPr>
            <w:tcW w:w="58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256</w:t>
            </w:r>
          </w:p>
        </w:tc>
        <w:tc>
          <w:tcPr>
            <w:tcW w:w="22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w:t>
            </w:r>
          </w:p>
        </w:tc>
        <w:tc>
          <w:tcPr>
            <w:tcW w:w="0" w:type="dxa"/>
            <w:vAlign w:val="bottom"/>
          </w:tcPr>
          <w:p>
            <w:pPr>
              <w:spacing w:after="0"/>
              <w:rPr>
                <w:sz w:val="1"/>
                <w:szCs w:val="1"/>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Credit Provision (a)</w:t>
            </w:r>
          </w:p>
        </w:tc>
        <w:tc>
          <w:tcPr>
            <w:tcW w:w="44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125</w:t>
            </w:r>
          </w:p>
        </w:tc>
        <w:tc>
          <w:tcPr>
            <w:tcW w:w="5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w:t>
            </w:r>
          </w:p>
        </w:tc>
        <w:tc>
          <w:tcPr>
            <w:tcW w:w="620" w:type="dxa"/>
            <w:vAlign w:val="bottom"/>
          </w:tcPr>
          <w:p>
            <w:pPr>
              <w:spacing w:after="0"/>
              <w:rPr>
                <w:sz w:val="14"/>
                <w:szCs w:val="14"/>
                <w:color w:val="auto"/>
              </w:rPr>
            </w:pP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688</w:t>
            </w:r>
          </w:p>
        </w:tc>
        <w:tc>
          <w:tcPr>
            <w:tcW w:w="3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525</w:t>
            </w:r>
          </w:p>
        </w:tc>
        <w:tc>
          <w:tcPr>
            <w:tcW w:w="58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w:t>
            </w:r>
          </w:p>
        </w:tc>
        <w:tc>
          <w:tcPr>
            <w:tcW w:w="22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Foreclosed Property Expense</w:t>
            </w:r>
          </w:p>
        </w:tc>
        <w:tc>
          <w:tcPr>
            <w:tcW w:w="44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c>
          <w:tcPr>
            <w:tcW w:w="62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w:t>
            </w: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w:t>
            </w:r>
          </w:p>
        </w:tc>
        <w:tc>
          <w:tcPr>
            <w:tcW w:w="58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50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Taxes</w:t>
            </w:r>
          </w:p>
        </w:tc>
        <w:tc>
          <w:tcPr>
            <w:tcW w:w="14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168"/>
        </w:trPr>
        <w:tc>
          <w:tcPr>
            <w:tcW w:w="35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1,735</w:t>
            </w:r>
          </w:p>
        </w:tc>
        <w:tc>
          <w:tcPr>
            <w:tcW w:w="5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1,007</w:t>
            </w:r>
          </w:p>
        </w:tc>
        <w:tc>
          <w:tcPr>
            <w:tcW w:w="620" w:type="dxa"/>
            <w:vAlign w:val="bottom"/>
          </w:tcPr>
          <w:p>
            <w:pPr>
              <w:spacing w:after="0"/>
              <w:rPr>
                <w:sz w:val="14"/>
                <w:szCs w:val="14"/>
                <w:color w:val="auto"/>
              </w:rPr>
            </w:pP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88"/>
              </w:rPr>
              <w:t>1,069</w:t>
            </w:r>
          </w:p>
        </w:tc>
        <w:tc>
          <w:tcPr>
            <w:tcW w:w="3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855</w:t>
            </w:r>
          </w:p>
        </w:tc>
        <w:tc>
          <w:tcPr>
            <w:tcW w:w="58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248</w:t>
            </w:r>
          </w:p>
        </w:tc>
        <w:tc>
          <w:tcPr>
            <w:tcW w:w="22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w:t>
            </w:r>
          </w:p>
        </w:tc>
        <w:tc>
          <w:tcPr>
            <w:tcW w:w="0" w:type="dxa"/>
            <w:vAlign w:val="bottom"/>
          </w:tcPr>
          <w:p>
            <w:pPr>
              <w:spacing w:after="0"/>
              <w:rPr>
                <w:sz w:val="1"/>
                <w:szCs w:val="1"/>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44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646</w:t>
            </w:r>
          </w:p>
        </w:tc>
        <w:tc>
          <w:tcPr>
            <w:tcW w:w="5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379</w:t>
            </w:r>
          </w:p>
        </w:tc>
        <w:tc>
          <w:tcPr>
            <w:tcW w:w="620" w:type="dxa"/>
            <w:vAlign w:val="bottom"/>
          </w:tcPr>
          <w:p>
            <w:pPr>
              <w:spacing w:after="0"/>
              <w:rPr>
                <w:sz w:val="14"/>
                <w:szCs w:val="14"/>
                <w:color w:val="auto"/>
              </w:rPr>
            </w:pP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430</w:t>
            </w:r>
          </w:p>
        </w:tc>
        <w:tc>
          <w:tcPr>
            <w:tcW w:w="3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341</w:t>
            </w:r>
          </w:p>
        </w:tc>
        <w:tc>
          <w:tcPr>
            <w:tcW w:w="58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105</w:t>
            </w:r>
          </w:p>
        </w:tc>
        <w:tc>
          <w:tcPr>
            <w:tcW w:w="22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w:t>
            </w:r>
          </w:p>
        </w:tc>
        <w:tc>
          <w:tcPr>
            <w:tcW w:w="0" w:type="dxa"/>
            <w:vAlign w:val="bottom"/>
          </w:tcPr>
          <w:p>
            <w:pPr>
              <w:spacing w:after="0"/>
              <w:rPr>
                <w:sz w:val="1"/>
                <w:szCs w:val="1"/>
                <w:color w:val="auto"/>
              </w:rPr>
            </w:pPr>
          </w:p>
        </w:tc>
      </w:tr>
      <w:tr>
        <w:trPr>
          <w:trHeight w:val="168"/>
        </w:trPr>
        <w:tc>
          <w:tcPr>
            <w:tcW w:w="350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Net Income</w:t>
            </w:r>
          </w:p>
        </w:tc>
        <w:tc>
          <w:tcPr>
            <w:tcW w:w="14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168"/>
        </w:trPr>
        <w:tc>
          <w:tcPr>
            <w:tcW w:w="35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1,089</w:t>
            </w:r>
          </w:p>
        </w:tc>
        <w:tc>
          <w:tcPr>
            <w:tcW w:w="5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628</w:t>
            </w:r>
          </w:p>
        </w:tc>
        <w:tc>
          <w:tcPr>
            <w:tcW w:w="620" w:type="dxa"/>
            <w:vAlign w:val="bottom"/>
          </w:tcPr>
          <w:p>
            <w:pPr>
              <w:spacing w:after="0"/>
              <w:rPr>
                <w:sz w:val="14"/>
                <w:szCs w:val="14"/>
                <w:color w:val="auto"/>
              </w:rPr>
            </w:pP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639</w:t>
            </w:r>
          </w:p>
        </w:tc>
        <w:tc>
          <w:tcPr>
            <w:tcW w:w="3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514</w:t>
            </w:r>
          </w:p>
        </w:tc>
        <w:tc>
          <w:tcPr>
            <w:tcW w:w="58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143</w:t>
            </w:r>
          </w:p>
        </w:tc>
        <w:tc>
          <w:tcPr>
            <w:tcW w:w="22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w:t>
            </w:r>
          </w:p>
        </w:tc>
        <w:tc>
          <w:tcPr>
            <w:tcW w:w="0" w:type="dxa"/>
            <w:vAlign w:val="bottom"/>
          </w:tcPr>
          <w:p>
            <w:pPr>
              <w:spacing w:after="0"/>
              <w:rPr>
                <w:sz w:val="1"/>
                <w:szCs w:val="1"/>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Charge &amp; Expenses</w:t>
            </w:r>
          </w:p>
        </w:tc>
        <w:tc>
          <w:tcPr>
            <w:tcW w:w="44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w:t>
            </w:r>
          </w:p>
        </w:tc>
        <w:tc>
          <w:tcPr>
            <w:tcW w:w="62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w:t>
            </w:r>
          </w:p>
        </w:tc>
        <w:tc>
          <w:tcPr>
            <w:tcW w:w="3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w:t>
            </w:r>
          </w:p>
        </w:tc>
        <w:tc>
          <w:tcPr>
            <w:tcW w:w="22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Special Items (b)</w:t>
            </w:r>
          </w:p>
        </w:tc>
        <w:tc>
          <w:tcPr>
            <w:tcW w:w="44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w:t>
            </w:r>
          </w:p>
        </w:tc>
        <w:tc>
          <w:tcPr>
            <w:tcW w:w="620" w:type="dxa"/>
            <w:vAlign w:val="bottom"/>
          </w:tcPr>
          <w:p>
            <w:pPr>
              <w:spacing w:after="0"/>
              <w:rPr>
                <w:sz w:val="14"/>
                <w:szCs w:val="14"/>
                <w:color w:val="auto"/>
              </w:rPr>
            </w:pP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50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14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168"/>
        </w:trPr>
        <w:tc>
          <w:tcPr>
            <w:tcW w:w="3500" w:type="dxa"/>
            <w:vAlign w:val="bottom"/>
            <w:vMerge w:val="continue"/>
          </w:tcPr>
          <w:p>
            <w:pPr>
              <w:spacing w:after="0"/>
              <w:rPr>
                <w:sz w:val="14"/>
                <w:szCs w:val="14"/>
                <w:color w:val="auto"/>
              </w:rPr>
            </w:pPr>
          </w:p>
        </w:tc>
        <w:tc>
          <w:tcPr>
            <w:tcW w:w="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1,084</w:t>
            </w:r>
          </w:p>
        </w:tc>
        <w:tc>
          <w:tcPr>
            <w:tcW w:w="5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670</w:t>
            </w: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632</w:t>
            </w:r>
          </w:p>
        </w:tc>
        <w:tc>
          <w:tcPr>
            <w:tcW w:w="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514</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141</w:t>
            </w:r>
          </w:p>
        </w:tc>
        <w:tc>
          <w:tcPr>
            <w:tcW w:w="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w:t>
            </w:r>
          </w:p>
        </w:tc>
        <w:tc>
          <w:tcPr>
            <w:tcW w:w="0" w:type="dxa"/>
            <w:vAlign w:val="bottom"/>
          </w:tcPr>
          <w:p>
            <w:pPr>
              <w:spacing w:after="0"/>
              <w:rPr>
                <w:sz w:val="1"/>
                <w:szCs w:val="1"/>
                <w:color w:val="auto"/>
              </w:rPr>
            </w:pPr>
          </w:p>
        </w:tc>
      </w:tr>
      <w:tr>
        <w:trPr>
          <w:trHeight w:val="245"/>
        </w:trPr>
        <w:tc>
          <w:tcPr>
            <w:tcW w:w="3500" w:type="dxa"/>
            <w:vAlign w:val="bottom"/>
          </w:tcPr>
          <w:p>
            <w:pPr>
              <w:spacing w:after="0"/>
              <w:rPr>
                <w:sz w:val="21"/>
                <w:szCs w:val="21"/>
                <w:color w:val="auto"/>
              </w:rPr>
            </w:pPr>
          </w:p>
        </w:tc>
        <w:tc>
          <w:tcPr>
            <w:tcW w:w="14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8"/>
              </w:rPr>
              <w:t>=========</w:t>
            </w: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59"/>
        </w:trPr>
        <w:tc>
          <w:tcPr>
            <w:tcW w:w="3500" w:type="dxa"/>
            <w:vAlign w:val="bottom"/>
          </w:tcPr>
          <w:p>
            <w:pPr>
              <w:spacing w:after="0"/>
              <w:rPr>
                <w:sz w:val="20"/>
                <w:szCs w:val="20"/>
                <w:color w:val="auto"/>
              </w:rPr>
            </w:pPr>
            <w:r>
              <w:rPr>
                <w:rFonts w:ascii="Courier New" w:cs="Courier New" w:eastAsia="Courier New" w:hAnsi="Courier New"/>
                <w:sz w:val="15"/>
                <w:szCs w:val="15"/>
                <w:color w:val="auto"/>
              </w:rPr>
              <w:t>Average Assets</w:t>
            </w:r>
          </w:p>
        </w:tc>
        <w:tc>
          <w:tcPr>
            <w:tcW w:w="4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202,034</w:t>
            </w:r>
          </w:p>
        </w:tc>
        <w:tc>
          <w:tcPr>
            <w:tcW w:w="12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183,955</w:t>
            </w:r>
          </w:p>
        </w:tc>
        <w:tc>
          <w:tcPr>
            <w:tcW w:w="13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  109,973</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104,472</w:t>
            </w: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$ 9,769</w:t>
            </w:r>
          </w:p>
        </w:tc>
        <w:tc>
          <w:tcPr>
            <w:tcW w:w="2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88"/>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9,594</w:t>
            </w:r>
          </w:p>
        </w:tc>
        <w:tc>
          <w:tcPr>
            <w:tcW w:w="0" w:type="dxa"/>
            <w:vAlign w:val="bottom"/>
          </w:tcPr>
          <w:p>
            <w:pPr>
              <w:spacing w:after="0"/>
              <w:rPr>
                <w:sz w:val="1"/>
                <w:szCs w:val="1"/>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Return on Common Equity (c)</w:t>
            </w:r>
          </w:p>
        </w:tc>
        <w:tc>
          <w:tcPr>
            <w:tcW w:w="44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26.2%</w:t>
            </w:r>
          </w:p>
        </w:tc>
        <w:tc>
          <w:tcPr>
            <w:tcW w:w="5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16.5%</w:t>
            </w:r>
          </w:p>
        </w:tc>
        <w:tc>
          <w:tcPr>
            <w:tcW w:w="620" w:type="dxa"/>
            <w:vAlign w:val="bottom"/>
          </w:tcPr>
          <w:p>
            <w:pPr>
              <w:spacing w:after="0"/>
              <w:rPr>
                <w:sz w:val="14"/>
                <w:szCs w:val="14"/>
                <w:color w:val="auto"/>
              </w:rPr>
            </w:pP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88"/>
              </w:rPr>
              <w:t>18.8%</w:t>
            </w: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14.8%</w:t>
            </w:r>
          </w:p>
        </w:tc>
        <w:tc>
          <w:tcPr>
            <w:tcW w:w="58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21.4%</w:t>
            </w:r>
          </w:p>
        </w:tc>
        <w:tc>
          <w:tcPr>
            <w:tcW w:w="22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16.7%</w:t>
            </w:r>
          </w:p>
        </w:tc>
        <w:tc>
          <w:tcPr>
            <w:tcW w:w="0" w:type="dxa"/>
            <w:vAlign w:val="bottom"/>
          </w:tcPr>
          <w:p>
            <w:pPr>
              <w:spacing w:after="0"/>
              <w:rPr>
                <w:sz w:val="1"/>
                <w:szCs w:val="1"/>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Return on Assets (c)</w:t>
            </w:r>
          </w:p>
        </w:tc>
        <w:tc>
          <w:tcPr>
            <w:tcW w:w="44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1.08%</w:t>
            </w:r>
          </w:p>
        </w:tc>
        <w:tc>
          <w:tcPr>
            <w:tcW w:w="5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w:t>
            </w:r>
          </w:p>
        </w:tc>
        <w:tc>
          <w:tcPr>
            <w:tcW w:w="620" w:type="dxa"/>
            <w:vAlign w:val="bottom"/>
          </w:tcPr>
          <w:p>
            <w:pPr>
              <w:spacing w:after="0"/>
              <w:rPr>
                <w:sz w:val="14"/>
                <w:szCs w:val="14"/>
                <w:color w:val="auto"/>
              </w:rPr>
            </w:pP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88"/>
              </w:rPr>
              <w:t>1.17%</w:t>
            </w: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.99%</w:t>
            </w:r>
          </w:p>
        </w:tc>
        <w:tc>
          <w:tcPr>
            <w:tcW w:w="58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2.94%</w:t>
            </w:r>
          </w:p>
        </w:tc>
        <w:tc>
          <w:tcPr>
            <w:tcW w:w="22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2.40%</w:t>
            </w:r>
          </w:p>
        </w:tc>
        <w:tc>
          <w:tcPr>
            <w:tcW w:w="0" w:type="dxa"/>
            <w:vAlign w:val="bottom"/>
          </w:tcPr>
          <w:p>
            <w:pPr>
              <w:spacing w:after="0"/>
              <w:rPr>
                <w:sz w:val="1"/>
                <w:szCs w:val="1"/>
                <w:color w:val="auto"/>
              </w:rPr>
            </w:pPr>
          </w:p>
        </w:tc>
      </w:tr>
      <w:tr>
        <w:trPr>
          <w:trHeight w:val="245"/>
        </w:trPr>
        <w:tc>
          <w:tcPr>
            <w:tcW w:w="3500" w:type="dxa"/>
            <w:vAlign w:val="bottom"/>
          </w:tcPr>
          <w:p>
            <w:pPr>
              <w:spacing w:after="0"/>
              <w:rPr>
                <w:sz w:val="20"/>
                <w:szCs w:val="20"/>
                <w:color w:val="auto"/>
              </w:rPr>
            </w:pPr>
            <w:r>
              <w:rPr>
                <w:rFonts w:ascii="Courier New" w:cs="Courier New" w:eastAsia="Courier New" w:hAnsi="Courier New"/>
                <w:sz w:val="15"/>
                <w:szCs w:val="15"/>
                <w:color w:val="auto"/>
              </w:rPr>
              <w:t>Efficiency Ratio (d)</w:t>
            </w:r>
          </w:p>
        </w:tc>
        <w:tc>
          <w:tcPr>
            <w:tcW w:w="440" w:type="dxa"/>
            <w:vAlign w:val="bottom"/>
          </w:tcPr>
          <w:p>
            <w:pPr>
              <w:spacing w:after="0"/>
              <w:rPr>
                <w:sz w:val="21"/>
                <w:szCs w:val="21"/>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44.8%</w:t>
            </w:r>
          </w:p>
        </w:tc>
        <w:tc>
          <w:tcPr>
            <w:tcW w:w="560" w:type="dxa"/>
            <w:vAlign w:val="bottom"/>
          </w:tcPr>
          <w:p>
            <w:pPr>
              <w:spacing w:after="0"/>
              <w:rPr>
                <w:sz w:val="21"/>
                <w:szCs w:val="21"/>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55.5%</w:t>
            </w:r>
          </w:p>
        </w:tc>
        <w:tc>
          <w:tcPr>
            <w:tcW w:w="620" w:type="dxa"/>
            <w:vAlign w:val="bottom"/>
          </w:tcPr>
          <w:p>
            <w:pPr>
              <w:spacing w:after="0"/>
              <w:rPr>
                <w:sz w:val="21"/>
                <w:szCs w:val="21"/>
                <w:color w:val="auto"/>
              </w:rPr>
            </w:pPr>
          </w:p>
        </w:tc>
        <w:tc>
          <w:tcPr>
            <w:tcW w:w="7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88"/>
              </w:rPr>
              <w:t>56.0%</w:t>
            </w:r>
          </w:p>
        </w:tc>
        <w:tc>
          <w:tcPr>
            <w:tcW w:w="300" w:type="dxa"/>
            <w:vAlign w:val="bottom"/>
          </w:tcPr>
          <w:p>
            <w:pPr>
              <w:spacing w:after="0"/>
              <w:rPr>
                <w:sz w:val="21"/>
                <w:szCs w:val="21"/>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64.4%</w:t>
            </w:r>
          </w:p>
        </w:tc>
        <w:tc>
          <w:tcPr>
            <w:tcW w:w="580" w:type="dxa"/>
            <w:vAlign w:val="bottom"/>
          </w:tcPr>
          <w:p>
            <w:pPr>
              <w:spacing w:after="0"/>
              <w:rPr>
                <w:sz w:val="21"/>
                <w:szCs w:val="21"/>
                <w:color w:val="auto"/>
              </w:rPr>
            </w:pP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75.2%</w:t>
            </w:r>
          </w:p>
        </w:tc>
        <w:tc>
          <w:tcPr>
            <w:tcW w:w="2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79.3%</w:t>
            </w:r>
          </w:p>
        </w:tc>
        <w:tc>
          <w:tcPr>
            <w:tcW w:w="0" w:type="dxa"/>
            <w:vAlign w:val="bottom"/>
          </w:tcPr>
          <w:p>
            <w:pPr>
              <w:spacing w:after="0"/>
              <w:rPr>
                <w:sz w:val="1"/>
                <w:szCs w:val="1"/>
                <w:color w:val="auto"/>
              </w:rPr>
            </w:pPr>
          </w:p>
        </w:tc>
      </w:tr>
      <w:tr>
        <w:trPr>
          <w:trHeight w:val="259"/>
        </w:trPr>
        <w:tc>
          <w:tcPr>
            <w:tcW w:w="3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36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w w:val="94"/>
              </w:rPr>
              <w:t>Terminal</w:t>
            </w: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0" w:type="dxa"/>
            <w:vAlign w:val="bottom"/>
            <w:gridSpan w:val="2"/>
            <w:vMerge w:val="restart"/>
          </w:tcPr>
          <w:p>
            <w:pPr>
              <w:jc w:val="right"/>
              <w:ind w:right="627"/>
              <w:spacing w:after="0"/>
              <w:rPr>
                <w:sz w:val="20"/>
                <w:szCs w:val="20"/>
                <w:color w:val="auto"/>
              </w:rPr>
            </w:pPr>
            <w:r>
              <w:rPr>
                <w:rFonts w:ascii="Courier New" w:cs="Courier New" w:eastAsia="Courier New" w:hAnsi="Courier New"/>
                <w:sz w:val="15"/>
                <w:szCs w:val="15"/>
                <w:color w:val="auto"/>
                <w:w w:val="94"/>
              </w:rPr>
              <w:t>Total(e)</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(LDC and Real Estate)</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20" w:type="dxa"/>
            <w:vAlign w:val="bottom"/>
            <w:gridSpan w:val="4"/>
          </w:tcPr>
          <w:p>
            <w:pPr>
              <w:ind w:left="480"/>
              <w:spacing w:after="0"/>
              <w:rPr>
                <w:sz w:val="20"/>
                <w:szCs w:val="20"/>
                <w:color w:val="auto"/>
              </w:rPr>
            </w:pPr>
            <w:r>
              <w:rPr>
                <w:rFonts w:ascii="Courier New" w:cs="Courier New" w:eastAsia="Courier New" w:hAnsi="Courier New"/>
                <w:sz w:val="15"/>
                <w:szCs w:val="15"/>
                <w:color w:val="auto"/>
                <w:w w:val="98"/>
              </w:rPr>
              <w:t>------------------------</w:t>
            </w:r>
          </w:p>
        </w:tc>
        <w:tc>
          <w:tcPr>
            <w:tcW w:w="300" w:type="dxa"/>
            <w:vAlign w:val="bottom"/>
          </w:tcPr>
          <w:p>
            <w:pPr>
              <w:spacing w:after="0"/>
              <w:rPr>
                <w:sz w:val="21"/>
                <w:szCs w:val="21"/>
                <w:color w:val="auto"/>
              </w:rPr>
            </w:pPr>
          </w:p>
        </w:tc>
        <w:tc>
          <w:tcPr>
            <w:tcW w:w="21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500" w:type="dxa"/>
            <w:vAlign w:val="bottom"/>
          </w:tcPr>
          <w:p>
            <w:pPr>
              <w:spacing w:after="0"/>
              <w:rPr>
                <w:sz w:val="20"/>
                <w:szCs w:val="20"/>
                <w:color w:val="auto"/>
              </w:rPr>
            </w:pPr>
            <w:r>
              <w:rPr>
                <w:rFonts w:ascii="Courier New" w:cs="Courier New" w:eastAsia="Courier New" w:hAnsi="Courier New"/>
                <w:sz w:val="15"/>
                <w:szCs w:val="15"/>
                <w:color w:val="auto"/>
              </w:rPr>
              <w:t>For the six months ended June 30,</w:t>
            </w: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1996</w:t>
            </w:r>
          </w:p>
        </w:tc>
        <w:tc>
          <w:tcPr>
            <w:tcW w:w="620" w:type="dxa"/>
            <w:vAlign w:val="bottom"/>
          </w:tcPr>
          <w:p>
            <w:pPr>
              <w:spacing w:after="0"/>
              <w:rPr>
                <w:sz w:val="22"/>
                <w:szCs w:val="22"/>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1995</w:t>
            </w:r>
          </w:p>
        </w:tc>
        <w:tc>
          <w:tcPr>
            <w:tcW w:w="300" w:type="dxa"/>
            <w:vAlign w:val="bottom"/>
          </w:tcPr>
          <w:p>
            <w:pPr>
              <w:spacing w:after="0"/>
              <w:rPr>
                <w:sz w:val="22"/>
                <w:szCs w:val="22"/>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1996</w:t>
            </w:r>
          </w:p>
        </w:tc>
        <w:tc>
          <w:tcPr>
            <w:tcW w:w="580" w:type="dxa"/>
            <w:vAlign w:val="bottom"/>
          </w:tcPr>
          <w:p>
            <w:pPr>
              <w:spacing w:after="0"/>
              <w:rPr>
                <w:sz w:val="22"/>
                <w:szCs w:val="22"/>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500" w:type="dxa"/>
            <w:vAlign w:val="bottom"/>
            <w:vMerge w:val="restart"/>
          </w:tcPr>
          <w:p>
            <w:pPr>
              <w:spacing w:after="0"/>
              <w:rPr>
                <w:sz w:val="20"/>
                <w:szCs w:val="20"/>
                <w:color w:val="auto"/>
              </w:rPr>
            </w:pPr>
            <w:r>
              <w:rPr>
                <w:rFonts w:ascii="Courier New" w:cs="Courier New" w:eastAsia="Courier New" w:hAnsi="Courier New"/>
                <w:sz w:val="15"/>
                <w:szCs w:val="15"/>
                <w:color w:val="auto"/>
              </w:rPr>
              <w:t>(in millions, except ratios)</w:t>
            </w: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1"/>
                <w:szCs w:val="21"/>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1"/>
                <w:szCs w:val="21"/>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21"/>
                <w:szCs w:val="21"/>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35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3500" w:type="dxa"/>
            <w:vAlign w:val="bottom"/>
          </w:tcPr>
          <w:p>
            <w:pPr>
              <w:spacing w:after="0"/>
              <w:rPr>
                <w:sz w:val="20"/>
                <w:szCs w:val="20"/>
                <w:color w:val="auto"/>
              </w:rPr>
            </w:pPr>
            <w:r>
              <w:rPr>
                <w:rFonts w:ascii="Courier New" w:cs="Courier New" w:eastAsia="Courier New" w:hAnsi="Courier New"/>
                <w:sz w:val="15"/>
                <w:szCs w:val="15"/>
                <w:color w:val="auto"/>
              </w:rPr>
              <w:t>Net Interest Income</w:t>
            </w: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4,135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4,055</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Revenue</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c>
          <w:tcPr>
            <w:tcW w:w="6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3,860</w:t>
            </w:r>
          </w:p>
        </w:tc>
        <w:tc>
          <w:tcPr>
            <w:tcW w:w="5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3,198</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Expense</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w:t>
            </w:r>
          </w:p>
        </w:tc>
        <w:tc>
          <w:tcPr>
            <w:tcW w:w="6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4,716</w:t>
            </w:r>
          </w:p>
        </w:tc>
        <w:tc>
          <w:tcPr>
            <w:tcW w:w="5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4,732</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0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Margin</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6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3,279</w:t>
            </w:r>
          </w:p>
        </w:tc>
        <w:tc>
          <w:tcPr>
            <w:tcW w:w="5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2,521</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Credit Provision (a)</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w:t>
            </w:r>
          </w:p>
        </w:tc>
        <w:tc>
          <w:tcPr>
            <w:tcW w:w="6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495</w:t>
            </w:r>
          </w:p>
        </w:tc>
        <w:tc>
          <w:tcPr>
            <w:tcW w:w="5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380</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Foreclosed Property Expense</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6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c>
          <w:tcPr>
            <w:tcW w:w="5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0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Before Taxes (Benefits)</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97</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2,801</w:t>
            </w:r>
          </w:p>
        </w:tc>
        <w:tc>
          <w:tcPr>
            <w:tcW w:w="5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2,194</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 (Benefits)</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6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1,064</w:t>
            </w:r>
          </w:p>
        </w:tc>
        <w:tc>
          <w:tcPr>
            <w:tcW w:w="5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857</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0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Net Income (Loss)</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c>
          <w:tcPr>
            <w:tcW w:w="6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1,737</w:t>
            </w:r>
          </w:p>
        </w:tc>
        <w:tc>
          <w:tcPr>
            <w:tcW w:w="5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1,337</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Charge &amp; Expenses</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(1,040)</w:t>
            </w:r>
          </w:p>
        </w:tc>
        <w:tc>
          <w:tcPr>
            <w:tcW w:w="5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Special Items (b)</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w:t>
            </w:r>
          </w:p>
        </w:tc>
        <w:tc>
          <w:tcPr>
            <w:tcW w:w="5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Accounting Change</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0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767</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1,368</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500" w:type="dxa"/>
            <w:vAlign w:val="bottom"/>
          </w:tcPr>
          <w:p>
            <w:pPr>
              <w:spacing w:after="0"/>
              <w:rPr>
                <w:sz w:val="20"/>
                <w:szCs w:val="20"/>
                <w:color w:val="auto"/>
              </w:rPr>
            </w:pPr>
            <w:r>
              <w:rPr>
                <w:rFonts w:ascii="Courier New" w:cs="Courier New" w:eastAsia="Courier New" w:hAnsi="Courier New"/>
                <w:sz w:val="15"/>
                <w:szCs w:val="15"/>
                <w:color w:val="auto"/>
              </w:rPr>
              <w:t>Average Assets</w:t>
            </w: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4,548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8,641</w:t>
            </w:r>
          </w:p>
        </w:tc>
        <w:tc>
          <w:tcPr>
            <w:tcW w:w="1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$ 315,252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303,847</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Return on Common Equity (c)</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NM</w:t>
            </w:r>
          </w:p>
        </w:tc>
        <w:tc>
          <w:tcPr>
            <w:tcW w:w="620" w:type="dxa"/>
            <w:vAlign w:val="bottom"/>
          </w:tcPr>
          <w:p>
            <w:pPr>
              <w:spacing w:after="0"/>
              <w:rPr>
                <w:sz w:val="14"/>
                <w:szCs w:val="14"/>
                <w:color w:val="auto"/>
              </w:rPr>
            </w:pPr>
          </w:p>
        </w:tc>
        <w:tc>
          <w:tcPr>
            <w:tcW w:w="74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NM</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w:t>
            </w:r>
          </w:p>
        </w:tc>
        <w:tc>
          <w:tcPr>
            <w:tcW w:w="5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Return on Assets (c)</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NM</w:t>
            </w:r>
          </w:p>
        </w:tc>
        <w:tc>
          <w:tcPr>
            <w:tcW w:w="620" w:type="dxa"/>
            <w:vAlign w:val="bottom"/>
          </w:tcPr>
          <w:p>
            <w:pPr>
              <w:spacing w:after="0"/>
              <w:rPr>
                <w:sz w:val="14"/>
                <w:szCs w:val="14"/>
                <w:color w:val="auto"/>
              </w:rPr>
            </w:pPr>
          </w:p>
        </w:tc>
        <w:tc>
          <w:tcPr>
            <w:tcW w:w="74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NM</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w:t>
            </w:r>
          </w:p>
        </w:tc>
        <w:tc>
          <w:tcPr>
            <w:tcW w:w="5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500" w:type="dxa"/>
            <w:vAlign w:val="bottom"/>
          </w:tcPr>
          <w:p>
            <w:pPr>
              <w:spacing w:after="0"/>
              <w:rPr>
                <w:sz w:val="20"/>
                <w:szCs w:val="20"/>
                <w:color w:val="auto"/>
              </w:rPr>
            </w:pPr>
            <w:r>
              <w:rPr>
                <w:rFonts w:ascii="Courier New" w:cs="Courier New" w:eastAsia="Courier New" w:hAnsi="Courier New"/>
                <w:sz w:val="15"/>
                <w:szCs w:val="15"/>
                <w:color w:val="auto"/>
              </w:rPr>
              <w:t>Efficiency Ratio (d)</w:t>
            </w: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NM</w:t>
            </w:r>
          </w:p>
        </w:tc>
        <w:tc>
          <w:tcPr>
            <w:tcW w:w="620" w:type="dxa"/>
            <w:vAlign w:val="bottom"/>
          </w:tcPr>
          <w:p>
            <w:pPr>
              <w:spacing w:after="0"/>
              <w:rPr>
                <w:sz w:val="21"/>
                <w:szCs w:val="21"/>
                <w:color w:val="auto"/>
              </w:rPr>
            </w:pPr>
          </w:p>
        </w:tc>
        <w:tc>
          <w:tcPr>
            <w:tcW w:w="740" w:type="dxa"/>
            <w:vAlign w:val="bottom"/>
          </w:tcPr>
          <w:p>
            <w:pPr>
              <w:ind w:left="420"/>
              <w:spacing w:after="0"/>
              <w:rPr>
                <w:sz w:val="20"/>
                <w:szCs w:val="20"/>
                <w:color w:val="auto"/>
              </w:rPr>
            </w:pPr>
            <w:r>
              <w:rPr>
                <w:rFonts w:ascii="Courier New" w:cs="Courier New" w:eastAsia="Courier New" w:hAnsi="Courier New"/>
                <w:sz w:val="15"/>
                <w:szCs w:val="15"/>
                <w:color w:val="auto"/>
              </w:rPr>
              <w:t>NM</w:t>
            </w:r>
          </w:p>
        </w:tc>
        <w:tc>
          <w:tcPr>
            <w:tcW w:w="300" w:type="dxa"/>
            <w:vAlign w:val="bottom"/>
          </w:tcPr>
          <w:p>
            <w:pPr>
              <w:spacing w:after="0"/>
              <w:rPr>
                <w:sz w:val="21"/>
                <w:szCs w:val="21"/>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59.0%</w:t>
            </w:r>
          </w:p>
        </w:tc>
        <w:tc>
          <w:tcPr>
            <w:tcW w:w="580" w:type="dxa"/>
            <w:vAlign w:val="bottom"/>
          </w:tcPr>
          <w:p>
            <w:pPr>
              <w:spacing w:after="0"/>
              <w:rPr>
                <w:sz w:val="21"/>
                <w:szCs w:val="21"/>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65.2%</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540" w:right="3760" w:hanging="530"/>
        <w:spacing w:after="0" w:line="244" w:lineRule="auto"/>
        <w:tabs>
          <w:tab w:leader="none" w:pos="5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 is allocated to business units using a credit risk methodology applied consistently across the Corporation and a risk-grading system appropriate for a business unit's portfolio. The difference between the risk-based provision and the Corporation's provision is included in the Corporate results.</w:t>
      </w:r>
    </w:p>
    <w:p>
      <w:pPr>
        <w:spacing w:after="0" w:line="3" w:lineRule="exact"/>
        <w:rPr>
          <w:rFonts w:ascii="Courier New" w:cs="Courier New" w:eastAsia="Courier New" w:hAnsi="Courier New"/>
          <w:sz w:val="15"/>
          <w:szCs w:val="15"/>
          <w:color w:val="auto"/>
        </w:rPr>
      </w:pPr>
    </w:p>
    <w:p>
      <w:pPr>
        <w:jc w:val="both"/>
        <w:ind w:left="540" w:right="3760" w:hanging="530"/>
        <w:spacing w:after="0" w:line="254" w:lineRule="auto"/>
        <w:tabs>
          <w:tab w:leader="none" w:pos="54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Special items for the first six months of 1996 include the loss on the sale of a building in Japan and costs incurred in combining the Corporation's foreign retirement plans as well as aggregate tax benefits and refunds. The 1995 first six months included the gain on the sale of the Corporation's investment in Far East Bank and Trust Company.</w:t>
      </w:r>
    </w:p>
    <w:p>
      <w:pPr>
        <w:spacing w:after="0" w:line="1" w:lineRule="exact"/>
        <w:rPr>
          <w:rFonts w:ascii="Courier New" w:cs="Courier New" w:eastAsia="Courier New" w:hAnsi="Courier New"/>
          <w:sz w:val="14"/>
          <w:szCs w:val="14"/>
          <w:color w:val="auto"/>
        </w:rPr>
      </w:pPr>
    </w:p>
    <w:p>
      <w:pPr>
        <w:ind w:left="540" w:hanging="530"/>
        <w:spacing w:after="0" w:line="237" w:lineRule="auto"/>
        <w:tabs>
          <w:tab w:leader="none" w:pos="5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annualized operating net income amounts.</w:t>
      </w:r>
    </w:p>
    <w:p>
      <w:pPr>
        <w:jc w:val="both"/>
        <w:ind w:left="540" w:right="3760" w:hanging="530"/>
        <w:spacing w:after="0" w:line="237" w:lineRule="auto"/>
        <w:tabs>
          <w:tab w:leader="none" w:pos="5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computation of the efficiency ratio excludes restructuring charges, foreclosed property expense, and the nonrecurring items discussed in (b) above.</w:t>
      </w:r>
    </w:p>
    <w:p>
      <w:pPr>
        <w:spacing w:after="0" w:line="1" w:lineRule="exact"/>
        <w:rPr>
          <w:rFonts w:ascii="Courier New" w:cs="Courier New" w:eastAsia="Courier New" w:hAnsi="Courier New"/>
          <w:sz w:val="15"/>
          <w:szCs w:val="15"/>
          <w:color w:val="auto"/>
        </w:rPr>
      </w:pPr>
    </w:p>
    <w:p>
      <w:pPr>
        <w:ind w:left="540" w:right="4100" w:hanging="530"/>
        <w:spacing w:after="0" w:line="237" w:lineRule="auto"/>
        <w:tabs>
          <w:tab w:leader="none" w:pos="5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column includes Corporate results. See description of Corporate results on page 30.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NM - Not meaningful.</w:t>
      </w: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760"/>
          </w:cols>
          <w:pgMar w:left="220" w:top="1100" w:right="919" w:bottom="873"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Global Bank</w:t>
      </w:r>
    </w:p>
    <w:p>
      <w:pPr>
        <w:spacing w:after="0" w:line="24" w:lineRule="exact"/>
        <w:rPr>
          <w:sz w:val="20"/>
          <w:szCs w:val="20"/>
          <w:color w:val="auto"/>
        </w:rPr>
      </w:pPr>
    </w:p>
    <w:p>
      <w:pPr>
        <w:jc w:val="both"/>
        <w:ind w:right="100"/>
        <w:spacing w:after="0" w:line="272" w:lineRule="auto"/>
        <w:rPr>
          <w:sz w:val="20"/>
          <w:szCs w:val="20"/>
          <w:color w:val="auto"/>
        </w:rPr>
      </w:pPr>
      <w:r>
        <w:rPr>
          <w:rFonts w:ascii="Courier New" w:cs="Courier New" w:eastAsia="Courier New" w:hAnsi="Courier New"/>
          <w:sz w:val="14"/>
          <w:szCs w:val="14"/>
          <w:color w:val="auto"/>
        </w:rPr>
        <w:t>The Global Bank provides banking, financial advisory, trading and investment services to corporations and public-sector clients worldwide through a network of offices in 52 countries, including major operations in all key international financial centers. Its network enables the Corporation to identify users and sources of capital on a global basis and to serve the cross-border requirements of clients through integrated delivery across all its businesses.</w:t>
      </w:r>
    </w:p>
    <w:p>
      <w:pPr>
        <w:spacing w:after="0" w:line="73" w:lineRule="exact"/>
        <w:rPr>
          <w:sz w:val="20"/>
          <w:szCs w:val="20"/>
          <w:color w:val="auto"/>
        </w:rPr>
      </w:pPr>
    </w:p>
    <w:p>
      <w:pPr>
        <w:jc w:val="both"/>
        <w:ind w:right="100"/>
        <w:spacing w:after="0" w:line="264" w:lineRule="auto"/>
        <w:rPr>
          <w:sz w:val="20"/>
          <w:szCs w:val="20"/>
          <w:color w:val="auto"/>
        </w:rPr>
      </w:pPr>
      <w:r>
        <w:rPr>
          <w:rFonts w:ascii="Courier New" w:cs="Courier New" w:eastAsia="Courier New" w:hAnsi="Courier New"/>
          <w:sz w:val="14"/>
          <w:szCs w:val="14"/>
          <w:color w:val="auto"/>
        </w:rPr>
        <w:t>The Global Bank includes a dedicated Global Client Management organization (focusing on corporate clients, credit and general advisory); Global Investment Banking (including acquisition finance, syndicated finance, high-yield finance, private placements, leasing, mergers and acquisitions, and other global investment banking activities); Global Markets (foreign exchange dealing and trading, derivatives trading and structuring, including equity and commodity derivatives, risk management, securities structuring, underwriting, trading and sales, and the Corporation's funding and securities investment activities) and Chase Capital Partners (venture capital and mezzanine finance). In addition, the Global Asset Management and Private Banking group serves high net worth individuals worldwide with banking and investment services, including the Vista family of mutual funds and Vista unit trust funds. The Global Bank seeks to optimize its risk profile and profitability by emphasizing originations, underwriting, distribution and risk management products.</w:t>
      </w:r>
    </w:p>
    <w:p>
      <w:pPr>
        <w:spacing w:after="0" w:line="81" w:lineRule="exact"/>
        <w:rPr>
          <w:sz w:val="20"/>
          <w:szCs w:val="20"/>
          <w:color w:val="auto"/>
        </w:rPr>
      </w:pPr>
    </w:p>
    <w:p>
      <w:pPr>
        <w:jc w:val="both"/>
        <w:ind w:right="100"/>
        <w:spacing w:after="0" w:line="255" w:lineRule="auto"/>
        <w:rPr>
          <w:sz w:val="20"/>
          <w:szCs w:val="20"/>
          <w:color w:val="auto"/>
        </w:rPr>
      </w:pPr>
      <w:r>
        <w:rPr>
          <w:rFonts w:ascii="Courier New" w:cs="Courier New" w:eastAsia="Courier New" w:hAnsi="Courier New"/>
          <w:sz w:val="15"/>
          <w:szCs w:val="15"/>
          <w:color w:val="auto"/>
        </w:rPr>
        <w:t>The Global Bank's operating net income in the second quarter of 1996 was $520 million, an increase of $117 million from the 1995 second quarter.</w:t>
      </w:r>
    </w:p>
    <w:p>
      <w:pPr>
        <w:spacing w:after="0" w:line="1" w:lineRule="exact"/>
        <w:rPr>
          <w:sz w:val="20"/>
          <w:szCs w:val="20"/>
          <w:color w:val="auto"/>
        </w:rPr>
      </w:pPr>
    </w:p>
    <w:p>
      <w:pPr>
        <w:jc w:val="both"/>
        <w:ind w:right="100"/>
        <w:spacing w:after="0" w:line="251" w:lineRule="auto"/>
        <w:rPr>
          <w:sz w:val="20"/>
          <w:szCs w:val="20"/>
          <w:color w:val="auto"/>
        </w:rPr>
      </w:pPr>
      <w:r>
        <w:rPr>
          <w:rFonts w:ascii="Courier New" w:cs="Courier New" w:eastAsia="Courier New" w:hAnsi="Courier New"/>
          <w:sz w:val="15"/>
          <w:szCs w:val="15"/>
          <w:color w:val="auto"/>
        </w:rPr>
        <w:t>Return on equity in the second quarter of 1996 was 24.9%, compared with 21.5% in 1995. The Global Bank's operating net income of $1,089 million and return on equity of 26.2% for the first six months of 1996 increased from last year's results of $628 million and 16.5%, respectively. These favorable results were due primarily to higher trading-related revenue, strong growth in net interest income and an increase in corporate finance fees.</w:t>
      </w:r>
    </w:p>
    <w:p>
      <w:pPr>
        <w:spacing w:after="0" w:line="85" w:lineRule="exact"/>
        <w:rPr>
          <w:sz w:val="20"/>
          <w:szCs w:val="20"/>
          <w:color w:val="auto"/>
        </w:rPr>
      </w:pPr>
    </w:p>
    <w:p>
      <w:pPr>
        <w:jc w:val="both"/>
        <w:ind w:right="100"/>
        <w:spacing w:after="0" w:line="344" w:lineRule="auto"/>
        <w:rPr>
          <w:sz w:val="20"/>
          <w:szCs w:val="20"/>
          <w:color w:val="auto"/>
        </w:rPr>
      </w:pPr>
      <w:r>
        <w:rPr>
          <w:rFonts w:ascii="Courier New" w:cs="Courier New" w:eastAsia="Courier New" w:hAnsi="Courier New"/>
          <w:sz w:val="15"/>
          <w:szCs w:val="15"/>
          <w:color w:val="auto"/>
        </w:rPr>
        <w:t>The following table sets forth the significant components of Global Bank's total revenue by business for the periods indicated.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2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Second Quarter</w:t>
            </w:r>
          </w:p>
        </w:tc>
        <w:tc>
          <w:tcPr>
            <w:tcW w:w="0" w:type="dxa"/>
            <w:vAlign w:val="bottom"/>
          </w:tcPr>
          <w:p>
            <w:pPr>
              <w:spacing w:after="0"/>
              <w:rPr>
                <w:sz w:val="1"/>
                <w:szCs w:val="1"/>
                <w:color w:val="auto"/>
              </w:rPr>
            </w:pPr>
          </w:p>
        </w:tc>
      </w:tr>
      <w:tr>
        <w:trPr>
          <w:trHeight w:val="168"/>
        </w:trPr>
        <w:tc>
          <w:tcPr>
            <w:tcW w:w="4860" w:type="dxa"/>
            <w:vAlign w:val="bottom"/>
            <w:vMerge w:val="restart"/>
          </w:tcPr>
          <w:p>
            <w:pPr>
              <w:spacing w:after="0"/>
              <w:rPr>
                <w:sz w:val="20"/>
                <w:szCs w:val="20"/>
                <w:color w:val="auto"/>
              </w:rPr>
            </w:pPr>
            <w:r>
              <w:rPr>
                <w:rFonts w:ascii="Courier New" w:cs="Courier New" w:eastAsia="Courier New" w:hAnsi="Courier New"/>
                <w:sz w:val="15"/>
                <w:szCs w:val="15"/>
                <w:color w:val="auto"/>
              </w:rPr>
              <w:t>(in millions)</w:t>
            </w:r>
          </w:p>
        </w:tc>
        <w:tc>
          <w:tcPr>
            <w:tcW w:w="224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168"/>
        </w:trPr>
        <w:tc>
          <w:tcPr>
            <w:tcW w:w="4860" w:type="dxa"/>
            <w:vAlign w:val="bottom"/>
            <w:vMerge w:val="continue"/>
          </w:tcPr>
          <w:p>
            <w:pPr>
              <w:spacing w:after="0"/>
              <w:rPr>
                <w:sz w:val="14"/>
                <w:szCs w:val="14"/>
                <w:color w:val="auto"/>
              </w:rPr>
            </w:pPr>
          </w:p>
        </w:tc>
        <w:tc>
          <w:tcPr>
            <w:tcW w:w="12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45"/>
        </w:trPr>
        <w:tc>
          <w:tcPr>
            <w:tcW w:w="4860" w:type="dxa"/>
            <w:vAlign w:val="bottom"/>
          </w:tcPr>
          <w:p>
            <w:pPr>
              <w:spacing w:after="0"/>
              <w:rPr>
                <w:sz w:val="21"/>
                <w:szCs w:val="21"/>
                <w:color w:val="auto"/>
              </w:rPr>
            </w:pPr>
          </w:p>
        </w:tc>
        <w:tc>
          <w:tcPr>
            <w:tcW w:w="128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Total Revenue:</w:t>
            </w: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860" w:type="dxa"/>
            <w:vAlign w:val="bottom"/>
          </w:tcPr>
          <w:p>
            <w:pPr>
              <w:ind w:left="280"/>
              <w:spacing w:after="0"/>
              <w:rPr>
                <w:sz w:val="20"/>
                <w:szCs w:val="20"/>
                <w:color w:val="auto"/>
              </w:rPr>
            </w:pPr>
            <w:r>
              <w:rPr>
                <w:rFonts w:ascii="Courier New" w:cs="Courier New" w:eastAsia="Courier New" w:hAnsi="Courier New"/>
                <w:sz w:val="15"/>
                <w:szCs w:val="15"/>
                <w:color w:val="auto"/>
              </w:rPr>
              <w:t>Global Client Management and Investment Banking</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578</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538</w:t>
            </w:r>
          </w:p>
        </w:tc>
        <w:tc>
          <w:tcPr>
            <w:tcW w:w="0" w:type="dxa"/>
            <w:vAlign w:val="bottom"/>
          </w:tcPr>
          <w:p>
            <w:pPr>
              <w:spacing w:after="0"/>
              <w:rPr>
                <w:sz w:val="1"/>
                <w:szCs w:val="1"/>
                <w:color w:val="auto"/>
              </w:rPr>
            </w:pPr>
          </w:p>
        </w:tc>
      </w:tr>
      <w:tr>
        <w:trPr>
          <w:trHeight w:val="168"/>
        </w:trPr>
        <w:tc>
          <w:tcPr>
            <w:tcW w:w="4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Global Markets</w:t>
            </w: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629</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586</w:t>
            </w:r>
          </w:p>
        </w:tc>
        <w:tc>
          <w:tcPr>
            <w:tcW w:w="0" w:type="dxa"/>
            <w:vAlign w:val="bottom"/>
          </w:tcPr>
          <w:p>
            <w:pPr>
              <w:spacing w:after="0"/>
              <w:rPr>
                <w:sz w:val="1"/>
                <w:szCs w:val="1"/>
                <w:color w:val="auto"/>
              </w:rPr>
            </w:pPr>
          </w:p>
        </w:tc>
      </w:tr>
      <w:tr>
        <w:trPr>
          <w:trHeight w:val="168"/>
        </w:trPr>
        <w:tc>
          <w:tcPr>
            <w:tcW w:w="4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Chase Capital Partners</w:t>
            </w: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212</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152</w:t>
            </w:r>
          </w:p>
        </w:tc>
        <w:tc>
          <w:tcPr>
            <w:tcW w:w="0" w:type="dxa"/>
            <w:vAlign w:val="bottom"/>
          </w:tcPr>
          <w:p>
            <w:pPr>
              <w:spacing w:after="0"/>
              <w:rPr>
                <w:sz w:val="1"/>
                <w:szCs w:val="1"/>
                <w:color w:val="auto"/>
              </w:rPr>
            </w:pPr>
          </w:p>
        </w:tc>
      </w:tr>
      <w:tr>
        <w:trPr>
          <w:trHeight w:val="245"/>
        </w:trPr>
        <w:tc>
          <w:tcPr>
            <w:tcW w:w="4860" w:type="dxa"/>
            <w:vAlign w:val="bottom"/>
          </w:tcPr>
          <w:p>
            <w:pPr>
              <w:ind w:left="280"/>
              <w:spacing w:after="0"/>
              <w:rPr>
                <w:sz w:val="20"/>
                <w:szCs w:val="20"/>
                <w:color w:val="auto"/>
              </w:rPr>
            </w:pPr>
            <w:r>
              <w:rPr>
                <w:rFonts w:ascii="Courier New" w:cs="Courier New" w:eastAsia="Courier New" w:hAnsi="Courier New"/>
                <w:sz w:val="15"/>
                <w:szCs w:val="15"/>
                <w:color w:val="auto"/>
              </w:rPr>
              <w:t>Global Asset Management &amp; Private Banking</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219</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177</w:t>
            </w:r>
          </w:p>
        </w:tc>
        <w:tc>
          <w:tcPr>
            <w:tcW w:w="0" w:type="dxa"/>
            <w:vAlign w:val="bottom"/>
          </w:tcPr>
          <w:p>
            <w:pPr>
              <w:spacing w:after="0"/>
              <w:rPr>
                <w:sz w:val="1"/>
                <w:szCs w:val="1"/>
                <w:color w:val="auto"/>
              </w:rPr>
            </w:pPr>
          </w:p>
        </w:tc>
      </w:tr>
    </w:tbl>
    <w:p>
      <w:pPr>
        <w:spacing w:after="0" w:line="259" w:lineRule="exact"/>
        <w:rPr>
          <w:sz w:val="20"/>
          <w:szCs w:val="20"/>
          <w:color w:val="auto"/>
        </w:rPr>
      </w:pPr>
    </w:p>
    <w:p>
      <w:pPr>
        <w:jc w:val="both"/>
        <w:ind w:right="100"/>
        <w:spacing w:after="0" w:line="264" w:lineRule="auto"/>
        <w:rPr>
          <w:sz w:val="20"/>
          <w:szCs w:val="20"/>
          <w:color w:val="auto"/>
        </w:rPr>
      </w:pPr>
      <w:r>
        <w:rPr>
          <w:rFonts w:ascii="Courier New" w:cs="Courier New" w:eastAsia="Courier New" w:hAnsi="Courier New"/>
          <w:sz w:val="15"/>
          <w:szCs w:val="15"/>
          <w:color w:val="auto"/>
        </w:rPr>
        <w:t>Revenue from Global Client Management and Investment Banking increased $40 million, or 7%, in the 1996 second quarter and $102 million, or 10%, for the first six months of 1996 reflecting a higher level of investment banking activity including loan syndications, securities underwriting and advisory activity and new issues of high-yield bonds.</w:t>
      </w:r>
    </w:p>
    <w:p>
      <w:pPr>
        <w:spacing w:after="0" w:line="75" w:lineRule="exact"/>
        <w:rPr>
          <w:sz w:val="20"/>
          <w:szCs w:val="20"/>
          <w:color w:val="auto"/>
        </w:rPr>
      </w:pPr>
    </w:p>
    <w:p>
      <w:pPr>
        <w:jc w:val="both"/>
        <w:ind w:right="100"/>
        <w:spacing w:after="0" w:line="264" w:lineRule="auto"/>
        <w:rPr>
          <w:sz w:val="20"/>
          <w:szCs w:val="20"/>
          <w:color w:val="auto"/>
        </w:rPr>
      </w:pPr>
      <w:r>
        <w:rPr>
          <w:rFonts w:ascii="Courier New" w:cs="Courier New" w:eastAsia="Courier New" w:hAnsi="Courier New"/>
          <w:sz w:val="15"/>
          <w:szCs w:val="15"/>
          <w:color w:val="auto"/>
        </w:rPr>
        <w:t>Trading-related revenue at Global Markets was higher in the second quarter of 1996 and the first six months of 1996 due to the particularly strong performance in the emerging markets. Also, the 1995 six-month results had been adversely affected by the major declines in the prices of emerging markets debt instruments during that period.</w:t>
      </w:r>
    </w:p>
    <w:p>
      <w:pPr>
        <w:spacing w:after="0" w:line="75" w:lineRule="exact"/>
        <w:rPr>
          <w:sz w:val="20"/>
          <w:szCs w:val="20"/>
          <w:color w:val="auto"/>
        </w:rPr>
      </w:pPr>
    </w:p>
    <w:p>
      <w:pPr>
        <w:jc w:val="both"/>
        <w:ind w:right="100"/>
        <w:spacing w:after="0" w:line="273" w:lineRule="auto"/>
        <w:rPr>
          <w:sz w:val="20"/>
          <w:szCs w:val="20"/>
          <w:color w:val="auto"/>
        </w:rPr>
      </w:pPr>
      <w:r>
        <w:rPr>
          <w:rFonts w:ascii="Courier New" w:cs="Courier New" w:eastAsia="Courier New" w:hAnsi="Courier New"/>
          <w:sz w:val="15"/>
          <w:szCs w:val="15"/>
          <w:color w:val="auto"/>
        </w:rPr>
        <w:t>Revenue from Chase Capital Partners increased in the second quarter of 1996 and the first six months of 1996 due to higher revenue from equity-related investments reflecting a broad-based portfolio of investments in an active market.</w:t>
      </w:r>
    </w:p>
    <w:p>
      <w:pPr>
        <w:spacing w:after="0" w:line="68" w:lineRule="exact"/>
        <w:rPr>
          <w:sz w:val="20"/>
          <w:szCs w:val="20"/>
          <w:color w:val="auto"/>
        </w:rPr>
      </w:pPr>
    </w:p>
    <w:p>
      <w:pPr>
        <w:ind w:right="100"/>
        <w:spacing w:after="0" w:line="264" w:lineRule="auto"/>
        <w:rPr>
          <w:sz w:val="20"/>
          <w:szCs w:val="20"/>
          <w:color w:val="auto"/>
        </w:rPr>
      </w:pPr>
      <w:r>
        <w:rPr>
          <w:rFonts w:ascii="Courier New" w:cs="Courier New" w:eastAsia="Courier New" w:hAnsi="Courier New"/>
          <w:sz w:val="14"/>
          <w:szCs w:val="14"/>
          <w:color w:val="auto"/>
        </w:rPr>
        <w:t>Revenues at Global Asset Management and Private Banking increased $42 million, or 24%, in the 1996 second quarter and $70 million, or 20%, for the first six months of 1996, when compared to the same 1995 periods. The increase in the second quarter and first six months of 1996 reflects a $23 million</w:t>
      </w:r>
    </w:p>
    <w:p>
      <w:pPr>
        <w:spacing w:after="0" w:line="1" w:lineRule="exact"/>
        <w:rPr>
          <w:sz w:val="20"/>
          <w:szCs w:val="20"/>
          <w:color w:val="auto"/>
        </w:rPr>
      </w:pPr>
    </w:p>
    <w:p>
      <w:pPr>
        <w:jc w:val="both"/>
        <w:ind w:right="180"/>
        <w:spacing w:after="0" w:line="272" w:lineRule="auto"/>
        <w:rPr>
          <w:sz w:val="20"/>
          <w:szCs w:val="20"/>
          <w:color w:val="auto"/>
        </w:rPr>
      </w:pPr>
      <w:r>
        <w:rPr>
          <w:rFonts w:ascii="Courier New" w:cs="Courier New" w:eastAsia="Courier New" w:hAnsi="Courier New"/>
          <w:sz w:val="15"/>
          <w:szCs w:val="15"/>
          <w:color w:val="auto"/>
        </w:rPr>
        <w:t>gain on the sale of deposits as well as higher revenue in Latin America, growth in net interest income reflecting higher loan volume and an increase in trust fees related to the growth in the Vista mutual funds.</w:t>
      </w:r>
    </w:p>
    <w:p>
      <w:pPr>
        <w:spacing w:after="0" w:line="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9"/>
              </w:rPr>
              <w:t>Six Months</w:t>
            </w:r>
          </w:p>
        </w:tc>
      </w:tr>
      <w:tr>
        <w:trPr>
          <w:trHeight w:val="168"/>
        </w:trPr>
        <w:tc>
          <w:tcPr>
            <w:tcW w:w="180" w:type="dxa"/>
            <w:vAlign w:val="bottom"/>
          </w:tcPr>
          <w:p>
            <w:pPr>
              <w:spacing w:after="0"/>
              <w:rPr>
                <w:sz w:val="14"/>
                <w:szCs w:val="14"/>
                <w:color w:val="auto"/>
              </w:rPr>
            </w:pPr>
          </w:p>
        </w:tc>
        <w:tc>
          <w:tcPr>
            <w:tcW w:w="2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18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1995</w:t>
            </w:r>
          </w:p>
        </w:tc>
      </w:tr>
      <w:tr>
        <w:trPr>
          <w:trHeight w:val="245"/>
        </w:trPr>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596"/>
        </w:trPr>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1,162</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1,060</w:t>
            </w:r>
          </w:p>
        </w:tc>
      </w:tr>
      <w:tr>
        <w:trPr>
          <w:trHeight w:val="168"/>
        </w:trPr>
        <w:tc>
          <w:tcPr>
            <w:tcW w:w="18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1,322</w:t>
            </w: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891</w:t>
            </w:r>
          </w:p>
        </w:tc>
      </w:tr>
      <w:tr>
        <w:trPr>
          <w:trHeight w:val="168"/>
        </w:trPr>
        <w:tc>
          <w:tcPr>
            <w:tcW w:w="18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460</w:t>
            </w: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277</w:t>
            </w:r>
          </w:p>
        </w:tc>
      </w:tr>
      <w:tr>
        <w:trPr>
          <w:trHeight w:val="245"/>
        </w:trPr>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416</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346</w:t>
            </w:r>
          </w:p>
        </w:tc>
      </w:tr>
    </w:tbl>
    <w:p>
      <w:pPr>
        <w:sectPr>
          <w:pgSz w:w="11900" w:h="16838" w:orient="portrait"/>
          <w:cols w:equalWidth="0" w:num="2">
            <w:col w:w="7100" w:space="520"/>
            <w:col w:w="2619"/>
          </w:cols>
          <w:pgMar w:left="220" w:top="598"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Regional and Consumer Banking</w:t>
      </w:r>
    </w:p>
    <w:p>
      <w:pPr>
        <w:spacing w:after="0" w:line="24" w:lineRule="exact"/>
        <w:rPr>
          <w:sz w:val="20"/>
          <w:szCs w:val="20"/>
          <w:color w:val="auto"/>
        </w:rPr>
      </w:pPr>
    </w:p>
    <w:p>
      <w:pPr>
        <w:jc w:val="both"/>
        <w:spacing w:after="0" w:line="262" w:lineRule="auto"/>
        <w:rPr>
          <w:sz w:val="20"/>
          <w:szCs w:val="20"/>
          <w:color w:val="auto"/>
        </w:rPr>
      </w:pPr>
      <w:r>
        <w:rPr>
          <w:rFonts w:ascii="Courier New" w:cs="Courier New" w:eastAsia="Courier New" w:hAnsi="Courier New"/>
          <w:sz w:val="14"/>
          <w:szCs w:val="14"/>
          <w:color w:val="auto"/>
        </w:rPr>
        <w:t>Regional and Consumer Banking includes Credit Cards (Chase cardmember services); Deposits and Investments (consumer banking and commercial and professional banking); Mortgage Banking; National Consumer Finance (home equity secured lending, student lending, and other consumer lending); International Consumer (consumer activities in Asia and Latin America); Middle Market and Community Development (regional commercial banking); Texas Commerce; and the Corporation's franchise in northeastern New Jersey, where it has 39 branches and private banking operations. The Corporation maintains a leading market share position in serving the financial needs of consumers, middle market commercial enterprises and small businesses in the New York metropolitan area. Texas Commerce is a leader in providing financial products and services to businesses and individuals throughout Texas and is the primary bank for more large corporations and middle market companies than any other bank in Texas.</w:t>
      </w:r>
    </w:p>
    <w:p>
      <w:pPr>
        <w:spacing w:after="0" w:line="78" w:lineRule="exact"/>
        <w:rPr>
          <w:sz w:val="20"/>
          <w:szCs w:val="20"/>
          <w:color w:val="auto"/>
        </w:rPr>
      </w:pPr>
    </w:p>
    <w:p>
      <w:pPr>
        <w:jc w:val="both"/>
        <w:spacing w:after="0" w:line="263" w:lineRule="auto"/>
        <w:rPr>
          <w:sz w:val="20"/>
          <w:szCs w:val="20"/>
          <w:color w:val="auto"/>
        </w:rPr>
      </w:pPr>
      <w:r>
        <w:rPr>
          <w:rFonts w:ascii="Courier New" w:cs="Courier New" w:eastAsia="Courier New" w:hAnsi="Courier New"/>
          <w:sz w:val="14"/>
          <w:szCs w:val="14"/>
          <w:color w:val="auto"/>
        </w:rPr>
        <w:t>Regional and Consumer Banking's operating net income of $322 million in the second quarter of 1996 increased $62 million from last year's second quarter results of $260 million due primarily to lower noninterest expense and higher net interest income, partially offset by a higher credit provision. For the first six months of 1996, Regional and Consumer's operating net income was $639 million, an increase of $125 million from the same period last year. This increase is due to lower noninterest expense and increases in net interest income and noninterest revenue, partially offset by a higher credit provision and an increase in foreclosed property expense. The decrease in noninterest expense for both the 1996 three months and six months periods is the result of reduced FDIC premium expense and the absence of expenses as a result of the sale of the southern and central New Jersey banking operations in the fourth quarter of 1995. The growth in net interest income for both 1996 periods reflects higher volumes at Credit Cards and Mortgage Banking; the higher credit provision is the result of the substantial growth in managed credit card outstandings.</w:t>
      </w:r>
    </w:p>
    <w:p>
      <w:pPr>
        <w:spacing w:after="0" w:line="84" w:lineRule="exact"/>
        <w:rPr>
          <w:sz w:val="20"/>
          <w:szCs w:val="20"/>
          <w:color w:val="auto"/>
        </w:rPr>
      </w:pPr>
    </w:p>
    <w:p>
      <w:pPr>
        <w:jc w:val="both"/>
        <w:spacing w:after="0" w:line="344" w:lineRule="auto"/>
        <w:rPr>
          <w:sz w:val="20"/>
          <w:szCs w:val="20"/>
          <w:color w:val="auto"/>
        </w:rPr>
      </w:pPr>
      <w:r>
        <w:rPr>
          <w:rFonts w:ascii="Courier New" w:cs="Courier New" w:eastAsia="Courier New" w:hAnsi="Courier New"/>
          <w:sz w:val="15"/>
          <w:szCs w:val="15"/>
          <w:color w:val="auto"/>
        </w:rPr>
        <w:t>The following table sets forth the significant components of Regional and Consumer Banking's total revenue by business for the periods indicated.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25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Second Quarter</w:t>
            </w:r>
          </w:p>
        </w:tc>
        <w:tc>
          <w:tcPr>
            <w:tcW w:w="0" w:type="dxa"/>
            <w:vAlign w:val="bottom"/>
          </w:tcPr>
          <w:p>
            <w:pPr>
              <w:spacing w:after="0"/>
              <w:rPr>
                <w:sz w:val="1"/>
                <w:szCs w:val="1"/>
                <w:color w:val="auto"/>
              </w:rPr>
            </w:pPr>
          </w:p>
        </w:tc>
      </w:tr>
      <w:tr>
        <w:trPr>
          <w:trHeight w:val="168"/>
        </w:trPr>
        <w:tc>
          <w:tcPr>
            <w:tcW w:w="4420" w:type="dxa"/>
            <w:vAlign w:val="bottom"/>
            <w:vMerge w:val="restart"/>
          </w:tcPr>
          <w:p>
            <w:pPr>
              <w:spacing w:after="0"/>
              <w:rPr>
                <w:sz w:val="20"/>
                <w:szCs w:val="20"/>
                <w:color w:val="auto"/>
              </w:rPr>
            </w:pPr>
            <w:r>
              <w:rPr>
                <w:rFonts w:ascii="Courier New" w:cs="Courier New" w:eastAsia="Courier New" w:hAnsi="Courier New"/>
                <w:sz w:val="15"/>
                <w:szCs w:val="15"/>
                <w:color w:val="auto"/>
              </w:rPr>
              <w:t>(in millions)</w:t>
            </w:r>
          </w:p>
        </w:tc>
        <w:tc>
          <w:tcPr>
            <w:tcW w:w="2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420" w:type="dxa"/>
            <w:vAlign w:val="bottom"/>
            <w:vMerge w:val="continue"/>
          </w:tcPr>
          <w:p>
            <w:pPr>
              <w:spacing w:after="0"/>
              <w:rPr>
                <w:sz w:val="14"/>
                <w:szCs w:val="14"/>
                <w:color w:val="auto"/>
              </w:rPr>
            </w:pP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45"/>
        </w:trPr>
        <w:tc>
          <w:tcPr>
            <w:tcW w:w="4420" w:type="dxa"/>
            <w:vAlign w:val="bottom"/>
          </w:tcPr>
          <w:p>
            <w:pPr>
              <w:spacing w:after="0"/>
              <w:rPr>
                <w:sz w:val="21"/>
                <w:szCs w:val="21"/>
                <w:color w:val="auto"/>
              </w:rPr>
            </w:pPr>
          </w:p>
        </w:tc>
        <w:tc>
          <w:tcPr>
            <w:tcW w:w="1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Total Revenue:</w:t>
            </w: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420" w:type="dxa"/>
            <w:vAlign w:val="bottom"/>
          </w:tcPr>
          <w:p>
            <w:pPr>
              <w:ind w:left="280"/>
              <w:spacing w:after="0"/>
              <w:rPr>
                <w:sz w:val="20"/>
                <w:szCs w:val="20"/>
                <w:color w:val="auto"/>
              </w:rPr>
            </w:pPr>
            <w:r>
              <w:rPr>
                <w:rFonts w:ascii="Courier New" w:cs="Courier New" w:eastAsia="Courier New" w:hAnsi="Courier New"/>
                <w:sz w:val="15"/>
                <w:szCs w:val="15"/>
                <w:color w:val="auto"/>
              </w:rPr>
              <w:t>Credit Cards</w:t>
            </w:r>
          </w:p>
        </w:tc>
        <w:tc>
          <w:tcPr>
            <w:tcW w:w="1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642</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$ 572</w:t>
            </w:r>
          </w:p>
        </w:tc>
        <w:tc>
          <w:tcPr>
            <w:tcW w:w="0" w:type="dxa"/>
            <w:vAlign w:val="bottom"/>
          </w:tcPr>
          <w:p>
            <w:pPr>
              <w:spacing w:after="0"/>
              <w:rPr>
                <w:sz w:val="1"/>
                <w:szCs w:val="1"/>
                <w:color w:val="auto"/>
              </w:rPr>
            </w:pPr>
          </w:p>
        </w:tc>
      </w:tr>
      <w:tr>
        <w:trPr>
          <w:trHeight w:val="168"/>
        </w:trPr>
        <w:tc>
          <w:tcPr>
            <w:tcW w:w="4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Deposits and Investments</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471</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463</w:t>
            </w:r>
          </w:p>
        </w:tc>
        <w:tc>
          <w:tcPr>
            <w:tcW w:w="0" w:type="dxa"/>
            <w:vAlign w:val="bottom"/>
          </w:tcPr>
          <w:p>
            <w:pPr>
              <w:spacing w:after="0"/>
              <w:rPr>
                <w:sz w:val="1"/>
                <w:szCs w:val="1"/>
                <w:color w:val="auto"/>
              </w:rPr>
            </w:pPr>
          </w:p>
        </w:tc>
      </w:tr>
      <w:tr>
        <w:trPr>
          <w:trHeight w:val="168"/>
        </w:trPr>
        <w:tc>
          <w:tcPr>
            <w:tcW w:w="4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Mortgage Banking</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152</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164</w:t>
            </w:r>
          </w:p>
        </w:tc>
        <w:tc>
          <w:tcPr>
            <w:tcW w:w="0" w:type="dxa"/>
            <w:vAlign w:val="bottom"/>
          </w:tcPr>
          <w:p>
            <w:pPr>
              <w:spacing w:after="0"/>
              <w:rPr>
                <w:sz w:val="1"/>
                <w:szCs w:val="1"/>
                <w:color w:val="auto"/>
              </w:rPr>
            </w:pPr>
          </w:p>
        </w:tc>
      </w:tr>
      <w:tr>
        <w:trPr>
          <w:trHeight w:val="168"/>
        </w:trPr>
        <w:tc>
          <w:tcPr>
            <w:tcW w:w="4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National Consumer Finance</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151</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130</w:t>
            </w:r>
          </w:p>
        </w:tc>
        <w:tc>
          <w:tcPr>
            <w:tcW w:w="0" w:type="dxa"/>
            <w:vAlign w:val="bottom"/>
          </w:tcPr>
          <w:p>
            <w:pPr>
              <w:spacing w:after="0"/>
              <w:rPr>
                <w:sz w:val="1"/>
                <w:szCs w:val="1"/>
                <w:color w:val="auto"/>
              </w:rPr>
            </w:pPr>
          </w:p>
        </w:tc>
      </w:tr>
      <w:tr>
        <w:trPr>
          <w:trHeight w:val="168"/>
        </w:trPr>
        <w:tc>
          <w:tcPr>
            <w:tcW w:w="4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International Consumer</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w:t>
            </w:r>
          </w:p>
        </w:tc>
        <w:tc>
          <w:tcPr>
            <w:tcW w:w="0" w:type="dxa"/>
            <w:vAlign w:val="bottom"/>
          </w:tcPr>
          <w:p>
            <w:pPr>
              <w:spacing w:after="0"/>
              <w:rPr>
                <w:sz w:val="1"/>
                <w:szCs w:val="1"/>
                <w:color w:val="auto"/>
              </w:rPr>
            </w:pPr>
          </w:p>
        </w:tc>
      </w:tr>
      <w:tr>
        <w:trPr>
          <w:trHeight w:val="168"/>
        </w:trPr>
        <w:tc>
          <w:tcPr>
            <w:tcW w:w="4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Middle Market and Community Development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223</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225</w:t>
            </w:r>
          </w:p>
        </w:tc>
        <w:tc>
          <w:tcPr>
            <w:tcW w:w="0" w:type="dxa"/>
            <w:vAlign w:val="bottom"/>
          </w:tcPr>
          <w:p>
            <w:pPr>
              <w:spacing w:after="0"/>
              <w:rPr>
                <w:sz w:val="1"/>
                <w:szCs w:val="1"/>
                <w:color w:val="auto"/>
              </w:rPr>
            </w:pPr>
          </w:p>
        </w:tc>
      </w:tr>
      <w:tr>
        <w:trPr>
          <w:trHeight w:val="245"/>
        </w:trPr>
        <w:tc>
          <w:tcPr>
            <w:tcW w:w="4420" w:type="dxa"/>
            <w:vAlign w:val="bottom"/>
          </w:tcPr>
          <w:p>
            <w:pPr>
              <w:ind w:left="280"/>
              <w:spacing w:after="0"/>
              <w:rPr>
                <w:sz w:val="20"/>
                <w:szCs w:val="20"/>
                <w:color w:val="auto"/>
              </w:rPr>
            </w:pPr>
            <w:r>
              <w:rPr>
                <w:rFonts w:ascii="Courier New" w:cs="Courier New" w:eastAsia="Courier New" w:hAnsi="Courier New"/>
                <w:sz w:val="15"/>
                <w:szCs w:val="15"/>
                <w:color w:val="auto"/>
              </w:rPr>
              <w:t>Texas Commerce</w:t>
            </w:r>
          </w:p>
        </w:tc>
        <w:tc>
          <w:tcPr>
            <w:tcW w:w="1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303</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277</w:t>
            </w:r>
          </w:p>
        </w:tc>
        <w:tc>
          <w:tcPr>
            <w:tcW w:w="0" w:type="dxa"/>
            <w:vAlign w:val="bottom"/>
          </w:tcPr>
          <w:p>
            <w:pPr>
              <w:spacing w:after="0"/>
              <w:rPr>
                <w:sz w:val="1"/>
                <w:szCs w:val="1"/>
                <w:color w:val="auto"/>
              </w:rPr>
            </w:pPr>
          </w:p>
        </w:tc>
      </w:tr>
    </w:tbl>
    <w:p>
      <w:pPr>
        <w:spacing w:after="0" w:line="259" w:lineRule="exact"/>
        <w:rPr>
          <w:sz w:val="20"/>
          <w:szCs w:val="20"/>
          <w:color w:val="auto"/>
        </w:rPr>
      </w:pPr>
    </w:p>
    <w:p>
      <w:pPr>
        <w:jc w:val="both"/>
        <w:spacing w:after="0" w:line="255" w:lineRule="auto"/>
        <w:rPr>
          <w:sz w:val="20"/>
          <w:szCs w:val="20"/>
          <w:color w:val="auto"/>
        </w:rPr>
      </w:pPr>
      <w:r>
        <w:rPr>
          <w:rFonts w:ascii="Courier New" w:cs="Courier New" w:eastAsia="Courier New" w:hAnsi="Courier New"/>
          <w:sz w:val="15"/>
          <w:szCs w:val="15"/>
          <w:color w:val="auto"/>
        </w:rPr>
        <w:t>Credit Cards revenue increased $70 million, or 12%, in the second quarter of 1996. For the first six months of 1996, Credit Cards revenue rose $144 million, or 13%. The improvement in both 1996 periods compared with last year's results is due to higher net interest income, reflecting the substantial growth in the loan portfolio and the implementation of a risk-adjusted pricing policy for delinquent credit card receivables, and higher fee revenue reflecting increased receivables.</w:t>
      </w:r>
    </w:p>
    <w:p>
      <w:pPr>
        <w:spacing w:after="0" w:line="82" w:lineRule="exact"/>
        <w:rPr>
          <w:sz w:val="20"/>
          <w:szCs w:val="20"/>
          <w:color w:val="auto"/>
        </w:rPr>
      </w:pPr>
    </w:p>
    <w:p>
      <w:pPr>
        <w:jc w:val="both"/>
        <w:spacing w:after="0" w:line="264" w:lineRule="auto"/>
        <w:rPr>
          <w:sz w:val="20"/>
          <w:szCs w:val="20"/>
          <w:color w:val="auto"/>
        </w:rPr>
      </w:pPr>
      <w:r>
        <w:rPr>
          <w:rFonts w:ascii="Courier New" w:cs="Courier New" w:eastAsia="Courier New" w:hAnsi="Courier New"/>
          <w:sz w:val="15"/>
          <w:szCs w:val="15"/>
          <w:color w:val="auto"/>
        </w:rPr>
        <w:t>Deposits and Investments revenue increased $8 million, or 2%, in the 1996 second quarter and $2 million for the first six months of 1996, compared with the same periods in 1995. The slight improvement in revenue reflects growth in service charges on deposit accounts and trust fees in the first six months of 1996 and higher deposit volume in the second quarter of 1996.</w:t>
      </w:r>
    </w:p>
    <w:p>
      <w:pPr>
        <w:spacing w:after="0" w:line="75" w:lineRule="exact"/>
        <w:rPr>
          <w:sz w:val="20"/>
          <w:szCs w:val="20"/>
          <w:color w:val="auto"/>
        </w:rPr>
      </w:pPr>
    </w:p>
    <w:p>
      <w:pPr>
        <w:jc w:val="both"/>
        <w:spacing w:after="0" w:line="246" w:lineRule="auto"/>
        <w:rPr>
          <w:sz w:val="20"/>
          <w:szCs w:val="20"/>
          <w:color w:val="auto"/>
        </w:rPr>
      </w:pPr>
      <w:r>
        <w:rPr>
          <w:rFonts w:ascii="Courier New" w:cs="Courier New" w:eastAsia="Courier New" w:hAnsi="Courier New"/>
          <w:sz w:val="15"/>
          <w:szCs w:val="15"/>
          <w:color w:val="auto"/>
        </w:rPr>
        <w:t>Revenue from Mortgage Banking decreased $12 million in the second quarter of 1996 from the same period in 1995. For the first six months of 1996, Mortgage Banking revenue increased $14 million when compared with 1995. The decrease in the second quarter of 1996 is due to the 1995 second quarter being favorably affected by the implementation of SFAS 122 (relating to the accounting for originated mortgage servicing rights) and gains on the sale of mortgage servicing rights. The 1996 second quarter results were favorably affected by higher net interest income (resulting from a 21% increase in loan volume) and improved loan spreads. For the first six months of 1996, the increase in revenue is due to higher net interest income of $64 million (resulting from a 26% increase in loan volume) and improved loan spreads, partially offset by lower noninterest revenue due to the impact of SFAS 122 and a decline in the sale of mortgage servicing rights.</w:t>
      </w:r>
    </w:p>
    <w:p>
      <w:pPr>
        <w:spacing w:after="0" w:line="91" w:lineRule="exact"/>
        <w:rPr>
          <w:sz w:val="20"/>
          <w:szCs w:val="20"/>
          <w:color w:val="auto"/>
        </w:rPr>
      </w:pPr>
    </w:p>
    <w:p>
      <w:pPr>
        <w:jc w:val="both"/>
        <w:spacing w:after="0" w:line="244" w:lineRule="auto"/>
        <w:rPr>
          <w:sz w:val="20"/>
          <w:szCs w:val="20"/>
          <w:color w:val="auto"/>
        </w:rPr>
      </w:pPr>
      <w:r>
        <w:rPr>
          <w:rFonts w:ascii="Courier New" w:cs="Courier New" w:eastAsia="Courier New" w:hAnsi="Courier New"/>
          <w:sz w:val="15"/>
          <w:szCs w:val="15"/>
          <w:color w:val="auto"/>
        </w:rPr>
        <w:t>National Consumer Finance revenues increased $21 million, or 16%, in the 1996 second quarter and $44 million, or 17%, for the first six months of 1996, when compared with 1995. The favorable results in both 1996 periods is due to an increase in net interest income reflecting the strong growth in loan volume and higher retail banking fees.</w:t>
      </w:r>
    </w:p>
    <w:p>
      <w:pPr>
        <w:spacing w:after="0" w:line="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Six Months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tbl>
      <w:tblPr>
        <w:tblLayout w:type="fixed"/>
        <w:tblInd w:w="0" w:type="dxa"/>
        <w:tblCellMar>
          <w:top w:w="0" w:type="dxa"/>
          <w:left w:w="0" w:type="dxa"/>
          <w:bottom w:w="0" w:type="dxa"/>
          <w:right w:w="0" w:type="dxa"/>
        </w:tblCellMar>
      </w:tblPr>
      <w:tr>
        <w:trPr>
          <w:trHeight w:val="152"/>
        </w:trPr>
        <w:tc>
          <w:tcPr>
            <w:tcW w:w="220" w:type="dxa"/>
            <w:vAlign w:val="bottom"/>
          </w:tcPr>
          <w:p>
            <w:pPr>
              <w:spacing w:after="0"/>
              <w:rPr>
                <w:sz w:val="13"/>
                <w:szCs w:val="13"/>
                <w:color w:val="auto"/>
              </w:rPr>
            </w:pPr>
          </w:p>
        </w:tc>
        <w:tc>
          <w:tcPr>
            <w:tcW w:w="780" w:type="dxa"/>
            <w:vAlign w:val="bottom"/>
          </w:tcPr>
          <w:p>
            <w:pPr>
              <w:jc w:val="right"/>
              <w:ind w:right="147"/>
              <w:spacing w:after="0" w:line="152" w:lineRule="exact"/>
              <w:rPr>
                <w:sz w:val="20"/>
                <w:szCs w:val="20"/>
                <w:color w:val="auto"/>
              </w:rPr>
            </w:pPr>
            <w:r>
              <w:rPr>
                <w:rFonts w:ascii="Courier New" w:cs="Courier New" w:eastAsia="Courier New" w:hAnsi="Courier New"/>
                <w:sz w:val="15"/>
                <w:szCs w:val="15"/>
                <w:color w:val="auto"/>
              </w:rPr>
              <w:t>1996</w:t>
            </w:r>
          </w:p>
        </w:tc>
        <w:tc>
          <w:tcPr>
            <w:tcW w:w="440" w:type="dxa"/>
            <w:vAlign w:val="bottom"/>
          </w:tcPr>
          <w:p>
            <w:pPr>
              <w:spacing w:after="0"/>
              <w:rPr>
                <w:sz w:val="13"/>
                <w:szCs w:val="13"/>
                <w:color w:val="auto"/>
              </w:rPr>
            </w:pPr>
          </w:p>
        </w:tc>
        <w:tc>
          <w:tcPr>
            <w:tcW w:w="58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1995</w:t>
            </w:r>
          </w:p>
        </w:tc>
      </w:tr>
      <w:tr>
        <w:trPr>
          <w:trHeight w:val="245"/>
        </w:trPr>
        <w:tc>
          <w:tcPr>
            <w:tcW w:w="220" w:type="dxa"/>
            <w:vAlign w:val="bottom"/>
          </w:tcPr>
          <w:p>
            <w:pPr>
              <w:spacing w:after="0"/>
              <w:rPr>
                <w:sz w:val="21"/>
                <w:szCs w:val="21"/>
                <w:color w:val="auto"/>
              </w:rPr>
            </w:pP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96"/>
        </w:trPr>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1,280</w:t>
            </w:r>
          </w:p>
        </w:tc>
        <w:tc>
          <w:tcPr>
            <w:tcW w:w="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1,136</w:t>
            </w:r>
          </w:p>
        </w:tc>
      </w:tr>
      <w:tr>
        <w:trPr>
          <w:trHeight w:val="168"/>
        </w:trPr>
        <w:tc>
          <w:tcPr>
            <w:tcW w:w="22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933</w:t>
            </w:r>
          </w:p>
        </w:tc>
        <w:tc>
          <w:tcPr>
            <w:tcW w:w="44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931</w:t>
            </w:r>
          </w:p>
        </w:tc>
      </w:tr>
      <w:tr>
        <w:trPr>
          <w:trHeight w:val="168"/>
        </w:trPr>
        <w:tc>
          <w:tcPr>
            <w:tcW w:w="22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318</w:t>
            </w:r>
          </w:p>
        </w:tc>
        <w:tc>
          <w:tcPr>
            <w:tcW w:w="44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304</w:t>
            </w:r>
          </w:p>
        </w:tc>
      </w:tr>
      <w:tr>
        <w:trPr>
          <w:trHeight w:val="168"/>
        </w:trPr>
        <w:tc>
          <w:tcPr>
            <w:tcW w:w="22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301</w:t>
            </w:r>
          </w:p>
        </w:tc>
        <w:tc>
          <w:tcPr>
            <w:tcW w:w="44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257</w:t>
            </w:r>
          </w:p>
        </w:tc>
      </w:tr>
      <w:tr>
        <w:trPr>
          <w:trHeight w:val="168"/>
        </w:trPr>
        <w:tc>
          <w:tcPr>
            <w:tcW w:w="22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w:t>
            </w:r>
          </w:p>
        </w:tc>
        <w:tc>
          <w:tcPr>
            <w:tcW w:w="44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w:t>
            </w:r>
          </w:p>
        </w:tc>
      </w:tr>
      <w:tr>
        <w:trPr>
          <w:trHeight w:val="168"/>
        </w:trPr>
        <w:tc>
          <w:tcPr>
            <w:tcW w:w="22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463</w:t>
            </w:r>
          </w:p>
        </w:tc>
        <w:tc>
          <w:tcPr>
            <w:tcW w:w="44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448</w:t>
            </w:r>
          </w:p>
        </w:tc>
      </w:tr>
      <w:tr>
        <w:trPr>
          <w:trHeight w:val="245"/>
        </w:trPr>
        <w:tc>
          <w:tcPr>
            <w:tcW w:w="220" w:type="dxa"/>
            <w:vAlign w:val="bottom"/>
          </w:tcPr>
          <w:p>
            <w:pPr>
              <w:spacing w:after="0"/>
              <w:rPr>
                <w:sz w:val="21"/>
                <w:szCs w:val="21"/>
                <w:color w:val="auto"/>
              </w:rPr>
            </w:pP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612</w:t>
            </w:r>
          </w:p>
        </w:tc>
        <w:tc>
          <w:tcPr>
            <w:tcW w:w="4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552</w:t>
            </w:r>
          </w:p>
        </w:tc>
      </w:tr>
    </w:tbl>
    <w:p>
      <w:pPr>
        <w:sectPr>
          <w:pgSz w:w="11900" w:h="16838" w:orient="portrait"/>
          <w:cols w:equalWidth="0" w:num="2">
            <w:col w:w="7000" w:space="620"/>
            <w:col w:w="2619"/>
          </w:cols>
          <w:pgMar w:left="220" w:top="598" w:right="1440" w:bottom="1440" w:gutter="0" w:footer="0" w:header="0"/>
        </w:sectPr>
      </w:pPr>
    </w:p>
    <w:bookmarkStart w:id="29" w:name="page30"/>
    <w:bookmarkEnd w:id="29"/>
    <w:p>
      <w:pPr>
        <w:jc w:val="both"/>
        <w:ind w:right="3239"/>
        <w:spacing w:after="0" w:line="264" w:lineRule="auto"/>
        <w:rPr>
          <w:sz w:val="20"/>
          <w:szCs w:val="20"/>
          <w:color w:val="auto"/>
        </w:rPr>
      </w:pPr>
      <w:r>
        <w:rPr>
          <w:rFonts w:ascii="Courier New" w:cs="Courier New" w:eastAsia="Courier New" w:hAnsi="Courier New"/>
          <w:sz w:val="15"/>
          <w:szCs w:val="15"/>
          <w:color w:val="auto"/>
        </w:rPr>
        <w:t>The revenue for International Consumer increased $12 million in the second quarter of 1996 and $21 million for the first six months of 1996 when compared to the prior year periods. Improvement in both 1996 periods is due to higher net interest income reflecting increased loan volumes for residential mortgages and improved loan spreads.</w:t>
      </w:r>
    </w:p>
    <w:p>
      <w:pPr>
        <w:spacing w:after="0" w:line="75" w:lineRule="exact"/>
        <w:rPr>
          <w:sz w:val="20"/>
          <w:szCs w:val="20"/>
          <w:color w:val="auto"/>
        </w:rPr>
      </w:pPr>
    </w:p>
    <w:p>
      <w:pPr>
        <w:jc w:val="both"/>
        <w:ind w:right="3239"/>
        <w:spacing w:after="0" w:line="273" w:lineRule="auto"/>
        <w:rPr>
          <w:sz w:val="20"/>
          <w:szCs w:val="20"/>
          <w:color w:val="auto"/>
        </w:rPr>
      </w:pPr>
      <w:r>
        <w:rPr>
          <w:rFonts w:ascii="Courier New" w:cs="Courier New" w:eastAsia="Courier New" w:hAnsi="Courier New"/>
          <w:sz w:val="15"/>
          <w:szCs w:val="15"/>
          <w:color w:val="auto"/>
        </w:rPr>
        <w:t>Middle Market and Community Development revenues were essentially flat for the second quarter of 1996 and increased $15 million in the first six months of 1996, when compared with last year's results, primarily due to higher corporate finance fees.</w:t>
      </w:r>
    </w:p>
    <w:p>
      <w:pPr>
        <w:spacing w:after="0" w:line="68" w:lineRule="exact"/>
        <w:rPr>
          <w:sz w:val="20"/>
          <w:szCs w:val="20"/>
          <w:color w:val="auto"/>
        </w:rPr>
      </w:pPr>
    </w:p>
    <w:p>
      <w:pPr>
        <w:jc w:val="both"/>
        <w:ind w:right="3239"/>
        <w:spacing w:after="0" w:line="262" w:lineRule="auto"/>
        <w:rPr>
          <w:sz w:val="20"/>
          <w:szCs w:val="20"/>
          <w:color w:val="auto"/>
        </w:rPr>
      </w:pPr>
      <w:r>
        <w:rPr>
          <w:rFonts w:ascii="Courier New" w:cs="Courier New" w:eastAsia="Courier New" w:hAnsi="Courier New"/>
          <w:sz w:val="14"/>
          <w:szCs w:val="14"/>
          <w:color w:val="auto"/>
        </w:rPr>
        <w:t>Texas Commerce's revenue rose $26 million, or 9%, in the 1996 second quarter and $60 million, or 11%, for the first six months of 1996 when compared to prior year periods. The improvements were due to higher net interest income resulting from 14% growth in loan volume in the first six months of 1996. Also contributing to the 1996 six-month increase was a 5% increase in fee revenue.</w:t>
      </w:r>
    </w:p>
    <w:p>
      <w:pPr>
        <w:spacing w:after="0" w:line="1" w:lineRule="exact"/>
        <w:rPr>
          <w:sz w:val="20"/>
          <w:szCs w:val="20"/>
          <w:color w:val="auto"/>
        </w:rPr>
      </w:pPr>
    </w:p>
    <w:p>
      <w:pPr>
        <w:ind w:right="3319"/>
        <w:spacing w:after="0" w:line="260" w:lineRule="auto"/>
        <w:rPr>
          <w:sz w:val="20"/>
          <w:szCs w:val="20"/>
          <w:color w:val="auto"/>
        </w:rPr>
      </w:pPr>
      <w:r>
        <w:rPr>
          <w:rFonts w:ascii="Courier New" w:cs="Courier New" w:eastAsia="Courier New" w:hAnsi="Courier New"/>
          <w:sz w:val="15"/>
          <w:szCs w:val="15"/>
          <w:color w:val="auto"/>
        </w:rPr>
        <w:t>These favorable results were partially offset by higher foreclosed property expense in the first six months of 1996, as the first six months of 1995 reflected the recognition of recoveries from customers in the Texas real estate market.</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Global Services</w:t>
      </w:r>
    </w:p>
    <w:p>
      <w:pPr>
        <w:spacing w:after="0" w:line="24" w:lineRule="exact"/>
        <w:rPr>
          <w:sz w:val="20"/>
          <w:szCs w:val="20"/>
          <w:color w:val="auto"/>
        </w:rPr>
      </w:pPr>
    </w:p>
    <w:p>
      <w:pPr>
        <w:ind w:right="3239"/>
        <w:spacing w:after="0" w:line="242" w:lineRule="auto"/>
        <w:rPr>
          <w:sz w:val="20"/>
          <w:szCs w:val="20"/>
          <w:color w:val="auto"/>
        </w:rPr>
      </w:pPr>
      <w:r>
        <w:rPr>
          <w:rFonts w:ascii="Courier New" w:cs="Courier New" w:eastAsia="Courier New" w:hAnsi="Courier New"/>
          <w:sz w:val="15"/>
          <w:szCs w:val="15"/>
          <w:color w:val="auto"/>
        </w:rPr>
        <w:t>Global Services includes custody, cash management, payments, trade services, trust and other fiduciary services. The strategy for Global Services is to build world class product capabilities in transaction and information services. At June 30, 1996, the Corporation was custodian or trustee for approximately $3.5 trillion of assets. The operating net income for Global Services increased $12 million in the second quarter of 1996 and $29 million for the first six months of 1996 when compared with the same 1995 periods. Improvement in both 1996 periods is due primarily to increases in noninterest revenue and net interest income partially offset by higher noninterest expense, all which resulted from the acquisition of the securities processing businesses of U.S. Trust in September 1995. Furthermore, the increases in noninterest revenue in both periods reflect higher fee revenue as a result of earnings growth in custody services, and the increase in net interest income reflects higher investable balances.</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Terminal Businesses (LDC and Real Estate)</w:t>
      </w:r>
    </w:p>
    <w:p>
      <w:pPr>
        <w:spacing w:after="0" w:line="24" w:lineRule="exact"/>
        <w:rPr>
          <w:sz w:val="20"/>
          <w:szCs w:val="20"/>
          <w:color w:val="auto"/>
        </w:rPr>
      </w:pPr>
    </w:p>
    <w:p>
      <w:pPr>
        <w:jc w:val="both"/>
        <w:ind w:right="3239"/>
        <w:spacing w:after="0" w:line="243" w:lineRule="auto"/>
        <w:rPr>
          <w:sz w:val="20"/>
          <w:szCs w:val="20"/>
          <w:color w:val="auto"/>
        </w:rPr>
      </w:pPr>
      <w:r>
        <w:rPr>
          <w:rFonts w:ascii="Courier New" w:cs="Courier New" w:eastAsia="Courier New" w:hAnsi="Courier New"/>
          <w:sz w:val="15"/>
          <w:szCs w:val="15"/>
          <w:color w:val="auto"/>
        </w:rPr>
        <w:t>Terminal Businesses represents discontinued portfolios, which are primarily refinancing country debt and the Corporation's commercial real estate problem asset and nonperforming portfolio, primarily at The Chase Manhattan Bank, N.A. and Chemical Bank. Terminal businesses had net losses of $18 million for the second quarter of 1996 and $28 million for the first six months of 1996, compared with net income of $3 million in last year's second quarter and $53 million the first six months of 1995. The 1996 second quarter results include a $30 million loss related to the disposition of available-for-sale emerging markets securities compared with a $50 million loss from sales of such securities in last year's second quarter. For the first six months of 1996, the results include a $65 million loss related to the disposition of available-for-sale emerging markets securities, compared with $26 million in losses from the sales of such securities last year.</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w:t>
      </w:r>
    </w:p>
    <w:p>
      <w:pPr>
        <w:spacing w:after="0" w:line="24" w:lineRule="exact"/>
        <w:rPr>
          <w:sz w:val="20"/>
          <w:szCs w:val="20"/>
          <w:color w:val="auto"/>
        </w:rPr>
      </w:pPr>
    </w:p>
    <w:p>
      <w:pPr>
        <w:jc w:val="both"/>
        <w:ind w:right="3239"/>
        <w:spacing w:after="0" w:line="261" w:lineRule="auto"/>
        <w:rPr>
          <w:sz w:val="20"/>
          <w:szCs w:val="20"/>
          <w:color w:val="auto"/>
        </w:rPr>
      </w:pPr>
      <w:r>
        <w:rPr>
          <w:rFonts w:ascii="Courier New" w:cs="Courier New" w:eastAsia="Courier New" w:hAnsi="Courier New"/>
          <w:sz w:val="14"/>
          <w:szCs w:val="14"/>
          <w:color w:val="auto"/>
        </w:rPr>
        <w:t>Corporate includes the management results attributed to the parent company; the Corporation's investment in CIT; the impact of credit card securitizations; and some effects remaining at the corporate level after the implementation of management accounting policies, including residual credit provision and tax expense. Corporate had a net loss of $22 million for the 1996 second quarter, a decrease of $39 million from last year's second quarter. For the first six months of 1996, Corporate had a net loss of $1,062 million including the restructuring charge of $1,026 million (after-tax) related to the merger and the following special items: $132 million (after-tax) in tax refunds and benefits; $37 million loss (after-tax) on the sale of a building in Japan and $25 million loss (after-tax) related to the costs incurred in combining the Corporation's foreign retirement plans. For the six months of 1995, Corporate had net income of $17 million which included an $11 million after-tax charge due to the adoption of SFAS 106 for its foreign plans.</w:t>
      </w:r>
    </w:p>
    <w:p>
      <w:pPr>
        <w:spacing w:after="0" w:line="8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598" w:right="1440" w:bottom="1440" w:gutter="0" w:footer="0" w:header="0"/>
        </w:sectPr>
      </w:pPr>
    </w:p>
    <w:bookmarkStart w:id="30" w:name="page31"/>
    <w:bookmarkEnd w:id="30"/>
    <w:p>
      <w:pPr>
        <w:ind w:left="180" w:hanging="170"/>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CREDIT RISK MANAGEMENT</w:t>
      </w:r>
    </w:p>
    <w:p>
      <w:pPr>
        <w:ind w:left="180" w:hanging="170"/>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jc w:val="both"/>
        <w:ind w:right="3239"/>
        <w:spacing w:after="0" w:line="252" w:lineRule="auto"/>
        <w:rPr>
          <w:sz w:val="20"/>
          <w:szCs w:val="20"/>
          <w:color w:val="auto"/>
        </w:rPr>
      </w:pPr>
      <w:r>
        <w:rPr>
          <w:rFonts w:ascii="Courier New" w:cs="Courier New" w:eastAsia="Courier New" w:hAnsi="Courier New"/>
          <w:sz w:val="15"/>
          <w:szCs w:val="15"/>
          <w:color w:val="auto"/>
        </w:rPr>
        <w:t>The following discussion of the Corporation's credit risk management focuses primarily on developments since December 31, 1995. A discussion of the Corporation's procedures for the management of its credit risk is provided on pages 31-32 of the Corporation's 1995 Annual Report. A description of the Corporation's accounting policies for its nonperforming loans, renegotiated loans and assets acquired as loan satisfactions is provided in Note One of the Notes to the Consolidated Financial Statements on page 57 of the Corporation's 1995 Annual Report.</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 Portfolio</w:t>
      </w:r>
    </w:p>
    <w:p>
      <w:pPr>
        <w:spacing w:after="0" w:line="24" w:lineRule="exact"/>
        <w:rPr>
          <w:sz w:val="20"/>
          <w:szCs w:val="20"/>
          <w:color w:val="auto"/>
        </w:rPr>
      </w:pPr>
    </w:p>
    <w:p>
      <w:pPr>
        <w:jc w:val="both"/>
        <w:ind w:right="3239"/>
        <w:spacing w:after="0" w:line="272" w:lineRule="auto"/>
        <w:rPr>
          <w:sz w:val="20"/>
          <w:szCs w:val="20"/>
          <w:color w:val="auto"/>
        </w:rPr>
      </w:pPr>
      <w:r>
        <w:rPr>
          <w:rFonts w:ascii="Courier New" w:cs="Courier New" w:eastAsia="Courier New" w:hAnsi="Courier New"/>
          <w:sz w:val="14"/>
          <w:szCs w:val="14"/>
          <w:color w:val="auto"/>
        </w:rPr>
        <w:t>The Corporation's loans outstanding totaled $151.3 billion at June 30, 1996, an increase from $150.2 billion at the 1995 year-end, and $149.5 billion at June 30, 1995. The growth in loans outstanding from December 31,1995 and June 30, 1995 reflects increases in both the consumer and commercial loan portfolios (excluding commercial real estate), partially offset by a decline in credit card balances resulting from securitizations completed during the first half of 1996.</w:t>
      </w:r>
    </w:p>
    <w:p>
      <w:pPr>
        <w:spacing w:after="0" w:line="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5"/>
          <w:szCs w:val="15"/>
          <w:color w:val="auto"/>
        </w:rPr>
        <w:t>The Corporation's nonperforming assets at June 30, 1996 were $1,639 million, down $25 million from the 1995 year-end level and $372 million, or 18%, from last year's comparable quarter. The reduction in nonperforming assets reflects the ongoing improvement in the Corporation's credit profile as a result of a lower level of loans being placed on nonperforming status, repayments, charge-offs, and the Corporation's continuing loan workout and collection activities.</w:t>
      </w:r>
    </w:p>
    <w:p>
      <w:pPr>
        <w:spacing w:after="0" w:line="82" w:lineRule="exact"/>
        <w:rPr>
          <w:sz w:val="20"/>
          <w:szCs w:val="20"/>
          <w:color w:val="auto"/>
        </w:rPr>
      </w:pPr>
    </w:p>
    <w:p>
      <w:pPr>
        <w:jc w:val="both"/>
        <w:ind w:right="3239"/>
        <w:spacing w:after="0" w:line="250" w:lineRule="auto"/>
        <w:rPr>
          <w:sz w:val="20"/>
          <w:szCs w:val="20"/>
          <w:color w:val="auto"/>
        </w:rPr>
      </w:pPr>
      <w:r>
        <w:rPr>
          <w:rFonts w:ascii="Courier New" w:cs="Courier New" w:eastAsia="Courier New" w:hAnsi="Courier New"/>
          <w:sz w:val="15"/>
          <w:szCs w:val="15"/>
          <w:color w:val="auto"/>
        </w:rPr>
        <w:t>Total net charge-offs were $250 million in the second quarter of 1996, compared with $222 million in the 1995 second quarter. For the first six months, net charge-offs were $597 million in 1996, compared with $429 million in 1995. The 1996 amount included a charge of $102 million, recorded in the 1996 first quarter, related to conforming the credit card charge-off policies of Chase and Chemical. Total net charge-offs (on a managed basis) were $386 million in the 1996 second quarter, compared with $256 million in the second quarter of 1995. For the first six months, total net charge-offs were $839 million in 1996, compared with $494 million in 1995.</w:t>
      </w:r>
    </w:p>
    <w:p>
      <w:pPr>
        <w:spacing w:after="0" w:line="89" w:lineRule="exact"/>
        <w:rPr>
          <w:sz w:val="20"/>
          <w:szCs w:val="20"/>
          <w:color w:val="auto"/>
        </w:rPr>
      </w:pPr>
    </w:p>
    <w:p>
      <w:pPr>
        <w:jc w:val="both"/>
        <w:ind w:right="3239"/>
        <w:spacing w:after="0" w:line="264" w:lineRule="auto"/>
        <w:rPr>
          <w:sz w:val="20"/>
          <w:szCs w:val="20"/>
          <w:color w:val="auto"/>
        </w:rPr>
      </w:pPr>
      <w:r>
        <w:rPr>
          <w:rFonts w:ascii="Courier New" w:cs="Courier New" w:eastAsia="Courier New" w:hAnsi="Courier New"/>
          <w:sz w:val="15"/>
          <w:szCs w:val="15"/>
          <w:color w:val="auto"/>
        </w:rPr>
        <w:t>The following table presents the Corporation's loan and nonperforming asset balances by portfolio at the dates indicated and the related net charge-off amounts for the periods indicated. Additionally, loans which were past due 90 days and over as to principal or interest but not characterized as nonperforming are also included in the table.</w:t>
      </w:r>
    </w:p>
    <w:p>
      <w:pPr>
        <w:spacing w:after="0" w:line="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598"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Loans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Nonperforming</w:t>
            </w:r>
          </w:p>
        </w:tc>
        <w:tc>
          <w:tcPr>
            <w:tcW w:w="8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Assets</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5"/>
                <w:szCs w:val="5"/>
                <w:color w:val="auto"/>
                <w:w w:val="74"/>
              </w:rPr>
              <w:t>------------------------------------------</w:t>
            </w: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40" w:type="dxa"/>
            <w:vAlign w:val="bottom"/>
            <w:gridSpan w:val="7"/>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June 30,</w:t>
            </w:r>
          </w:p>
        </w:tc>
        <w:tc>
          <w:tcPr>
            <w:tcW w:w="70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 31,</w:t>
            </w:r>
          </w:p>
        </w:tc>
        <w:tc>
          <w:tcPr>
            <w:tcW w:w="580" w:type="dxa"/>
            <w:vAlign w:val="bottom"/>
          </w:tcPr>
          <w:p>
            <w:pPr>
              <w:spacing w:after="0"/>
              <w:rPr>
                <w:sz w:val="22"/>
                <w:szCs w:val="22"/>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June 30,</w:t>
            </w:r>
          </w:p>
        </w:tc>
        <w:tc>
          <w:tcPr>
            <w:tcW w:w="580" w:type="dxa"/>
            <w:vAlign w:val="bottom"/>
          </w:tcPr>
          <w:p>
            <w:pPr>
              <w:spacing w:after="0"/>
              <w:rPr>
                <w:sz w:val="22"/>
                <w:szCs w:val="22"/>
                <w:color w:val="auto"/>
              </w:rPr>
            </w:pPr>
          </w:p>
        </w:tc>
        <w:tc>
          <w:tcPr>
            <w:tcW w:w="12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June 30,</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Dec 31,</w:t>
            </w:r>
          </w:p>
        </w:tc>
        <w:tc>
          <w:tcPr>
            <w:tcW w:w="360" w:type="dxa"/>
            <w:vAlign w:val="bottom"/>
          </w:tcPr>
          <w:p>
            <w:pPr>
              <w:spacing w:after="0"/>
              <w:rPr>
                <w:sz w:val="22"/>
                <w:szCs w:val="22"/>
                <w:color w:val="auto"/>
              </w:rPr>
            </w:pPr>
          </w:p>
        </w:tc>
        <w:tc>
          <w:tcPr>
            <w:tcW w:w="10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June 30,</w:t>
            </w:r>
          </w:p>
        </w:tc>
        <w:tc>
          <w:tcPr>
            <w:tcW w:w="0" w:type="dxa"/>
            <w:vAlign w:val="bottom"/>
          </w:tcPr>
          <w:p>
            <w:pPr>
              <w:spacing w:after="0"/>
              <w:rPr>
                <w:sz w:val="1"/>
                <w:szCs w:val="1"/>
                <w:color w:val="auto"/>
              </w:rPr>
            </w:pPr>
          </w:p>
        </w:tc>
      </w:tr>
      <w:tr>
        <w:trPr>
          <w:trHeight w:val="168"/>
        </w:trPr>
        <w:tc>
          <w:tcPr>
            <w:tcW w:w="3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c>
          <w:tcPr>
            <w:tcW w:w="700" w:type="dxa"/>
            <w:vAlign w:val="bottom"/>
          </w:tcPr>
          <w:p>
            <w:pPr>
              <w:spacing w:after="0"/>
              <w:rPr>
                <w:sz w:val="14"/>
                <w:szCs w:val="14"/>
                <w:color w:val="auto"/>
              </w:rPr>
            </w:pP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1995</w:t>
            </w:r>
          </w:p>
        </w:tc>
        <w:tc>
          <w:tcPr>
            <w:tcW w:w="5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1995</w:t>
            </w: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1996</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1995</w:t>
            </w:r>
          </w:p>
        </w:tc>
        <w:tc>
          <w:tcPr>
            <w:tcW w:w="360" w:type="dxa"/>
            <w:vAlign w:val="bottom"/>
          </w:tcPr>
          <w:p>
            <w:pPr>
              <w:spacing w:after="0"/>
              <w:rPr>
                <w:sz w:val="14"/>
                <w:szCs w:val="14"/>
                <w:color w:val="auto"/>
              </w:rPr>
            </w:pP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45"/>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rPr>
              <w:t>(in millions)</w:t>
            </w:r>
          </w:p>
        </w:tc>
        <w:tc>
          <w:tcPr>
            <w:tcW w:w="4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w:t>
            </w:r>
          </w:p>
        </w:tc>
        <w:tc>
          <w:tcPr>
            <w:tcW w:w="14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21"/>
                <w:szCs w:val="21"/>
                <w:color w:val="auto"/>
              </w:rPr>
            </w:pPr>
          </w:p>
        </w:tc>
        <w:tc>
          <w:tcPr>
            <w:tcW w:w="12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1"/>
                <w:szCs w:val="21"/>
                <w:color w:val="auto"/>
              </w:rPr>
            </w:pPr>
          </w:p>
        </w:tc>
        <w:tc>
          <w:tcPr>
            <w:tcW w:w="10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Domestic Consumer:</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240" w:type="dxa"/>
            <w:vAlign w:val="bottom"/>
          </w:tcPr>
          <w:p>
            <w:pPr>
              <w:spacing w:after="0"/>
              <w:rPr>
                <w:sz w:val="20"/>
                <w:szCs w:val="20"/>
                <w:color w:val="auto"/>
              </w:rPr>
            </w:pPr>
            <w:r>
              <w:rPr>
                <w:rFonts w:ascii="Courier New" w:cs="Courier New" w:eastAsia="Courier New" w:hAnsi="Courier New"/>
                <w:sz w:val="15"/>
                <w:szCs w:val="15"/>
                <w:color w:val="auto"/>
              </w:rPr>
              <w:t>Residential Mortgage(a)</w:t>
            </w:r>
          </w:p>
        </w:tc>
        <w:tc>
          <w:tcPr>
            <w:tcW w:w="440" w:type="dxa"/>
            <w:vAlign w:val="bottom"/>
          </w:tcPr>
          <w:p>
            <w:pPr>
              <w:spacing w:after="0"/>
              <w:rPr>
                <w:sz w:val="22"/>
                <w:szCs w:val="22"/>
                <w:color w:val="auto"/>
              </w:rPr>
            </w:pPr>
          </w:p>
        </w:tc>
        <w:tc>
          <w:tcPr>
            <w:tcW w:w="3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35,388</w:t>
            </w:r>
          </w:p>
        </w:tc>
        <w:tc>
          <w:tcPr>
            <w:tcW w:w="70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34,060</w:t>
            </w:r>
          </w:p>
        </w:tc>
        <w:tc>
          <w:tcPr>
            <w:tcW w:w="120" w:type="dxa"/>
            <w:vAlign w:val="bottom"/>
          </w:tcPr>
          <w:p>
            <w:pPr>
              <w:spacing w:after="0"/>
              <w:rPr>
                <w:sz w:val="22"/>
                <w:szCs w:val="22"/>
                <w:color w:val="auto"/>
              </w:rPr>
            </w:pP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32,208</w:t>
            </w:r>
          </w:p>
        </w:tc>
        <w:tc>
          <w:tcPr>
            <w:tcW w:w="580" w:type="dxa"/>
            <w:vAlign w:val="bottom"/>
          </w:tcPr>
          <w:p>
            <w:pPr>
              <w:spacing w:after="0"/>
              <w:rPr>
                <w:sz w:val="22"/>
                <w:szCs w:val="22"/>
                <w:color w:val="auto"/>
              </w:rPr>
            </w:pP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238</w:t>
            </w:r>
          </w:p>
        </w:tc>
        <w:tc>
          <w:tcPr>
            <w:tcW w:w="360" w:type="dxa"/>
            <w:vAlign w:val="bottom"/>
          </w:tcPr>
          <w:p>
            <w:pPr>
              <w:spacing w:after="0"/>
              <w:rPr>
                <w:sz w:val="22"/>
                <w:szCs w:val="22"/>
                <w:color w:val="auto"/>
              </w:rPr>
            </w:pPr>
          </w:p>
        </w:tc>
        <w:tc>
          <w:tcPr>
            <w:tcW w:w="5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224</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Credit Card</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11,447</w:t>
            </w:r>
          </w:p>
        </w:tc>
        <w:tc>
          <w:tcPr>
            <w:tcW w:w="7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17,078</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15,898</w:t>
            </w: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Auto Financings</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11,262</w:t>
            </w:r>
          </w:p>
        </w:tc>
        <w:tc>
          <w:tcPr>
            <w:tcW w:w="7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8,327</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10,058</w:t>
            </w: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Consumer(b)</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10,674</w:t>
            </w:r>
          </w:p>
        </w:tc>
        <w:tc>
          <w:tcPr>
            <w:tcW w:w="7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9,966</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9,198</w:t>
            </w: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168"/>
        </w:trPr>
        <w:tc>
          <w:tcPr>
            <w:tcW w:w="32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Domestic Consumer</w:t>
            </w:r>
          </w:p>
        </w:tc>
        <w:tc>
          <w:tcPr>
            <w:tcW w:w="4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Courier New" w:cs="Courier New" w:eastAsia="Courier New" w:hAnsi="Courier New"/>
                <w:sz w:val="7"/>
                <w:szCs w:val="7"/>
                <w:color w:val="auto"/>
                <w:w w:val="73"/>
              </w:rPr>
              <w:t>-----------</w:t>
            </w: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68,771</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2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69,431</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67,362</w:t>
            </w: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280</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258</w:t>
            </w:r>
          </w:p>
        </w:tc>
        <w:tc>
          <w:tcPr>
            <w:tcW w:w="0" w:type="dxa"/>
            <w:vAlign w:val="bottom"/>
          </w:tcPr>
          <w:p>
            <w:pPr>
              <w:spacing w:after="0"/>
              <w:rPr>
                <w:sz w:val="1"/>
                <w:szCs w:val="1"/>
                <w:color w:val="auto"/>
              </w:rPr>
            </w:pPr>
          </w:p>
        </w:tc>
      </w:tr>
      <w:tr>
        <w:trPr>
          <w:trHeight w:val="245"/>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rPr>
              <w:t>Domestic Commercial:</w:t>
            </w:r>
          </w:p>
        </w:tc>
        <w:tc>
          <w:tcPr>
            <w:tcW w:w="4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1"/>
                <w:szCs w:val="21"/>
                <w:color w:val="auto"/>
              </w:rPr>
            </w:pP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21"/>
                <w:szCs w:val="21"/>
                <w:color w:val="auto"/>
              </w:rPr>
            </w:pPr>
          </w:p>
        </w:tc>
        <w:tc>
          <w:tcPr>
            <w:tcW w:w="12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1"/>
                <w:szCs w:val="21"/>
                <w:color w:val="auto"/>
              </w:rPr>
            </w:pPr>
          </w:p>
        </w:tc>
        <w:tc>
          <w:tcPr>
            <w:tcW w:w="10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2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32,429</w:t>
            </w:r>
          </w:p>
        </w:tc>
        <w:tc>
          <w:tcPr>
            <w:tcW w:w="70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32,276</w:t>
            </w: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31,731</w:t>
            </w: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514</w:t>
            </w:r>
          </w:p>
        </w:tc>
        <w:tc>
          <w:tcPr>
            <w:tcW w:w="220" w:type="dxa"/>
            <w:vAlign w:val="bottom"/>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496</w:t>
            </w: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88"/>
              </w:rPr>
              <w:t>516</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and Industrial</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Real Estate(c)</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6,556</w:t>
            </w:r>
          </w:p>
        </w:tc>
        <w:tc>
          <w:tcPr>
            <w:tcW w:w="7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6,660</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7,559</w:t>
            </w: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439</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375</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577</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Institutions</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5,741</w:t>
            </w:r>
          </w:p>
        </w:tc>
        <w:tc>
          <w:tcPr>
            <w:tcW w:w="7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5,714</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5,527</w:t>
            </w: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168"/>
        </w:trPr>
        <w:tc>
          <w:tcPr>
            <w:tcW w:w="32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Domestic Commercial</w:t>
            </w:r>
          </w:p>
        </w:tc>
        <w:tc>
          <w:tcPr>
            <w:tcW w:w="4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Courier New" w:cs="Courier New" w:eastAsia="Courier New" w:hAnsi="Courier New"/>
                <w:sz w:val="7"/>
                <w:szCs w:val="7"/>
                <w:color w:val="auto"/>
                <w:w w:val="73"/>
              </w:rPr>
              <w:t>-----------</w:t>
            </w: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44,726</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2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44,650</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44,817</w:t>
            </w: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953</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873</w:t>
            </w:r>
          </w:p>
        </w:tc>
        <w:tc>
          <w:tcPr>
            <w:tcW w:w="360" w:type="dxa"/>
            <w:vAlign w:val="bottom"/>
          </w:tcPr>
          <w:p>
            <w:pPr>
              <w:spacing w:after="0"/>
              <w:rPr>
                <w:sz w:val="14"/>
                <w:szCs w:val="14"/>
                <w:color w:val="auto"/>
              </w:rPr>
            </w:pP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1,118</w:t>
            </w:r>
          </w:p>
        </w:tc>
        <w:tc>
          <w:tcPr>
            <w:tcW w:w="0" w:type="dxa"/>
            <w:vAlign w:val="bottom"/>
          </w:tcPr>
          <w:p>
            <w:pPr>
              <w:spacing w:after="0"/>
              <w:rPr>
                <w:sz w:val="1"/>
                <w:szCs w:val="1"/>
                <w:color w:val="auto"/>
              </w:rPr>
            </w:pPr>
          </w:p>
        </w:tc>
      </w:tr>
      <w:tr>
        <w:trPr>
          <w:trHeight w:val="168"/>
        </w:trPr>
        <w:tc>
          <w:tcPr>
            <w:tcW w:w="32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Domestic</w:t>
            </w:r>
          </w:p>
        </w:tc>
        <w:tc>
          <w:tcPr>
            <w:tcW w:w="4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Courier New" w:cs="Courier New" w:eastAsia="Courier New" w:hAnsi="Courier New"/>
                <w:sz w:val="7"/>
                <w:szCs w:val="7"/>
                <w:color w:val="auto"/>
                <w:w w:val="73"/>
              </w:rPr>
              <w:t>-----------</w:t>
            </w: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1"/>
              </w:rPr>
              <w:t>113,497</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2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114,081</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112,179</w:t>
            </w:r>
          </w:p>
        </w:tc>
        <w:tc>
          <w:tcPr>
            <w:tcW w:w="580" w:type="dxa"/>
            <w:vAlign w:val="bottom"/>
          </w:tcPr>
          <w:p>
            <w:pPr>
              <w:spacing w:after="0"/>
              <w:rPr>
                <w:sz w:val="14"/>
                <w:szCs w:val="14"/>
                <w:color w:val="auto"/>
              </w:rPr>
            </w:pPr>
          </w:p>
        </w:tc>
        <w:tc>
          <w:tcPr>
            <w:tcW w:w="12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1,233</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1,150</w:t>
            </w:r>
          </w:p>
        </w:tc>
        <w:tc>
          <w:tcPr>
            <w:tcW w:w="360" w:type="dxa"/>
            <w:vAlign w:val="bottom"/>
          </w:tcPr>
          <w:p>
            <w:pPr>
              <w:spacing w:after="0"/>
              <w:rPr>
                <w:sz w:val="14"/>
                <w:szCs w:val="14"/>
                <w:color w:val="auto"/>
              </w:rPr>
            </w:pP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1,376</w:t>
            </w:r>
          </w:p>
        </w:tc>
        <w:tc>
          <w:tcPr>
            <w:tcW w:w="0" w:type="dxa"/>
            <w:vAlign w:val="bottom"/>
          </w:tcPr>
          <w:p>
            <w:pPr>
              <w:spacing w:after="0"/>
              <w:rPr>
                <w:sz w:val="1"/>
                <w:szCs w:val="1"/>
                <w:color w:val="auto"/>
              </w:rPr>
            </w:pPr>
          </w:p>
        </w:tc>
      </w:tr>
      <w:tr>
        <w:trPr>
          <w:trHeight w:val="168"/>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rPr>
              <w:t>Foreign, primarily Commercial</w:t>
            </w:r>
          </w:p>
        </w:tc>
        <w:tc>
          <w:tcPr>
            <w:tcW w:w="4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Courier New" w:cs="Courier New" w:eastAsia="Courier New" w:hAnsi="Courier New"/>
                <w:sz w:val="7"/>
                <w:szCs w:val="7"/>
                <w:color w:val="auto"/>
                <w:w w:val="73"/>
              </w:rPr>
              <w:t>-----------</w:t>
            </w: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37,777</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2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36,126</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37,324</w:t>
            </w: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265</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343</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488</w:t>
            </w:r>
          </w:p>
        </w:tc>
        <w:tc>
          <w:tcPr>
            <w:tcW w:w="0" w:type="dxa"/>
            <w:vAlign w:val="bottom"/>
          </w:tcPr>
          <w:p>
            <w:pPr>
              <w:spacing w:after="0"/>
              <w:rPr>
                <w:sz w:val="1"/>
                <w:szCs w:val="1"/>
                <w:color w:val="auto"/>
              </w:rPr>
            </w:pPr>
          </w:p>
        </w:tc>
      </w:tr>
      <w:tr>
        <w:trPr>
          <w:trHeight w:val="168"/>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rPr>
              <w:t>Total Loans</w:t>
            </w:r>
          </w:p>
        </w:tc>
        <w:tc>
          <w:tcPr>
            <w:tcW w:w="440" w:type="dxa"/>
            <w:vAlign w:val="bottom"/>
          </w:tcPr>
          <w:p>
            <w:pPr>
              <w:spacing w:after="0"/>
              <w:rPr>
                <w:sz w:val="14"/>
                <w:szCs w:val="14"/>
                <w:color w:val="auto"/>
              </w:rPr>
            </w:pPr>
          </w:p>
        </w:tc>
        <w:tc>
          <w:tcPr>
            <w:tcW w:w="360" w:type="dxa"/>
            <w:vAlign w:val="bottom"/>
            <w:vMerge w:val="restart"/>
          </w:tcPr>
          <w:p>
            <w:pPr>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1"/>
              </w:rPr>
              <w:t>151,274</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2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150,207</w:t>
            </w:r>
          </w:p>
        </w:tc>
        <w:tc>
          <w:tcPr>
            <w:tcW w:w="120" w:type="dxa"/>
            <w:vAlign w:val="bottom"/>
          </w:tcPr>
          <w:p>
            <w:pPr>
              <w:spacing w:after="0"/>
              <w:rPr>
                <w:sz w:val="14"/>
                <w:szCs w:val="14"/>
                <w:color w:val="auto"/>
              </w:rPr>
            </w:pP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149,503</w:t>
            </w:r>
          </w:p>
        </w:tc>
        <w:tc>
          <w:tcPr>
            <w:tcW w:w="580" w:type="dxa"/>
            <w:vAlign w:val="bottom"/>
          </w:tcPr>
          <w:p>
            <w:pPr>
              <w:spacing w:after="0"/>
              <w:rPr>
                <w:sz w:val="14"/>
                <w:szCs w:val="14"/>
                <w:color w:val="auto"/>
              </w:rPr>
            </w:pPr>
          </w:p>
        </w:tc>
        <w:tc>
          <w:tcPr>
            <w:tcW w:w="12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1,498</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1,493</w:t>
            </w:r>
          </w:p>
        </w:tc>
        <w:tc>
          <w:tcPr>
            <w:tcW w:w="360" w:type="dxa"/>
            <w:vAlign w:val="bottom"/>
          </w:tcPr>
          <w:p>
            <w:pPr>
              <w:spacing w:after="0"/>
              <w:rPr>
                <w:sz w:val="14"/>
                <w:szCs w:val="14"/>
                <w:color w:val="auto"/>
              </w:rPr>
            </w:pP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1,864</w:t>
            </w:r>
          </w:p>
        </w:tc>
        <w:tc>
          <w:tcPr>
            <w:tcW w:w="0" w:type="dxa"/>
            <w:vAlign w:val="bottom"/>
          </w:tcPr>
          <w:p>
            <w:pPr>
              <w:spacing w:after="0"/>
              <w:rPr>
                <w:sz w:val="1"/>
                <w:szCs w:val="1"/>
                <w:color w:val="auto"/>
              </w:rPr>
            </w:pPr>
          </w:p>
        </w:tc>
      </w:tr>
      <w:tr>
        <w:trPr>
          <w:trHeight w:val="168"/>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w w:val="96"/>
              </w:rPr>
              <w:t>Assets Acquired as Loan Satisfactions</w:t>
            </w:r>
          </w:p>
        </w:tc>
        <w:tc>
          <w:tcPr>
            <w:tcW w:w="44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79"/>
              </w:rPr>
              <w:t>--------</w:t>
            </w:r>
          </w:p>
        </w:tc>
        <w:tc>
          <w:tcPr>
            <w:tcW w:w="7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141</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147</w:t>
            </w:r>
          </w:p>
        </w:tc>
        <w:tc>
          <w:tcPr>
            <w:tcW w:w="0" w:type="dxa"/>
            <w:vAlign w:val="bottom"/>
          </w:tcPr>
          <w:p>
            <w:pPr>
              <w:spacing w:after="0"/>
              <w:rPr>
                <w:sz w:val="1"/>
                <w:szCs w:val="1"/>
                <w:color w:val="auto"/>
              </w:rPr>
            </w:pPr>
          </w:p>
        </w:tc>
      </w:tr>
      <w:tr>
        <w:trPr>
          <w:trHeight w:val="168"/>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rPr>
              <w:t>Total Nonperforming Assets</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gridSpan w:val="2"/>
            <w:vMerge w:val="restart"/>
          </w:tcPr>
          <w:p>
            <w:pPr>
              <w:jc w:val="right"/>
              <w:ind w:right="327"/>
              <w:spacing w:after="0"/>
              <w:rPr>
                <w:sz w:val="20"/>
                <w:szCs w:val="20"/>
                <w:color w:val="auto"/>
              </w:rPr>
            </w:pPr>
            <w:r>
              <w:rPr>
                <w:rFonts w:ascii="Courier New" w:cs="Courier New" w:eastAsia="Courier New" w:hAnsi="Courier New"/>
                <w:sz w:val="22"/>
                <w:szCs w:val="22"/>
                <w:color w:val="auto"/>
                <w:w w:val="72"/>
                <w:vertAlign w:val="subscript"/>
              </w:rPr>
              <w:t>$</w:t>
            </w:r>
            <w:r>
              <w:rPr>
                <w:rFonts w:ascii="Courier New" w:cs="Courier New" w:eastAsia="Courier New" w:hAnsi="Courier New"/>
                <w:sz w:val="12"/>
                <w:szCs w:val="12"/>
                <w:color w:val="auto"/>
                <w:w w:val="72"/>
              </w:rPr>
              <w:t>--------</w:t>
            </w:r>
            <w:r>
              <w:rPr>
                <w:rFonts w:ascii="Courier New" w:cs="Courier New" w:eastAsia="Courier New" w:hAnsi="Courier New"/>
                <w:sz w:val="22"/>
                <w:szCs w:val="22"/>
                <w:color w:val="auto"/>
                <w:w w:val="72"/>
                <w:vertAlign w:val="subscript"/>
              </w:rPr>
              <w:t>1,639</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1,664</w:t>
            </w:r>
          </w:p>
        </w:tc>
        <w:tc>
          <w:tcPr>
            <w:tcW w:w="360" w:type="dxa"/>
            <w:vAlign w:val="bottom"/>
          </w:tcPr>
          <w:p>
            <w:pPr>
              <w:spacing w:after="0"/>
              <w:rPr>
                <w:sz w:val="14"/>
                <w:szCs w:val="14"/>
                <w:color w:val="auto"/>
              </w:rPr>
            </w:pP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2,011</w:t>
            </w: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21"/>
                <w:szCs w:val="21"/>
                <w:color w:val="auto"/>
              </w:rPr>
            </w:pPr>
          </w:p>
        </w:tc>
        <w:tc>
          <w:tcPr>
            <w:tcW w:w="10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96"/>
        </w:trPr>
        <w:tc>
          <w:tcPr>
            <w:tcW w:w="3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20" w:type="dxa"/>
            <w:vAlign w:val="bottom"/>
            <w:gridSpan w:val="4"/>
            <w:vMerge w:val="restart"/>
          </w:tcPr>
          <w:p>
            <w:pPr>
              <w:ind w:left="440"/>
              <w:spacing w:after="0"/>
              <w:rPr>
                <w:sz w:val="20"/>
                <w:szCs w:val="20"/>
                <w:color w:val="auto"/>
              </w:rPr>
            </w:pPr>
            <w:r>
              <w:rPr>
                <w:rFonts w:ascii="Courier New" w:cs="Courier New" w:eastAsia="Courier New" w:hAnsi="Courier New"/>
                <w:sz w:val="15"/>
                <w:szCs w:val="15"/>
                <w:color w:val="auto"/>
              </w:rPr>
              <w:t>Net Charge-offs</w:t>
            </w: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960" w:type="dxa"/>
            <w:vAlign w:val="bottom"/>
            <w:gridSpan w:val="6"/>
          </w:tcPr>
          <w:p>
            <w:pPr>
              <w:jc w:val="right"/>
              <w:ind w:right="187"/>
              <w:spacing w:after="0"/>
              <w:rPr>
                <w:sz w:val="20"/>
                <w:szCs w:val="20"/>
                <w:color w:val="auto"/>
              </w:rPr>
            </w:pPr>
            <w:r>
              <w:rPr>
                <w:rFonts w:ascii="Courier New" w:cs="Courier New" w:eastAsia="Courier New" w:hAnsi="Courier New"/>
                <w:sz w:val="15"/>
                <w:szCs w:val="15"/>
                <w:color w:val="auto"/>
              </w:rPr>
              <w:t>Past Due 90 Days and Over</w:t>
            </w:r>
          </w:p>
        </w:tc>
        <w:tc>
          <w:tcPr>
            <w:tcW w:w="0" w:type="dxa"/>
            <w:vAlign w:val="bottom"/>
          </w:tcPr>
          <w:p>
            <w:pPr>
              <w:spacing w:after="0"/>
              <w:rPr>
                <w:sz w:val="1"/>
                <w:szCs w:val="1"/>
                <w:color w:val="auto"/>
              </w:rPr>
            </w:pPr>
          </w:p>
        </w:tc>
      </w:tr>
      <w:tr>
        <w:trPr>
          <w:trHeight w:val="168"/>
        </w:trPr>
        <w:tc>
          <w:tcPr>
            <w:tcW w:w="3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20" w:type="dxa"/>
            <w:vAlign w:val="bottom"/>
            <w:gridSpan w:val="4"/>
            <w:vMerge w:val="continue"/>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&amp; Still</w:t>
            </w:r>
          </w:p>
        </w:tc>
        <w:tc>
          <w:tcPr>
            <w:tcW w:w="8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Accruing</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1"/>
                <w:szCs w:val="21"/>
                <w:color w:val="auto"/>
              </w:rPr>
            </w:pPr>
          </w:p>
        </w:tc>
        <w:tc>
          <w:tcPr>
            <w:tcW w:w="800" w:type="dxa"/>
            <w:vAlign w:val="bottom"/>
            <w:gridSpan w:val="2"/>
          </w:tcPr>
          <w:p>
            <w:pPr>
              <w:spacing w:after="0"/>
              <w:rPr>
                <w:sz w:val="20"/>
                <w:szCs w:val="20"/>
                <w:color w:val="auto"/>
              </w:rPr>
            </w:pPr>
            <w:r>
              <w:rPr>
                <w:rFonts w:ascii="Courier New" w:cs="Courier New" w:eastAsia="Courier New" w:hAnsi="Courier New"/>
                <w:sz w:val="3"/>
                <w:szCs w:val="3"/>
                <w:color w:val="auto"/>
                <w:w w:val="81"/>
              </w:rPr>
              <w:t>-----------------------------------------------------</w:t>
            </w: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96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59"/>
        </w:trPr>
        <w:tc>
          <w:tcPr>
            <w:tcW w:w="3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w w:val="95"/>
              </w:rPr>
              <w:t>Second Quarter</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gridSpan w:val="3"/>
          </w:tcPr>
          <w:p>
            <w:pPr>
              <w:jc w:val="right"/>
              <w:ind w:right="247"/>
              <w:spacing w:after="0"/>
              <w:rPr>
                <w:sz w:val="20"/>
                <w:szCs w:val="20"/>
                <w:color w:val="auto"/>
              </w:rPr>
            </w:pPr>
            <w:r>
              <w:rPr>
                <w:rFonts w:ascii="Courier New" w:cs="Courier New" w:eastAsia="Courier New" w:hAnsi="Courier New"/>
                <w:sz w:val="15"/>
                <w:szCs w:val="15"/>
                <w:color w:val="auto"/>
              </w:rPr>
              <w:t>Six Months Ended</w:t>
            </w:r>
          </w:p>
        </w:tc>
        <w:tc>
          <w:tcPr>
            <w:tcW w:w="480" w:type="dxa"/>
            <w:vAlign w:val="bottom"/>
          </w:tcPr>
          <w:p>
            <w:pPr>
              <w:spacing w:after="0"/>
              <w:rPr>
                <w:sz w:val="22"/>
                <w:szCs w:val="22"/>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4"/>
              </w:rPr>
              <w:t>June 30,</w:t>
            </w:r>
          </w:p>
        </w:tc>
        <w:tc>
          <w:tcPr>
            <w:tcW w:w="220" w:type="dxa"/>
            <w:vAlign w:val="bottom"/>
          </w:tcPr>
          <w:p>
            <w:pPr>
              <w:spacing w:after="0"/>
              <w:rPr>
                <w:sz w:val="22"/>
                <w:szCs w:val="22"/>
                <w:color w:val="auto"/>
              </w:rPr>
            </w:pPr>
          </w:p>
        </w:tc>
        <w:tc>
          <w:tcPr>
            <w:tcW w:w="96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rPr>
              <w:t>Dec 31,</w:t>
            </w:r>
          </w:p>
        </w:tc>
        <w:tc>
          <w:tcPr>
            <w:tcW w:w="1040" w:type="dxa"/>
            <w:vAlign w:val="bottom"/>
            <w:gridSpan w:val="2"/>
            <w:vMerge w:val="restart"/>
          </w:tcPr>
          <w:p>
            <w:pPr>
              <w:ind w:left="440"/>
              <w:spacing w:after="0"/>
              <w:rPr>
                <w:sz w:val="20"/>
                <w:szCs w:val="20"/>
                <w:color w:val="auto"/>
              </w:rPr>
            </w:pPr>
            <w:r>
              <w:rPr>
                <w:rFonts w:ascii="Courier New" w:cs="Courier New" w:eastAsia="Courier New" w:hAnsi="Courier New"/>
                <w:sz w:val="15"/>
                <w:szCs w:val="15"/>
                <w:color w:val="auto"/>
                <w:w w:val="91"/>
              </w:rPr>
              <w:t>June 30</w:t>
            </w:r>
          </w:p>
        </w:tc>
        <w:tc>
          <w:tcPr>
            <w:tcW w:w="0" w:type="dxa"/>
            <w:vAlign w:val="bottom"/>
          </w:tcPr>
          <w:p>
            <w:pPr>
              <w:spacing w:after="0"/>
              <w:rPr>
                <w:sz w:val="1"/>
                <w:szCs w:val="1"/>
                <w:color w:val="auto"/>
              </w:rPr>
            </w:pPr>
          </w:p>
        </w:tc>
      </w:tr>
      <w:tr>
        <w:trPr>
          <w:trHeight w:val="168"/>
        </w:trPr>
        <w:tc>
          <w:tcPr>
            <w:tcW w:w="3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4"/>
              </w:rPr>
              <w:t>1996</w:t>
            </w:r>
          </w:p>
        </w:tc>
        <w:tc>
          <w:tcPr>
            <w:tcW w:w="130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1996</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June 30,</w:t>
            </w:r>
          </w:p>
        </w:tc>
        <w:tc>
          <w:tcPr>
            <w:tcW w:w="5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4"/>
              </w:rPr>
              <w:t>1995</w:t>
            </w: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1995</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1995</w:t>
            </w:r>
          </w:p>
        </w:tc>
        <w:tc>
          <w:tcPr>
            <w:tcW w:w="5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45"/>
        </w:trPr>
        <w:tc>
          <w:tcPr>
            <w:tcW w:w="368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w w:val="72"/>
              </w:rPr>
              <w:t>(in millions)</w:t>
            </w:r>
            <w:r>
              <w:rPr>
                <w:rFonts w:ascii="Courier New" w:cs="Courier New" w:eastAsia="Courier New" w:hAnsi="Courier New"/>
                <w:sz w:val="18"/>
                <w:szCs w:val="18"/>
                <w:color w:val="auto"/>
                <w:w w:val="72"/>
                <w:vertAlign w:val="superscript"/>
              </w:rPr>
              <w:t>----------</w:t>
            </w: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82"/>
        </w:trPr>
        <w:tc>
          <w:tcPr>
            <w:tcW w:w="32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2"/>
        </w:trPr>
        <w:tc>
          <w:tcPr>
            <w:tcW w:w="3240" w:type="dxa"/>
            <w:vAlign w:val="bottom"/>
          </w:tcPr>
          <w:p>
            <w:pPr>
              <w:spacing w:after="0"/>
              <w:rPr>
                <w:sz w:val="20"/>
                <w:szCs w:val="20"/>
                <w:color w:val="auto"/>
              </w:rPr>
            </w:pPr>
            <w:r>
              <w:rPr>
                <w:rFonts w:ascii="Courier New" w:cs="Courier New" w:eastAsia="Courier New" w:hAnsi="Courier New"/>
                <w:sz w:val="15"/>
                <w:szCs w:val="15"/>
                <w:color w:val="auto"/>
              </w:rPr>
              <w:t>Domestic Consumer:</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240" w:type="dxa"/>
            <w:vAlign w:val="bottom"/>
          </w:tcPr>
          <w:p>
            <w:pPr>
              <w:spacing w:after="0"/>
              <w:rPr>
                <w:sz w:val="20"/>
                <w:szCs w:val="20"/>
                <w:color w:val="auto"/>
              </w:rPr>
            </w:pPr>
            <w:r>
              <w:rPr>
                <w:rFonts w:ascii="Courier New" w:cs="Courier New" w:eastAsia="Courier New" w:hAnsi="Courier New"/>
                <w:sz w:val="15"/>
                <w:szCs w:val="15"/>
                <w:color w:val="auto"/>
              </w:rPr>
              <w:t>Residential Mortgage(a)</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6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7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220" w:type="dxa"/>
            <w:vAlign w:val="bottom"/>
          </w:tcPr>
          <w:p>
            <w:pPr>
              <w:spacing w:after="0"/>
              <w:rPr>
                <w:sz w:val="22"/>
                <w:szCs w:val="22"/>
                <w:color w:val="auto"/>
              </w:rPr>
            </w:pPr>
          </w:p>
        </w:tc>
        <w:tc>
          <w:tcPr>
            <w:tcW w:w="6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Credit Card</w:t>
            </w:r>
          </w:p>
        </w:tc>
        <w:tc>
          <w:tcPr>
            <w:tcW w:w="44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w:t>
            </w:r>
          </w:p>
        </w:tc>
        <w:tc>
          <w:tcPr>
            <w:tcW w:w="6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173</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310</w:t>
            </w:r>
          </w:p>
        </w:tc>
        <w:tc>
          <w:tcPr>
            <w:tcW w:w="78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331</w:t>
            </w:r>
          </w:p>
        </w:tc>
        <w:tc>
          <w:tcPr>
            <w:tcW w:w="4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221</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352</w:t>
            </w:r>
          </w:p>
        </w:tc>
        <w:tc>
          <w:tcPr>
            <w:tcW w:w="5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309</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Auto Financings</w:t>
            </w:r>
          </w:p>
        </w:tc>
        <w:tc>
          <w:tcPr>
            <w:tcW w:w="44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6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c>
          <w:tcPr>
            <w:tcW w:w="78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w:t>
            </w:r>
          </w:p>
        </w:tc>
        <w:tc>
          <w:tcPr>
            <w:tcW w:w="4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c>
          <w:tcPr>
            <w:tcW w:w="5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Consumer(b)</w:t>
            </w:r>
          </w:p>
        </w:tc>
        <w:tc>
          <w:tcPr>
            <w:tcW w:w="44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w:t>
            </w:r>
          </w:p>
        </w:tc>
        <w:tc>
          <w:tcPr>
            <w:tcW w:w="6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w:t>
            </w:r>
          </w:p>
        </w:tc>
        <w:tc>
          <w:tcPr>
            <w:tcW w:w="78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w:t>
            </w:r>
          </w:p>
        </w:tc>
        <w:tc>
          <w:tcPr>
            <w:tcW w:w="4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149</w:t>
            </w:r>
          </w:p>
        </w:tc>
        <w:tc>
          <w:tcPr>
            <w:tcW w:w="5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w:t>
            </w:r>
          </w:p>
        </w:tc>
        <w:tc>
          <w:tcPr>
            <w:tcW w:w="0" w:type="dxa"/>
            <w:vAlign w:val="bottom"/>
          </w:tcPr>
          <w:p>
            <w:pPr>
              <w:spacing w:after="0"/>
              <w:rPr>
                <w:sz w:val="1"/>
                <w:szCs w:val="1"/>
                <w:color w:val="auto"/>
              </w:rPr>
            </w:pPr>
          </w:p>
        </w:tc>
      </w:tr>
      <w:tr>
        <w:trPr>
          <w:trHeight w:val="168"/>
        </w:trPr>
        <w:tc>
          <w:tcPr>
            <w:tcW w:w="32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Domestic Consumer</w:t>
            </w:r>
          </w:p>
        </w:tc>
        <w:tc>
          <w:tcPr>
            <w:tcW w:w="440" w:type="dxa"/>
            <w:vAlign w:val="bottom"/>
          </w:tcPr>
          <w:p>
            <w:pPr>
              <w:spacing w:after="0"/>
              <w:rPr>
                <w:sz w:val="20"/>
                <w:szCs w:val="20"/>
                <w:color w:val="auto"/>
              </w:rPr>
            </w:pPr>
            <w:r>
              <w:rPr>
                <w:rFonts w:ascii="Courier New" w:cs="Courier New" w:eastAsia="Courier New" w:hAnsi="Courier New"/>
                <w:sz w:val="11"/>
                <w:szCs w:val="11"/>
                <w:color w:val="auto"/>
                <w:w w:val="70"/>
              </w:rPr>
              <w:t>---------</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192</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402</w:t>
            </w:r>
          </w:p>
        </w:tc>
        <w:tc>
          <w:tcPr>
            <w:tcW w:w="78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421</w:t>
            </w:r>
          </w:p>
        </w:tc>
        <w:tc>
          <w:tcPr>
            <w:tcW w:w="4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399</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528</w:t>
            </w:r>
          </w:p>
        </w:tc>
        <w:tc>
          <w:tcPr>
            <w:tcW w:w="5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458</w:t>
            </w:r>
          </w:p>
        </w:tc>
        <w:tc>
          <w:tcPr>
            <w:tcW w:w="0" w:type="dxa"/>
            <w:vAlign w:val="bottom"/>
          </w:tcPr>
          <w:p>
            <w:pPr>
              <w:spacing w:after="0"/>
              <w:rPr>
                <w:sz w:val="1"/>
                <w:szCs w:val="1"/>
                <w:color w:val="auto"/>
              </w:rPr>
            </w:pPr>
          </w:p>
        </w:tc>
      </w:tr>
      <w:tr>
        <w:trPr>
          <w:trHeight w:val="245"/>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rPr>
              <w:t>Domestic Commercial:</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2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46</w:t>
            </w:r>
          </w:p>
        </w:tc>
        <w:tc>
          <w:tcPr>
            <w:tcW w:w="600" w:type="dxa"/>
            <w:vAlign w:val="bottom"/>
          </w:tcPr>
          <w:p>
            <w:pPr>
              <w:spacing w:after="0"/>
              <w:rPr>
                <w:sz w:val="7"/>
                <w:szCs w:val="7"/>
                <w:color w:val="auto"/>
              </w:rPr>
            </w:pPr>
          </w:p>
        </w:tc>
        <w:tc>
          <w:tcPr>
            <w:tcW w:w="1320" w:type="dxa"/>
            <w:vAlign w:val="bottom"/>
            <w:gridSpan w:val="2"/>
            <w:vMerge w:val="restart"/>
          </w:tcPr>
          <w:p>
            <w:pPr>
              <w:jc w:val="right"/>
              <w:ind w:right="447"/>
              <w:spacing w:after="0"/>
              <w:rPr>
                <w:sz w:val="20"/>
                <w:szCs w:val="20"/>
                <w:color w:val="auto"/>
              </w:rPr>
            </w:pPr>
            <w:r>
              <w:rPr>
                <w:rFonts w:ascii="Courier New" w:cs="Courier New" w:eastAsia="Courier New" w:hAnsi="Courier New"/>
                <w:sz w:val="15"/>
                <w:szCs w:val="15"/>
                <w:color w:val="auto"/>
              </w:rPr>
              <w:t>(1)</w:t>
            </w:r>
          </w:p>
        </w:tc>
        <w:tc>
          <w:tcPr>
            <w:tcW w:w="120" w:type="dxa"/>
            <w:vAlign w:val="bottom"/>
          </w:tcPr>
          <w:p>
            <w:pPr>
              <w:spacing w:after="0"/>
              <w:rPr>
                <w:sz w:val="7"/>
                <w:szCs w:val="7"/>
                <w:color w:val="auto"/>
              </w:rPr>
            </w:pP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94</w:t>
            </w:r>
          </w:p>
        </w:tc>
        <w:tc>
          <w:tcPr>
            <w:tcW w:w="780" w:type="dxa"/>
            <w:vAlign w:val="bottom"/>
          </w:tcPr>
          <w:p>
            <w:pPr>
              <w:spacing w:after="0"/>
              <w:rPr>
                <w:sz w:val="7"/>
                <w:szCs w:val="7"/>
                <w:color w:val="auto"/>
              </w:rPr>
            </w:pPr>
          </w:p>
        </w:tc>
        <w:tc>
          <w:tcPr>
            <w:tcW w:w="5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22</w:t>
            </w:r>
          </w:p>
        </w:tc>
        <w:tc>
          <w:tcPr>
            <w:tcW w:w="48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35</w:t>
            </w: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38</w:t>
            </w:r>
          </w:p>
        </w:tc>
        <w:tc>
          <w:tcPr>
            <w:tcW w:w="520" w:type="dxa"/>
            <w:vAlign w:val="bottom"/>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49</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and Industrial</w:t>
            </w:r>
          </w:p>
        </w:tc>
        <w:tc>
          <w:tcPr>
            <w:tcW w:w="4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Real Estate(c)</w:t>
            </w:r>
          </w:p>
        </w:tc>
        <w:tc>
          <w:tcPr>
            <w:tcW w:w="44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c>
          <w:tcPr>
            <w:tcW w:w="6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c>
          <w:tcPr>
            <w:tcW w:w="78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w:t>
            </w:r>
          </w:p>
        </w:tc>
        <w:tc>
          <w:tcPr>
            <w:tcW w:w="4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w:t>
            </w:r>
          </w:p>
        </w:tc>
        <w:tc>
          <w:tcPr>
            <w:tcW w:w="5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Institutions</w:t>
            </w:r>
          </w:p>
        </w:tc>
        <w:tc>
          <w:tcPr>
            <w:tcW w:w="44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w:t>
            </w:r>
          </w:p>
        </w:tc>
        <w:tc>
          <w:tcPr>
            <w:tcW w:w="4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Domestic Commercial</w:t>
            </w:r>
          </w:p>
        </w:tc>
        <w:tc>
          <w:tcPr>
            <w:tcW w:w="440" w:type="dxa"/>
            <w:vAlign w:val="bottom"/>
          </w:tcPr>
          <w:p>
            <w:pPr>
              <w:spacing w:after="0"/>
              <w:rPr>
                <w:sz w:val="20"/>
                <w:szCs w:val="20"/>
                <w:color w:val="auto"/>
              </w:rPr>
            </w:pPr>
            <w:r>
              <w:rPr>
                <w:rFonts w:ascii="Courier New" w:cs="Courier New" w:eastAsia="Courier New" w:hAnsi="Courier New"/>
                <w:sz w:val="11"/>
                <w:szCs w:val="11"/>
                <w:color w:val="auto"/>
                <w:w w:val="70"/>
              </w:rPr>
              <w:t>---------</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76</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3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w:t>
            </w:r>
          </w:p>
        </w:tc>
        <w:tc>
          <w:tcPr>
            <w:tcW w:w="78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w:t>
            </w:r>
          </w:p>
        </w:tc>
        <w:tc>
          <w:tcPr>
            <w:tcW w:w="4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w:t>
            </w:r>
          </w:p>
        </w:tc>
        <w:tc>
          <w:tcPr>
            <w:tcW w:w="5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w:t>
            </w:r>
          </w:p>
        </w:tc>
        <w:tc>
          <w:tcPr>
            <w:tcW w:w="0" w:type="dxa"/>
            <w:vAlign w:val="bottom"/>
          </w:tcPr>
          <w:p>
            <w:pPr>
              <w:spacing w:after="0"/>
              <w:rPr>
                <w:sz w:val="1"/>
                <w:szCs w:val="1"/>
                <w:color w:val="auto"/>
              </w:rPr>
            </w:pPr>
          </w:p>
        </w:tc>
      </w:tr>
      <w:tr>
        <w:trPr>
          <w:trHeight w:val="168"/>
        </w:trPr>
        <w:tc>
          <w:tcPr>
            <w:tcW w:w="32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Domestic</w:t>
            </w:r>
          </w:p>
        </w:tc>
        <w:tc>
          <w:tcPr>
            <w:tcW w:w="440" w:type="dxa"/>
            <w:vAlign w:val="bottom"/>
          </w:tcPr>
          <w:p>
            <w:pPr>
              <w:spacing w:after="0"/>
              <w:rPr>
                <w:sz w:val="20"/>
                <w:szCs w:val="20"/>
                <w:color w:val="auto"/>
              </w:rPr>
            </w:pPr>
            <w:r>
              <w:rPr>
                <w:rFonts w:ascii="Courier New" w:cs="Courier New" w:eastAsia="Courier New" w:hAnsi="Courier New"/>
                <w:sz w:val="11"/>
                <w:szCs w:val="11"/>
                <w:color w:val="auto"/>
                <w:w w:val="70"/>
              </w:rPr>
              <w:t>---------</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268</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234</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522</w:t>
            </w:r>
          </w:p>
        </w:tc>
        <w:tc>
          <w:tcPr>
            <w:tcW w:w="78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452</w:t>
            </w:r>
          </w:p>
        </w:tc>
        <w:tc>
          <w:tcPr>
            <w:tcW w:w="4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470</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620</w:t>
            </w:r>
          </w:p>
        </w:tc>
        <w:tc>
          <w:tcPr>
            <w:tcW w:w="5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556</w:t>
            </w:r>
          </w:p>
        </w:tc>
        <w:tc>
          <w:tcPr>
            <w:tcW w:w="0" w:type="dxa"/>
            <w:vAlign w:val="bottom"/>
          </w:tcPr>
          <w:p>
            <w:pPr>
              <w:spacing w:after="0"/>
              <w:rPr>
                <w:sz w:val="1"/>
                <w:szCs w:val="1"/>
                <w:color w:val="auto"/>
              </w:rPr>
            </w:pPr>
          </w:p>
        </w:tc>
      </w:tr>
      <w:tr>
        <w:trPr>
          <w:trHeight w:val="168"/>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rPr>
              <w:t>Foreign, primarily Commercial</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(18)</w:t>
            </w:r>
          </w:p>
        </w:tc>
        <w:tc>
          <w:tcPr>
            <w:tcW w:w="13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(12)</w:t>
            </w:r>
          </w:p>
        </w:tc>
        <w:tc>
          <w:tcPr>
            <w:tcW w:w="120" w:type="dxa"/>
            <w:vAlign w:val="bottom"/>
          </w:tcPr>
          <w:p>
            <w:pPr>
              <w:spacing w:after="0"/>
              <w:rPr>
                <w:sz w:val="14"/>
                <w:szCs w:val="14"/>
                <w:color w:val="auto"/>
              </w:rPr>
            </w:pPr>
          </w:p>
        </w:tc>
        <w:tc>
          <w:tcPr>
            <w:tcW w:w="13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(27)</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w:t>
            </w:r>
          </w:p>
        </w:tc>
        <w:tc>
          <w:tcPr>
            <w:tcW w:w="4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w:t>
            </w:r>
          </w:p>
        </w:tc>
        <w:tc>
          <w:tcPr>
            <w:tcW w:w="5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167</w:t>
            </w:r>
          </w:p>
        </w:tc>
        <w:tc>
          <w:tcPr>
            <w:tcW w:w="0" w:type="dxa"/>
            <w:vAlign w:val="bottom"/>
          </w:tcPr>
          <w:p>
            <w:pPr>
              <w:spacing w:after="0"/>
              <w:rPr>
                <w:sz w:val="1"/>
                <w:szCs w:val="1"/>
                <w:color w:val="auto"/>
              </w:rPr>
            </w:pPr>
          </w:p>
        </w:tc>
      </w:tr>
      <w:tr>
        <w:trPr>
          <w:trHeight w:val="168"/>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rPr>
              <w:t>Total Loans</w:t>
            </w:r>
          </w:p>
        </w:tc>
        <w:tc>
          <w:tcPr>
            <w:tcW w:w="440" w:type="dxa"/>
            <w:vAlign w:val="bottom"/>
          </w:tcPr>
          <w:p>
            <w:pPr>
              <w:spacing w:after="0"/>
              <w:rPr>
                <w:sz w:val="20"/>
                <w:szCs w:val="20"/>
                <w:color w:val="auto"/>
              </w:rPr>
            </w:pPr>
            <w:r>
              <w:rPr>
                <w:rFonts w:ascii="Courier New" w:cs="Courier New" w:eastAsia="Courier New" w:hAnsi="Courier New"/>
                <w:sz w:val="11"/>
                <w:szCs w:val="11"/>
                <w:color w:val="auto"/>
                <w:w w:val="70"/>
              </w:rPr>
              <w:t>---------</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250</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495</w:t>
            </w:r>
          </w:p>
        </w:tc>
        <w:tc>
          <w:tcPr>
            <w:tcW w:w="78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429</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486</w:t>
            </w:r>
          </w:p>
        </w:tc>
        <w:tc>
          <w:tcPr>
            <w:tcW w:w="220" w:type="dxa"/>
            <w:vAlign w:val="bottom"/>
          </w:tcPr>
          <w:p>
            <w:pPr>
              <w:spacing w:after="0"/>
              <w:rPr>
                <w:sz w:val="14"/>
                <w:szCs w:val="14"/>
                <w:color w:val="auto"/>
              </w:rPr>
            </w:pPr>
          </w:p>
        </w:tc>
        <w:tc>
          <w:tcPr>
            <w:tcW w:w="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664</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723</w:t>
            </w:r>
          </w:p>
        </w:tc>
        <w:tc>
          <w:tcPr>
            <w:tcW w:w="0" w:type="dxa"/>
            <w:vAlign w:val="bottom"/>
          </w:tcPr>
          <w:p>
            <w:pPr>
              <w:spacing w:after="0"/>
              <w:rPr>
                <w:sz w:val="1"/>
                <w:szCs w:val="1"/>
                <w:color w:val="auto"/>
              </w:rPr>
            </w:pPr>
          </w:p>
        </w:tc>
      </w:tr>
      <w:tr>
        <w:trPr>
          <w:trHeight w:val="245"/>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rPr>
              <w:t>Charge Related to Conforming</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2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102</w:t>
            </w:r>
          </w:p>
        </w:tc>
        <w:tc>
          <w:tcPr>
            <w:tcW w:w="780" w:type="dxa"/>
            <w:vAlign w:val="bottom"/>
          </w:tcPr>
          <w:p>
            <w:pPr>
              <w:spacing w:after="0"/>
              <w:rPr>
                <w:sz w:val="7"/>
                <w:szCs w:val="7"/>
                <w:color w:val="auto"/>
              </w:rPr>
            </w:pPr>
          </w:p>
        </w:tc>
        <w:tc>
          <w:tcPr>
            <w:tcW w:w="5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Credit Card Charge-off Policies</w:t>
            </w:r>
          </w:p>
        </w:tc>
        <w:tc>
          <w:tcPr>
            <w:tcW w:w="4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rPr>
              <w:t>Total</w:t>
            </w:r>
          </w:p>
        </w:tc>
        <w:tc>
          <w:tcPr>
            <w:tcW w:w="440" w:type="dxa"/>
            <w:vAlign w:val="bottom"/>
            <w:vMerge w:val="restart"/>
          </w:tcPr>
          <w:p>
            <w:pPr>
              <w:spacing w:after="0"/>
              <w:rPr>
                <w:sz w:val="20"/>
                <w:szCs w:val="20"/>
                <w:color w:val="auto"/>
              </w:rPr>
            </w:pPr>
            <w:r>
              <w:rPr>
                <w:rFonts w:ascii="Courier New" w:cs="Courier New" w:eastAsia="Courier New" w:hAnsi="Courier New"/>
                <w:sz w:val="14"/>
                <w:szCs w:val="14"/>
                <w:color w:val="auto"/>
                <w:w w:val="77"/>
                <w:vertAlign w:val="subscript"/>
              </w:rPr>
              <w:t>$</w:t>
            </w:r>
            <w:r>
              <w:rPr>
                <w:rFonts w:ascii="Courier New" w:cs="Courier New" w:eastAsia="Courier New" w:hAnsi="Courier New"/>
                <w:sz w:val="9"/>
                <w:szCs w:val="9"/>
                <w:color w:val="auto"/>
                <w:w w:val="77"/>
              </w:rPr>
              <w:t>---------</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250</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w:t>
            </w:r>
          </w:p>
        </w:tc>
        <w:tc>
          <w:tcPr>
            <w:tcW w:w="6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597</w:t>
            </w:r>
          </w:p>
        </w:tc>
        <w:tc>
          <w:tcPr>
            <w:tcW w:w="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429</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440" w:hanging="430"/>
        <w:spacing w:after="0"/>
        <w:tabs>
          <w:tab w:leader="none" w:pos="4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1-4 family residential mortgages.</w:t>
      </w:r>
    </w:p>
    <w:p>
      <w:pPr>
        <w:spacing w:after="0" w:line="24" w:lineRule="exact"/>
        <w:rPr>
          <w:rFonts w:ascii="Courier New" w:cs="Courier New" w:eastAsia="Courier New" w:hAnsi="Courier New"/>
          <w:sz w:val="15"/>
          <w:szCs w:val="15"/>
          <w:color w:val="auto"/>
        </w:rPr>
      </w:pPr>
    </w:p>
    <w:p>
      <w:pPr>
        <w:jc w:val="both"/>
        <w:ind w:left="440" w:right="4460" w:hanging="430"/>
        <w:spacing w:after="0" w:line="237" w:lineRule="auto"/>
        <w:tabs>
          <w:tab w:leader="none" w:pos="4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installment loans (direct and indirect types of consumer finance) and student loans. There are essentially no credit losses in the student loan portfolio due to the existence of Federal and State government agency guarantees. Student loans which were past due 90 days and over and still accruing were approximately $104 million, $107 million, and $87 million at June 30, 1996, December 31, 1995 and June 30, 1995, respectively.</w:t>
      </w:r>
    </w:p>
    <w:p>
      <w:pPr>
        <w:spacing w:after="0" w:line="2" w:lineRule="exact"/>
        <w:rPr>
          <w:rFonts w:ascii="Courier New" w:cs="Courier New" w:eastAsia="Courier New" w:hAnsi="Courier New"/>
          <w:sz w:val="15"/>
          <w:szCs w:val="15"/>
          <w:color w:val="auto"/>
        </w:rPr>
      </w:pPr>
    </w:p>
    <w:p>
      <w:pPr>
        <w:ind w:left="440" w:right="4460" w:hanging="430"/>
        <w:spacing w:after="0" w:line="307" w:lineRule="auto"/>
        <w:tabs>
          <w:tab w:leader="none" w:pos="4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loans secured primarily by real property, other than loans secured by mortgages on 1-4 family residential properties.</w:t>
      </w:r>
    </w:p>
    <w:p>
      <w:pPr>
        <w:spacing w:after="0" w:line="21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1460"/>
          </w:cols>
          <w:pgMar w:left="220" w:top="932" w:right="219" w:bottom="368"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Domestic Consumer Portfolio</w:t>
      </w:r>
    </w:p>
    <w:p>
      <w:pPr>
        <w:spacing w:after="0" w:line="24" w:lineRule="exact"/>
        <w:rPr>
          <w:sz w:val="20"/>
          <w:szCs w:val="20"/>
          <w:color w:val="auto"/>
        </w:rPr>
      </w:pPr>
    </w:p>
    <w:p>
      <w:pPr>
        <w:jc w:val="both"/>
        <w:ind w:right="540"/>
        <w:spacing w:after="0" w:line="251" w:lineRule="auto"/>
        <w:rPr>
          <w:sz w:val="20"/>
          <w:szCs w:val="20"/>
          <w:color w:val="auto"/>
        </w:rPr>
      </w:pPr>
      <w:r>
        <w:rPr>
          <w:rFonts w:ascii="Courier New" w:cs="Courier New" w:eastAsia="Courier New" w:hAnsi="Courier New"/>
          <w:sz w:val="15"/>
          <w:szCs w:val="15"/>
          <w:color w:val="auto"/>
        </w:rPr>
        <w:t>The domestic consumer loan portfolio consists of one-to-four family residential mortgages, credit cards, auto financings and other consumer loans. The domestic consumer loan portfolio totaled $68.8 billion at June 30, 1996, a decrease of $0.6 billion from the 1995 year-end but an increase of $1.4 billion from $67.4 billion at June 30, 1995. Domestic consumer loans were 45% of the total loan portfolio at June 30, 1996.</w:t>
      </w:r>
    </w:p>
    <w:p>
      <w:pPr>
        <w:spacing w:after="0" w:line="85" w:lineRule="exact"/>
        <w:rPr>
          <w:sz w:val="20"/>
          <w:szCs w:val="20"/>
          <w:color w:val="auto"/>
        </w:rPr>
      </w:pPr>
    </w:p>
    <w:p>
      <w:pPr>
        <w:jc w:val="both"/>
        <w:ind w:right="540"/>
        <w:spacing w:after="0" w:line="273" w:lineRule="auto"/>
        <w:rPr>
          <w:sz w:val="20"/>
          <w:szCs w:val="20"/>
          <w:color w:val="auto"/>
        </w:rPr>
      </w:pPr>
      <w:r>
        <w:rPr>
          <w:rFonts w:ascii="Courier New" w:cs="Courier New" w:eastAsia="Courier New" w:hAnsi="Courier New"/>
          <w:sz w:val="15"/>
          <w:szCs w:val="15"/>
          <w:color w:val="auto"/>
        </w:rPr>
        <w:t>Residential Mortgage Loans: Residential mortgage loans at June 30, 1996 were $35.4 billion, an increase of $1.3 billion from the 1995 year-end and an increase of $3.2 billion from June 30, 1995, primarily reflecting an increase in adjustable-rate loan outstandings.</w:t>
      </w:r>
    </w:p>
    <w:p>
      <w:pPr>
        <w:spacing w:after="0" w:line="68" w:lineRule="exact"/>
        <w:rPr>
          <w:sz w:val="20"/>
          <w:szCs w:val="20"/>
          <w:color w:val="auto"/>
        </w:rPr>
      </w:pPr>
    </w:p>
    <w:p>
      <w:pPr>
        <w:jc w:val="both"/>
        <w:ind w:right="540"/>
        <w:spacing w:after="0" w:line="267" w:lineRule="auto"/>
        <w:rPr>
          <w:sz w:val="20"/>
          <w:szCs w:val="20"/>
          <w:color w:val="auto"/>
        </w:rPr>
      </w:pPr>
      <w:r>
        <w:rPr>
          <w:rFonts w:ascii="Courier New" w:cs="Courier New" w:eastAsia="Courier New" w:hAnsi="Courier New"/>
          <w:sz w:val="14"/>
          <w:szCs w:val="14"/>
          <w:color w:val="auto"/>
        </w:rPr>
        <w:t>Total nonperforming residential mortgage loans at June 30, 1996 were $241 million, compared with $238 million at December 31, 1995 and $224 million at June 30, 1995. At June 30, 1996, nonperforming domestic residential mortgage loans as a percentage of the domestic residential mortgage portfolio was 0.68%, compared with 0.70% at both the 1995 year-end and at June 30, 1995. Total net charge-offs of residential mortgage loans were $7 million in the second quarter of 1996, a decrease of $12 million from the 1995 comparable period. For the first six months of 1996, such total net charge-offs were $15 million, a 52% decline from $31 million for the first six months of 1995. For the first six months, the percentage of net charge-offs to average residential mortgage loan outstandings was 0.09% in 1996, down from 0.21% in 1995.</w:t>
      </w:r>
    </w:p>
    <w:p>
      <w:pPr>
        <w:spacing w:after="0" w:line="78" w:lineRule="exact"/>
        <w:rPr>
          <w:sz w:val="20"/>
          <w:szCs w:val="20"/>
          <w:color w:val="auto"/>
        </w:rPr>
      </w:pPr>
    </w:p>
    <w:p>
      <w:pPr>
        <w:jc w:val="both"/>
        <w:ind w:right="540"/>
        <w:spacing w:after="0" w:line="258" w:lineRule="auto"/>
        <w:rPr>
          <w:sz w:val="20"/>
          <w:szCs w:val="20"/>
          <w:color w:val="auto"/>
        </w:rPr>
      </w:pPr>
      <w:r>
        <w:rPr>
          <w:rFonts w:ascii="Courier New" w:cs="Courier New" w:eastAsia="Courier New" w:hAnsi="Courier New"/>
          <w:sz w:val="15"/>
          <w:szCs w:val="15"/>
          <w:color w:val="auto"/>
        </w:rPr>
        <w:t>The Corporation's residential mortgage servicing portfolio amounted to $133.3 billion at June 30, 1996, compared with $125.5 billion at June 30, 1995. A discussion of the Corporation's mortgage servicing and loan origination activities is included on page 34 of the Corporation's 1995 Annual Report. The following table presents the residential mortgage servicing portfolio activity for the periods indicated.</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Second Quarter</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(in billions)</w:t>
            </w:r>
          </w:p>
        </w:tc>
        <w:tc>
          <w:tcPr>
            <w:tcW w:w="386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680" w:type="dxa"/>
            <w:vAlign w:val="bottom"/>
            <w:vMerge w:val="continue"/>
          </w:tcPr>
          <w:p>
            <w:pPr>
              <w:spacing w:after="0"/>
              <w:rPr>
                <w:sz w:val="14"/>
                <w:szCs w:val="14"/>
                <w:color w:val="auto"/>
              </w:rPr>
            </w:pPr>
          </w:p>
        </w:tc>
        <w:tc>
          <w:tcPr>
            <w:tcW w:w="1500" w:type="dxa"/>
            <w:vAlign w:val="bottom"/>
          </w:tcPr>
          <w:p>
            <w:pPr>
              <w:spacing w:after="0"/>
              <w:rPr>
                <w:sz w:val="14"/>
                <w:szCs w:val="14"/>
                <w:color w:val="auto"/>
              </w:rPr>
            </w:pPr>
          </w:p>
        </w:tc>
        <w:tc>
          <w:tcPr>
            <w:tcW w:w="9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1996</w:t>
            </w:r>
          </w:p>
        </w:tc>
        <w:tc>
          <w:tcPr>
            <w:tcW w:w="80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45"/>
        </w:trPr>
        <w:tc>
          <w:tcPr>
            <w:tcW w:w="36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9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21"/>
                <w:szCs w:val="21"/>
                <w:color w:val="auto"/>
              </w:rPr>
            </w:pP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680" w:type="dxa"/>
            <w:vAlign w:val="bottom"/>
          </w:tcPr>
          <w:p>
            <w:pPr>
              <w:spacing w:after="0"/>
              <w:rPr>
                <w:sz w:val="20"/>
                <w:szCs w:val="20"/>
                <w:color w:val="auto"/>
              </w:rPr>
            </w:pPr>
            <w:r>
              <w:rPr>
                <w:rFonts w:ascii="Courier New" w:cs="Courier New" w:eastAsia="Courier New" w:hAnsi="Courier New"/>
                <w:sz w:val="15"/>
                <w:szCs w:val="15"/>
                <w:color w:val="auto"/>
              </w:rPr>
              <w:t>Balance at Beginning of Period</w:t>
            </w:r>
          </w:p>
        </w:tc>
        <w:tc>
          <w:tcPr>
            <w:tcW w:w="1500" w:type="dxa"/>
            <w:vAlign w:val="bottom"/>
          </w:tcPr>
          <w:p>
            <w:pPr>
              <w:ind w:left="10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133.1</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119.7</w:t>
            </w:r>
          </w:p>
        </w:tc>
        <w:tc>
          <w:tcPr>
            <w:tcW w:w="0" w:type="dxa"/>
            <w:vAlign w:val="bottom"/>
          </w:tcPr>
          <w:p>
            <w:pPr>
              <w:spacing w:after="0"/>
              <w:rPr>
                <w:sz w:val="1"/>
                <w:szCs w:val="1"/>
                <w:color w:val="auto"/>
              </w:rPr>
            </w:pP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Originations</w:t>
            </w:r>
          </w:p>
        </w:tc>
        <w:tc>
          <w:tcPr>
            <w:tcW w:w="1500" w:type="dxa"/>
            <w:vAlign w:val="bottom"/>
          </w:tcPr>
          <w:p>
            <w:pPr>
              <w:spacing w:after="0"/>
              <w:rPr>
                <w:sz w:val="14"/>
                <w:szCs w:val="14"/>
                <w:color w:val="auto"/>
              </w:rPr>
            </w:pPr>
          </w:p>
        </w:tc>
        <w:tc>
          <w:tcPr>
            <w:tcW w:w="9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8.1</w:t>
            </w:r>
          </w:p>
        </w:tc>
        <w:tc>
          <w:tcPr>
            <w:tcW w:w="8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w:t>
            </w:r>
          </w:p>
        </w:tc>
        <w:tc>
          <w:tcPr>
            <w:tcW w:w="0" w:type="dxa"/>
            <w:vAlign w:val="bottom"/>
          </w:tcPr>
          <w:p>
            <w:pPr>
              <w:spacing w:after="0"/>
              <w:rPr>
                <w:sz w:val="1"/>
                <w:szCs w:val="1"/>
                <w:color w:val="auto"/>
              </w:rPr>
            </w:pP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Acquisitions</w:t>
            </w:r>
          </w:p>
        </w:tc>
        <w:tc>
          <w:tcPr>
            <w:tcW w:w="1500" w:type="dxa"/>
            <w:vAlign w:val="bottom"/>
          </w:tcPr>
          <w:p>
            <w:pPr>
              <w:spacing w:after="0"/>
              <w:rPr>
                <w:sz w:val="14"/>
                <w:szCs w:val="14"/>
                <w:color w:val="auto"/>
              </w:rPr>
            </w:pPr>
          </w:p>
        </w:tc>
        <w:tc>
          <w:tcPr>
            <w:tcW w:w="9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w:t>
            </w:r>
          </w:p>
        </w:tc>
        <w:tc>
          <w:tcPr>
            <w:tcW w:w="0" w:type="dxa"/>
            <w:vAlign w:val="bottom"/>
          </w:tcPr>
          <w:p>
            <w:pPr>
              <w:spacing w:after="0"/>
              <w:rPr>
                <w:sz w:val="1"/>
                <w:szCs w:val="1"/>
                <w:color w:val="auto"/>
              </w:rPr>
            </w:pP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Repayments and Sales</w:t>
            </w:r>
          </w:p>
        </w:tc>
        <w:tc>
          <w:tcPr>
            <w:tcW w:w="1500" w:type="dxa"/>
            <w:vAlign w:val="bottom"/>
          </w:tcPr>
          <w:p>
            <w:pPr>
              <w:spacing w:after="0"/>
              <w:rPr>
                <w:sz w:val="14"/>
                <w:szCs w:val="14"/>
                <w:color w:val="auto"/>
              </w:rPr>
            </w:pP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(7.9)</w:t>
            </w:r>
          </w:p>
        </w:tc>
        <w:tc>
          <w:tcPr>
            <w:tcW w:w="8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c>
          <w:tcPr>
            <w:tcW w:w="0" w:type="dxa"/>
            <w:vAlign w:val="bottom"/>
          </w:tcPr>
          <w:p>
            <w:pPr>
              <w:spacing w:after="0"/>
              <w:rPr>
                <w:sz w:val="1"/>
                <w:szCs w:val="1"/>
                <w:color w:val="auto"/>
              </w:rPr>
            </w:pPr>
          </w:p>
        </w:tc>
      </w:tr>
      <w:tr>
        <w:trPr>
          <w:trHeight w:val="168"/>
        </w:trPr>
        <w:tc>
          <w:tcPr>
            <w:tcW w:w="368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June 30,</w:t>
            </w:r>
          </w:p>
        </w:tc>
        <w:tc>
          <w:tcPr>
            <w:tcW w:w="1500" w:type="dxa"/>
            <w:vAlign w:val="bottom"/>
            <w:vMerge w:val="restart"/>
          </w:tcPr>
          <w:p>
            <w:pPr>
              <w:ind w:left="1060"/>
              <w:spacing w:after="0"/>
              <w:rPr>
                <w:sz w:val="20"/>
                <w:szCs w:val="20"/>
                <w:color w:val="auto"/>
              </w:rPr>
            </w:pPr>
            <w:r>
              <w:rPr>
                <w:rFonts w:ascii="Courier New" w:cs="Courier New" w:eastAsia="Courier New" w:hAnsi="Courier New"/>
                <w:sz w:val="14"/>
                <w:szCs w:val="14"/>
                <w:color w:val="auto"/>
                <w:w w:val="70"/>
                <w:vertAlign w:val="subscript"/>
              </w:rPr>
              <w:t>$</w:t>
            </w:r>
            <w:r>
              <w:rPr>
                <w:rFonts w:ascii="Courier New" w:cs="Courier New" w:eastAsia="Courier New" w:hAnsi="Courier New"/>
                <w:sz w:val="9"/>
                <w:szCs w:val="9"/>
                <w:color w:val="auto"/>
                <w:w w:val="70"/>
              </w:rPr>
              <w:t>----------</w:t>
            </w:r>
          </w:p>
        </w:tc>
        <w:tc>
          <w:tcPr>
            <w:tcW w:w="90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w w:val="88"/>
              </w:rPr>
              <w:t>133.3</w:t>
            </w: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68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125.5</w:t>
            </w:r>
          </w:p>
        </w:tc>
        <w:tc>
          <w:tcPr>
            <w:tcW w:w="0" w:type="dxa"/>
            <w:vAlign w:val="bottom"/>
          </w:tcPr>
          <w:p>
            <w:pPr>
              <w:spacing w:after="0"/>
              <w:rPr>
                <w:sz w:val="1"/>
                <w:szCs w:val="1"/>
                <w:color w:val="auto"/>
              </w:rPr>
            </w:pPr>
          </w:p>
        </w:tc>
      </w:tr>
      <w:tr>
        <w:trPr>
          <w:trHeight w:val="245"/>
        </w:trPr>
        <w:tc>
          <w:tcPr>
            <w:tcW w:w="3680" w:type="dxa"/>
            <w:vAlign w:val="bottom"/>
          </w:tcPr>
          <w:p>
            <w:pPr>
              <w:spacing w:after="0"/>
              <w:rPr>
                <w:sz w:val="21"/>
                <w:szCs w:val="21"/>
                <w:color w:val="auto"/>
              </w:rPr>
            </w:pPr>
          </w:p>
        </w:tc>
        <w:tc>
          <w:tcPr>
            <w:tcW w:w="2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540"/>
        <w:spacing w:after="0" w:line="249" w:lineRule="auto"/>
        <w:rPr>
          <w:sz w:val="20"/>
          <w:szCs w:val="20"/>
          <w:color w:val="auto"/>
        </w:rPr>
      </w:pPr>
      <w:r>
        <w:rPr>
          <w:rFonts w:ascii="Courier New" w:cs="Courier New" w:eastAsia="Courier New" w:hAnsi="Courier New"/>
          <w:sz w:val="15"/>
          <w:szCs w:val="15"/>
          <w:color w:val="auto"/>
        </w:rPr>
        <w:t>Mortgage servicing rights (included in other assets) amounted to $1,207 million at June 30, 1996, compared with $1,122 million at June 30, 1995, reflecting the corresponding increase in the Corporation's residential mortgage servicing portfolio and the aforementioned adoption of SFAS 122. The Corporation uses derivative contracts (interest rate swaps and purchased option contracts) to manage the risk associated with its mortgage servicing portfolio. At June 30, 1996, the carrying value of such derivative contracts was $30 million, and gross unrecognized gains and losses were $10 million and $84 million, respectively, resulting in an estimated negative fair value of $44 million.</w:t>
      </w:r>
    </w:p>
    <w:p>
      <w:pPr>
        <w:spacing w:after="0" w:line="87" w:lineRule="exact"/>
        <w:rPr>
          <w:sz w:val="20"/>
          <w:szCs w:val="20"/>
          <w:color w:val="auto"/>
        </w:rPr>
      </w:pPr>
    </w:p>
    <w:p>
      <w:pPr>
        <w:jc w:val="both"/>
        <w:ind w:right="540"/>
        <w:spacing w:after="0" w:line="249" w:lineRule="auto"/>
        <w:rPr>
          <w:sz w:val="20"/>
          <w:szCs w:val="20"/>
          <w:color w:val="auto"/>
        </w:rPr>
      </w:pPr>
      <w:r>
        <w:rPr>
          <w:rFonts w:ascii="Courier New" w:cs="Courier New" w:eastAsia="Courier New" w:hAnsi="Courier New"/>
          <w:sz w:val="15"/>
          <w:szCs w:val="15"/>
          <w:color w:val="auto"/>
        </w:rPr>
        <w:t>Credit Card Loans: The Corporation evaluates its credit card exposure based on its "managed receivables" which include credit card receivables on the balance sheet as well as credit card receivables which have been securitized. During the 1996 second quarter, the Corporation securitized $2.9 billion of credit card receivables, compared with $1.5 billion in the 1995 second quarter. During the first six months of 1996, the Corporation securitized $5.8 billion of credit card receivables, compared with $2.5 billion in the same 1995 period. For the second quarter of 1996, average managed receivables were $23.3 billion, compared with $20.3 billion in the 1995 second quarter, reflecting the continued growth in credit card outstandings.</w:t>
      </w:r>
    </w:p>
    <w:p>
      <w:pPr>
        <w:spacing w:after="0" w:line="8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Six Months</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2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1996</w:t>
            </w:r>
          </w:p>
        </w:tc>
        <w:tc>
          <w:tcPr>
            <w:tcW w:w="100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w:t>
            </w:r>
          </w:p>
        </w:tc>
        <w:tc>
          <w:tcPr>
            <w:tcW w:w="1000" w:type="dxa"/>
            <w:vAlign w:val="bottom"/>
          </w:tcPr>
          <w:p>
            <w:pPr>
              <w:spacing w:after="0"/>
              <w:rPr>
                <w:sz w:val="21"/>
                <w:szCs w:val="21"/>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132.1</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118.3</w:t>
            </w: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w:t>
            </w:r>
          </w:p>
        </w:tc>
        <w:tc>
          <w:tcPr>
            <w:tcW w:w="10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w:t>
            </w: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w:t>
            </w:r>
          </w:p>
        </w:tc>
        <w:tc>
          <w:tcPr>
            <w:tcW w:w="10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w:t>
            </w: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(15.5)</w:t>
            </w:r>
          </w:p>
        </w:tc>
        <w:tc>
          <w:tcPr>
            <w:tcW w:w="10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w:t>
            </w:r>
          </w:p>
        </w:tc>
        <w:tc>
          <w:tcPr>
            <w:tcW w:w="0" w:type="dxa"/>
            <w:vAlign w:val="bottom"/>
          </w:tcPr>
          <w:p>
            <w:pPr>
              <w:spacing w:after="0"/>
              <w:rPr>
                <w:sz w:val="1"/>
                <w:szCs w:val="1"/>
                <w:color w:val="auto"/>
              </w:rPr>
            </w:pPr>
          </w:p>
        </w:tc>
      </w:tr>
      <w:tr>
        <w:trPr>
          <w:trHeight w:val="168"/>
        </w:trPr>
        <w:tc>
          <w:tcPr>
            <w:tcW w:w="440" w:type="dxa"/>
            <w:vAlign w:val="bottom"/>
            <w:vMerge w:val="restart"/>
          </w:tcPr>
          <w:p>
            <w:pPr>
              <w:ind w:left="100"/>
              <w:spacing w:after="0"/>
              <w:rPr>
                <w:sz w:val="20"/>
                <w:szCs w:val="20"/>
                <w:color w:val="auto"/>
              </w:rPr>
            </w:pPr>
            <w:r>
              <w:rPr>
                <w:rFonts w:ascii="Courier New" w:cs="Courier New" w:eastAsia="Courier New" w:hAnsi="Courier New"/>
                <w:sz w:val="8"/>
                <w:szCs w:val="8"/>
                <w:color w:val="auto"/>
                <w:w w:val="77"/>
                <w:vertAlign w:val="subscript"/>
              </w:rPr>
              <w:t>$</w:t>
            </w:r>
            <w:r>
              <w:rPr>
                <w:rFonts w:ascii="Courier New" w:cs="Courier New" w:eastAsia="Courier New" w:hAnsi="Courier New"/>
                <w:sz w:val="7"/>
                <w:szCs w:val="7"/>
                <w:color w:val="auto"/>
                <w:w w:val="77"/>
              </w:rPr>
              <w:t>---------</w:t>
            </w:r>
          </w:p>
        </w:tc>
        <w:tc>
          <w:tcPr>
            <w:tcW w:w="6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3"/>
              </w:rPr>
              <w:t>133.3</w:t>
            </w:r>
          </w:p>
        </w:tc>
        <w:tc>
          <w:tcPr>
            <w:tcW w:w="16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125.5</w:t>
            </w:r>
          </w:p>
        </w:tc>
        <w:tc>
          <w:tcPr>
            <w:tcW w:w="0" w:type="dxa"/>
            <w:vAlign w:val="bottom"/>
          </w:tcPr>
          <w:p>
            <w:pPr>
              <w:spacing w:after="0"/>
              <w:rPr>
                <w:sz w:val="1"/>
                <w:szCs w:val="1"/>
                <w:color w:val="auto"/>
              </w:rPr>
            </w:pPr>
          </w:p>
        </w:tc>
      </w:tr>
      <w:tr>
        <w:trPr>
          <w:trHeight w:val="245"/>
        </w:trPr>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2">
            <w:col w:w="7540" w:space="600"/>
            <w:col w:w="2720"/>
          </w:cols>
          <w:pgMar w:left="220" w:top="598" w:right="819" w:bottom="1440" w:gutter="0" w:footer="0" w:header="0"/>
        </w:sectPr>
      </w:pPr>
    </w:p>
    <w:bookmarkStart w:id="33" w:name="page34"/>
    <w:bookmarkEnd w:id="33"/>
    <w:p>
      <w:pPr>
        <w:jc w:val="both"/>
        <w:ind w:right="4460"/>
        <w:spacing w:after="0" w:line="273" w:lineRule="auto"/>
        <w:rPr>
          <w:sz w:val="20"/>
          <w:szCs w:val="20"/>
          <w:color w:val="auto"/>
        </w:rPr>
      </w:pPr>
      <w:r>
        <w:rPr>
          <w:rFonts w:ascii="Courier New" w:cs="Courier New" w:eastAsia="Courier New" w:hAnsi="Courier New"/>
          <w:sz w:val="15"/>
          <w:szCs w:val="15"/>
          <w:color w:val="auto"/>
        </w:rPr>
        <w:t>The following table presents the Corporation's average managed credit card receivables, the amount of these receivables past due 90 days and over and accruing, net charge-offs and related ratios for the managed credit card portfolio for the periods indicated.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20" w:type="dxa"/>
            <w:vAlign w:val="bottom"/>
            <w:gridSpan w:val="3"/>
          </w:tcPr>
          <w:p>
            <w:pPr>
              <w:jc w:val="right"/>
              <w:ind w:right="1027"/>
              <w:spacing w:after="0"/>
              <w:rPr>
                <w:sz w:val="20"/>
                <w:szCs w:val="20"/>
                <w:color w:val="auto"/>
              </w:rPr>
            </w:pPr>
            <w:r>
              <w:rPr>
                <w:rFonts w:ascii="Courier New" w:cs="Courier New" w:eastAsia="Courier New" w:hAnsi="Courier New"/>
                <w:sz w:val="15"/>
                <w:szCs w:val="15"/>
                <w:color w:val="auto"/>
              </w:rPr>
              <w:t>As of or For The</w:t>
            </w:r>
          </w:p>
        </w:tc>
        <w:tc>
          <w:tcPr>
            <w:tcW w:w="700" w:type="dxa"/>
            <w:vAlign w:val="bottom"/>
          </w:tcPr>
          <w:p>
            <w:pPr>
              <w:spacing w:after="0"/>
              <w:rPr>
                <w:sz w:val="14"/>
                <w:szCs w:val="14"/>
                <w:color w:val="auto"/>
              </w:rPr>
            </w:pPr>
          </w:p>
        </w:tc>
        <w:tc>
          <w:tcPr>
            <w:tcW w:w="2220" w:type="dxa"/>
            <w:vAlign w:val="bottom"/>
            <w:gridSpan w:val="4"/>
          </w:tcPr>
          <w:p>
            <w:pPr>
              <w:jc w:val="right"/>
              <w:ind w:right="447"/>
              <w:spacing w:after="0"/>
              <w:rPr>
                <w:sz w:val="20"/>
                <w:szCs w:val="20"/>
                <w:color w:val="auto"/>
              </w:rPr>
            </w:pPr>
            <w:r>
              <w:rPr>
                <w:rFonts w:ascii="Courier New" w:cs="Courier New" w:eastAsia="Courier New" w:hAnsi="Courier New"/>
                <w:sz w:val="15"/>
                <w:szCs w:val="15"/>
                <w:color w:val="auto"/>
              </w:rPr>
              <w:t>As of or For The</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20" w:type="dxa"/>
            <w:vAlign w:val="bottom"/>
            <w:gridSpan w:val="3"/>
          </w:tcPr>
          <w:p>
            <w:pPr>
              <w:jc w:val="right"/>
              <w:ind w:right="927"/>
              <w:spacing w:after="0" w:line="168" w:lineRule="exact"/>
              <w:rPr>
                <w:sz w:val="20"/>
                <w:szCs w:val="20"/>
                <w:color w:val="auto"/>
              </w:rPr>
            </w:pPr>
            <w:r>
              <w:rPr>
                <w:rFonts w:ascii="Courier New" w:cs="Courier New" w:eastAsia="Courier New" w:hAnsi="Courier New"/>
                <w:sz w:val="15"/>
                <w:szCs w:val="15"/>
                <w:color w:val="auto"/>
              </w:rPr>
              <w:t>Three Months Ended</w:t>
            </w:r>
          </w:p>
        </w:tc>
        <w:tc>
          <w:tcPr>
            <w:tcW w:w="7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Six</w:t>
            </w:r>
          </w:p>
        </w:tc>
        <w:tc>
          <w:tcPr>
            <w:tcW w:w="1560" w:type="dxa"/>
            <w:vAlign w:val="bottom"/>
            <w:gridSpan w:val="3"/>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Months Ended</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June 30,</w:t>
            </w: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June 30,</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40" w:type="dxa"/>
            <w:vAlign w:val="bottom"/>
            <w:vMerge w:val="restart"/>
          </w:tcPr>
          <w:p>
            <w:pPr>
              <w:spacing w:after="0"/>
              <w:rPr>
                <w:sz w:val="20"/>
                <w:szCs w:val="20"/>
                <w:color w:val="auto"/>
              </w:rPr>
            </w:pPr>
            <w:r>
              <w:rPr>
                <w:rFonts w:ascii="Courier New" w:cs="Courier New" w:eastAsia="Courier New" w:hAnsi="Courier New"/>
                <w:sz w:val="15"/>
                <w:szCs w:val="15"/>
                <w:color w:val="auto"/>
              </w:rPr>
              <w:t>(in millions)</w:t>
            </w:r>
          </w:p>
        </w:tc>
        <w:tc>
          <w:tcPr>
            <w:tcW w:w="480" w:type="dxa"/>
            <w:vAlign w:val="bottom"/>
          </w:tcPr>
          <w:p>
            <w:pPr>
              <w:spacing w:after="0"/>
              <w:rPr>
                <w:sz w:val="14"/>
                <w:szCs w:val="14"/>
                <w:color w:val="auto"/>
              </w:rPr>
            </w:pPr>
          </w:p>
        </w:tc>
        <w:tc>
          <w:tcPr>
            <w:tcW w:w="3020" w:type="dxa"/>
            <w:vAlign w:val="bottom"/>
            <w:gridSpan w:val="3"/>
          </w:tcPr>
          <w:p>
            <w:pPr>
              <w:jc w:val="right"/>
              <w:ind w:right="587"/>
              <w:spacing w:after="0" w:line="168" w:lineRule="exact"/>
              <w:rPr>
                <w:sz w:val="20"/>
                <w:szCs w:val="20"/>
                <w:color w:val="auto"/>
              </w:rPr>
            </w:pPr>
            <w:r>
              <w:rPr>
                <w:rFonts w:ascii="Courier New" w:cs="Courier New" w:eastAsia="Courier New" w:hAnsi="Courier New"/>
                <w:sz w:val="15"/>
                <w:szCs w:val="15"/>
                <w:color w:val="auto"/>
                <w:w w:val="96"/>
              </w:rPr>
              <w:t>---------------------------</w:t>
            </w:r>
          </w:p>
        </w:tc>
        <w:tc>
          <w:tcPr>
            <w:tcW w:w="292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0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c>
          <w:tcPr>
            <w:tcW w:w="380" w:type="dxa"/>
            <w:vAlign w:val="bottom"/>
          </w:tcPr>
          <w:p>
            <w:pPr>
              <w:spacing w:after="0"/>
              <w:rPr>
                <w:sz w:val="14"/>
                <w:szCs w:val="14"/>
                <w:color w:val="auto"/>
              </w:rPr>
            </w:pPr>
          </w:p>
        </w:tc>
        <w:tc>
          <w:tcPr>
            <w:tcW w:w="13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1995</w:t>
            </w:r>
          </w:p>
        </w:tc>
        <w:tc>
          <w:tcPr>
            <w:tcW w:w="7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1996</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45"/>
        </w:trPr>
        <w:tc>
          <w:tcPr>
            <w:tcW w:w="5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1"/>
                <w:szCs w:val="21"/>
                <w:color w:val="auto"/>
              </w:rPr>
            </w:pPr>
          </w:p>
        </w:tc>
        <w:tc>
          <w:tcPr>
            <w:tcW w:w="1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21"/>
                <w:szCs w:val="21"/>
                <w:color w:val="auto"/>
              </w:rPr>
            </w:pP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27"/>
        </w:trPr>
        <w:tc>
          <w:tcPr>
            <w:tcW w:w="5040" w:type="dxa"/>
            <w:vAlign w:val="bottom"/>
          </w:tcPr>
          <w:p>
            <w:pPr>
              <w:spacing w:after="0"/>
              <w:rPr>
                <w:sz w:val="20"/>
                <w:szCs w:val="20"/>
                <w:color w:val="auto"/>
              </w:rPr>
            </w:pPr>
            <w:r>
              <w:rPr>
                <w:rFonts w:ascii="Courier New" w:cs="Courier New" w:eastAsia="Courier New" w:hAnsi="Courier New"/>
                <w:sz w:val="15"/>
                <w:szCs w:val="15"/>
                <w:color w:val="auto"/>
              </w:rPr>
              <w:t>Average Managed Credit Card Receivables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23,348</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20,255</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23,296</w:t>
            </w:r>
          </w:p>
        </w:tc>
        <w:tc>
          <w:tcPr>
            <w:tcW w:w="340" w:type="dxa"/>
            <w:vAlign w:val="bottom"/>
          </w:tcPr>
          <w:p>
            <w:pPr>
              <w:spacing w:after="0"/>
              <w:rPr>
                <w:sz w:val="24"/>
                <w:szCs w:val="24"/>
                <w:color w:val="auto"/>
              </w:rPr>
            </w:pP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19,768</w:t>
            </w:r>
          </w:p>
        </w:tc>
        <w:tc>
          <w:tcPr>
            <w:tcW w:w="0" w:type="dxa"/>
            <w:vAlign w:val="bottom"/>
          </w:tcPr>
          <w:p>
            <w:pPr>
              <w:spacing w:after="0"/>
              <w:rPr>
                <w:sz w:val="1"/>
                <w:szCs w:val="1"/>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Past Due 90 Days &amp; Over and Accruing</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461</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390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461</w:t>
            </w:r>
          </w:p>
        </w:tc>
        <w:tc>
          <w:tcPr>
            <w:tcW w:w="340" w:type="dxa"/>
            <w:vAlign w:val="bottom"/>
          </w:tcPr>
          <w:p>
            <w:pPr>
              <w:spacing w:after="0"/>
              <w:rPr>
                <w:sz w:val="14"/>
                <w:szCs w:val="14"/>
                <w:color w:val="auto"/>
              </w:rPr>
            </w:pP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390</w:t>
            </w:r>
          </w:p>
        </w:tc>
        <w:tc>
          <w:tcPr>
            <w:tcW w:w="0" w:type="dxa"/>
            <w:vAlign w:val="bottom"/>
          </w:tcPr>
          <w:p>
            <w:pPr>
              <w:spacing w:after="0"/>
              <w:rPr>
                <w:sz w:val="1"/>
                <w:szCs w:val="1"/>
                <w:color w:val="auto"/>
              </w:rPr>
            </w:pP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 a Percentage of Average Credit Card Receivables</w:t>
            </w:r>
          </w:p>
        </w:tc>
        <w:tc>
          <w:tcPr>
            <w:tcW w:w="4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1.97%</w:t>
            </w:r>
          </w:p>
        </w:tc>
        <w:tc>
          <w:tcPr>
            <w:tcW w:w="3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1.93%</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w:t>
            </w:r>
          </w:p>
        </w:tc>
        <w:tc>
          <w:tcPr>
            <w:tcW w:w="340" w:type="dxa"/>
            <w:vAlign w:val="bottom"/>
          </w:tcPr>
          <w:p>
            <w:pPr>
              <w:spacing w:after="0"/>
              <w:rPr>
                <w:sz w:val="14"/>
                <w:szCs w:val="14"/>
                <w:color w:val="auto"/>
              </w:rPr>
            </w:pPr>
          </w:p>
        </w:tc>
        <w:tc>
          <w:tcPr>
            <w:tcW w:w="4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1.97%</w:t>
            </w:r>
          </w:p>
        </w:tc>
        <w:tc>
          <w:tcPr>
            <w:tcW w:w="0" w:type="dxa"/>
            <w:vAlign w:val="bottom"/>
          </w:tcPr>
          <w:p>
            <w:pPr>
              <w:spacing w:after="0"/>
              <w:rPr>
                <w:sz w:val="1"/>
                <w:szCs w:val="1"/>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Charge-offs</w:t>
            </w:r>
          </w:p>
        </w:tc>
        <w:tc>
          <w:tcPr>
            <w:tcW w:w="480" w:type="dxa"/>
            <w:vAlign w:val="bottom"/>
            <w:vMerge w:val="continue"/>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279(a)</w:t>
            </w:r>
          </w:p>
        </w:tc>
        <w:tc>
          <w:tcPr>
            <w:tcW w:w="380" w:type="dxa"/>
            <w:vAlign w:val="bottom"/>
            <w:vMerge w:val="continue"/>
          </w:tcPr>
          <w:p>
            <w:pPr>
              <w:spacing w:after="0"/>
              <w:rPr>
                <w:sz w:val="14"/>
                <w:szCs w:val="14"/>
                <w:color w:val="auto"/>
              </w:rPr>
            </w:pPr>
          </w:p>
        </w:tc>
        <w:tc>
          <w:tcPr>
            <w:tcW w:w="13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207</w:t>
            </w:r>
          </w:p>
        </w:tc>
        <w:tc>
          <w:tcPr>
            <w:tcW w:w="700" w:type="dxa"/>
            <w:vAlign w:val="bottom"/>
            <w:vMerge w:val="continue"/>
          </w:tcPr>
          <w:p>
            <w:pPr>
              <w:spacing w:after="0"/>
              <w:rPr>
                <w:sz w:val="14"/>
                <w:szCs w:val="14"/>
                <w:color w:val="auto"/>
              </w:rPr>
            </w:pP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549(a)</w:t>
            </w:r>
          </w:p>
        </w:tc>
        <w:tc>
          <w:tcPr>
            <w:tcW w:w="480" w:type="dxa"/>
            <w:vAlign w:val="bottom"/>
            <w:vMerge w:val="continue"/>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396</w:t>
            </w:r>
          </w:p>
        </w:tc>
        <w:tc>
          <w:tcPr>
            <w:tcW w:w="0" w:type="dxa"/>
            <w:vAlign w:val="bottom"/>
          </w:tcPr>
          <w:p>
            <w:pPr>
              <w:spacing w:after="0"/>
              <w:rPr>
                <w:sz w:val="1"/>
                <w:szCs w:val="1"/>
                <w:color w:val="auto"/>
              </w:rPr>
            </w:pPr>
          </w:p>
        </w:tc>
      </w:tr>
      <w:tr>
        <w:trPr>
          <w:trHeight w:val="245"/>
        </w:trPr>
        <w:tc>
          <w:tcPr>
            <w:tcW w:w="5040" w:type="dxa"/>
            <w:vAlign w:val="bottom"/>
          </w:tcPr>
          <w:p>
            <w:pPr>
              <w:ind w:left="280"/>
              <w:spacing w:after="0"/>
              <w:rPr>
                <w:sz w:val="20"/>
                <w:szCs w:val="20"/>
                <w:color w:val="auto"/>
              </w:rPr>
            </w:pPr>
            <w:r>
              <w:rPr>
                <w:rFonts w:ascii="Courier New" w:cs="Courier New" w:eastAsia="Courier New" w:hAnsi="Courier New"/>
                <w:sz w:val="15"/>
                <w:szCs w:val="15"/>
                <w:color w:val="auto"/>
              </w:rPr>
              <w:t>As a Percentage of Average Credit Card Receivables</w:t>
            </w:r>
          </w:p>
        </w:tc>
        <w:tc>
          <w:tcPr>
            <w:tcW w:w="480" w:type="dxa"/>
            <w:vAlign w:val="bottom"/>
          </w:tcPr>
          <w:p>
            <w:pPr>
              <w:spacing w:after="0"/>
              <w:rPr>
                <w:sz w:val="21"/>
                <w:szCs w:val="21"/>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4.78%</w:t>
            </w:r>
          </w:p>
        </w:tc>
        <w:tc>
          <w:tcPr>
            <w:tcW w:w="380" w:type="dxa"/>
            <w:vAlign w:val="bottom"/>
          </w:tcPr>
          <w:p>
            <w:pPr>
              <w:spacing w:after="0"/>
              <w:rPr>
                <w:sz w:val="21"/>
                <w:szCs w:val="21"/>
                <w:color w:val="auto"/>
              </w:rPr>
            </w:pPr>
          </w:p>
        </w:tc>
        <w:tc>
          <w:tcPr>
            <w:tcW w:w="13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4.09%</w:t>
            </w:r>
          </w:p>
        </w:tc>
        <w:tc>
          <w:tcPr>
            <w:tcW w:w="7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4.71%</w:t>
            </w: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4.01%</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360" w:right="4460" w:hanging="350"/>
        <w:spacing w:after="0" w:line="344" w:lineRule="auto"/>
        <w:tabs>
          <w:tab w:leader="none" w:pos="36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a charge related to conforming the credit card charge-off policies of Chase and Chemical.</w:t>
      </w:r>
    </w:p>
    <w:p>
      <w:pPr>
        <w:spacing w:after="0" w:line="354" w:lineRule="exact"/>
        <w:rPr>
          <w:sz w:val="20"/>
          <w:szCs w:val="20"/>
          <w:color w:val="auto"/>
        </w:rPr>
      </w:pPr>
    </w:p>
    <w:p>
      <w:pPr>
        <w:jc w:val="both"/>
        <w:ind w:right="4460"/>
        <w:spacing w:after="0" w:line="259" w:lineRule="auto"/>
        <w:rPr>
          <w:sz w:val="20"/>
          <w:szCs w:val="20"/>
          <w:color w:val="auto"/>
        </w:rPr>
      </w:pPr>
      <w:r>
        <w:rPr>
          <w:rFonts w:ascii="Courier New" w:cs="Courier New" w:eastAsia="Courier New" w:hAnsi="Courier New"/>
          <w:sz w:val="14"/>
          <w:szCs w:val="14"/>
          <w:color w:val="auto"/>
        </w:rPr>
        <w:t>The increases in net charge-offs on managed credit card receivables for both the three-month and six-month periods ending June 30, 1996, when compared with the same 1995 periods, reflect growth in average managed credit card outstandings and continuing higher levels of personal bankruptcies. Management currently expects that the Corporation's credit card net charge-offs, as a percentage of average managed credit card receivables, for full year 1996 will be higher than the 1996 second quarter net charge off percentage, but will be lower than 5% (as compared with approximately 4.0% for full year 1995), principally as a result of</w:t>
      </w:r>
    </w:p>
    <w:p>
      <w:pPr>
        <w:spacing w:after="0" w:line="1" w:lineRule="exact"/>
        <w:rPr>
          <w:sz w:val="20"/>
          <w:szCs w:val="20"/>
          <w:color w:val="auto"/>
        </w:rPr>
      </w:pPr>
    </w:p>
    <w:p>
      <w:pPr>
        <w:ind w:left="360" w:hanging="350"/>
        <w:spacing w:after="0"/>
        <w:tabs>
          <w:tab w:leader="none" w:pos="3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 higher levels of personal  bankruptcies and delinquency</w:t>
      </w:r>
    </w:p>
    <w:p>
      <w:pPr>
        <w:ind w:right="4980"/>
        <w:spacing w:after="0" w:line="30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charge-offs in 1996 when compared to 1995 levels and (ii) slower growth in credit card outstandings in 1996 than previously anticipated.</w:t>
      </w:r>
    </w:p>
    <w:p>
      <w:pPr>
        <w:spacing w:after="0" w:line="44" w:lineRule="exact"/>
        <w:rPr>
          <w:sz w:val="20"/>
          <w:szCs w:val="20"/>
          <w:color w:val="auto"/>
        </w:rPr>
      </w:pPr>
    </w:p>
    <w:p>
      <w:pPr>
        <w:ind w:right="4540"/>
        <w:spacing w:after="0" w:line="344" w:lineRule="auto"/>
        <w:rPr>
          <w:sz w:val="20"/>
          <w:szCs w:val="20"/>
          <w:color w:val="auto"/>
        </w:rPr>
      </w:pPr>
      <w:r>
        <w:rPr>
          <w:rFonts w:ascii="Courier New" w:cs="Courier New" w:eastAsia="Courier New" w:hAnsi="Courier New"/>
          <w:sz w:val="15"/>
          <w:szCs w:val="15"/>
          <w:color w:val="auto"/>
        </w:rPr>
        <w:t>Credit Card Securitizations: For a discussion of the Corporation's credit card securitizations, see page 35 of the Corporation's 1995 Annual Report.</w:t>
      </w:r>
    </w:p>
    <w:p>
      <w:pPr>
        <w:spacing w:after="0" w:line="17" w:lineRule="exact"/>
        <w:rPr>
          <w:sz w:val="20"/>
          <w:szCs w:val="20"/>
          <w:color w:val="auto"/>
        </w:rPr>
      </w:pPr>
    </w:p>
    <w:p>
      <w:pPr>
        <w:jc w:val="both"/>
        <w:ind w:right="4460"/>
        <w:spacing w:after="0" w:line="290" w:lineRule="auto"/>
        <w:rPr>
          <w:sz w:val="20"/>
          <w:szCs w:val="20"/>
          <w:color w:val="auto"/>
        </w:rPr>
      </w:pPr>
      <w:r>
        <w:rPr>
          <w:rFonts w:ascii="Courier New" w:cs="Courier New" w:eastAsia="Courier New" w:hAnsi="Courier New"/>
          <w:sz w:val="15"/>
          <w:szCs w:val="15"/>
          <w:color w:val="auto"/>
        </w:rPr>
        <w:t>The following table outlines the impact of the securitizations of credit card receivables by showing the favorable (unfavorable) change in the reported Consolidated Statement of Income line items for the periods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gridSpan w:val="4"/>
          </w:tcPr>
          <w:p>
            <w:pPr>
              <w:spacing w:after="0"/>
              <w:rPr>
                <w:sz w:val="20"/>
                <w:szCs w:val="20"/>
                <w:color w:val="auto"/>
              </w:rPr>
            </w:pPr>
            <w:r>
              <w:rPr>
                <w:rFonts w:ascii="Courier New" w:cs="Courier New" w:eastAsia="Courier New" w:hAnsi="Courier New"/>
                <w:sz w:val="15"/>
                <w:szCs w:val="15"/>
                <w:color w:val="auto"/>
              </w:rPr>
              <w:t>Favorable (Unfavorable) Impact</w:t>
            </w:r>
          </w:p>
        </w:tc>
        <w:tc>
          <w:tcPr>
            <w:tcW w:w="1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3"/>
          </w:tcPr>
          <w:p>
            <w:pPr>
              <w:jc w:val="right"/>
              <w:ind w:right="887"/>
              <w:spacing w:after="0"/>
              <w:rPr>
                <w:sz w:val="20"/>
                <w:szCs w:val="20"/>
                <w:color w:val="auto"/>
              </w:rPr>
            </w:pPr>
            <w:r>
              <w:rPr>
                <w:rFonts w:ascii="Courier New" w:cs="Courier New" w:eastAsia="Courier New" w:hAnsi="Courier New"/>
                <w:sz w:val="15"/>
                <w:szCs w:val="15"/>
                <w:color w:val="auto"/>
              </w:rPr>
              <w:t>Second Quarter</w:t>
            </w:r>
          </w:p>
        </w:tc>
        <w:tc>
          <w:tcPr>
            <w:tcW w:w="6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Six Months</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w w:val="95"/>
              </w:rPr>
              <w:t>(in millions)</w:t>
            </w:r>
          </w:p>
        </w:tc>
        <w:tc>
          <w:tcPr>
            <w:tcW w:w="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140" w:type="dxa"/>
            <w:vAlign w:val="bottom"/>
            <w:gridSpan w:val="5"/>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6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1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1996</w:t>
            </w:r>
          </w:p>
        </w:tc>
        <w:tc>
          <w:tcPr>
            <w:tcW w:w="88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1995</w:t>
            </w:r>
          </w:p>
        </w:tc>
        <w:tc>
          <w:tcPr>
            <w:tcW w:w="620" w:type="dxa"/>
            <w:vAlign w:val="bottom"/>
          </w:tcPr>
          <w:p>
            <w:pPr>
              <w:spacing w:after="0"/>
              <w:rPr>
                <w:sz w:val="14"/>
                <w:szCs w:val="14"/>
                <w:color w:val="auto"/>
              </w:rPr>
            </w:pPr>
          </w:p>
        </w:tc>
        <w:tc>
          <w:tcPr>
            <w:tcW w:w="130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45"/>
        </w:trPr>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spacing w:after="0"/>
              <w:rPr>
                <w:sz w:val="21"/>
                <w:szCs w:val="21"/>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1"/>
                <w:szCs w:val="21"/>
                <w:color w:val="auto"/>
              </w:rPr>
            </w:pPr>
          </w:p>
        </w:tc>
        <w:tc>
          <w:tcPr>
            <w:tcW w:w="1300" w:type="dxa"/>
            <w:vAlign w:val="bottom"/>
          </w:tcPr>
          <w:p>
            <w:pPr>
              <w:jc w:val="right"/>
              <w:ind w:right="7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27"/>
        </w:trPr>
        <w:tc>
          <w:tcPr>
            <w:tcW w:w="1680" w:type="dxa"/>
            <w:vAlign w:val="bottom"/>
            <w:gridSpan w:val="3"/>
          </w:tcPr>
          <w:p>
            <w:pPr>
              <w:spacing w:after="0"/>
              <w:rPr>
                <w:sz w:val="20"/>
                <w:szCs w:val="20"/>
                <w:color w:val="auto"/>
              </w:rPr>
            </w:pPr>
            <w:r>
              <w:rPr>
                <w:rFonts w:ascii="Courier New" w:cs="Courier New" w:eastAsia="Courier New" w:hAnsi="Courier New"/>
                <w:sz w:val="15"/>
                <w:szCs w:val="15"/>
                <w:color w:val="auto"/>
                <w:w w:val="97"/>
              </w:rPr>
              <w:t>Net Interest Income</w:t>
            </w:r>
          </w:p>
        </w:tc>
        <w:tc>
          <w:tcPr>
            <w:tcW w:w="1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00" w:type="dxa"/>
            <w:vAlign w:val="bottom"/>
          </w:tcPr>
          <w:p>
            <w:pPr>
              <w:jc w:val="center"/>
              <w:ind w:left="7"/>
              <w:spacing w:after="0"/>
              <w:rPr>
                <w:sz w:val="20"/>
                <w:szCs w:val="20"/>
                <w:color w:val="auto"/>
              </w:rPr>
            </w:pPr>
            <w:r>
              <w:rPr>
                <w:rFonts w:ascii="Courier New" w:cs="Courier New" w:eastAsia="Courier New" w:hAnsi="Courier New"/>
                <w:sz w:val="15"/>
                <w:szCs w:val="15"/>
                <w:color w:val="auto"/>
              </w:rPr>
              <w:t>$</w:t>
            </w:r>
          </w:p>
        </w:tc>
        <w:tc>
          <w:tcPr>
            <w:tcW w:w="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8"/>
              </w:rPr>
              <w:t>(208)</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(77)</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(395)</w:t>
            </w:r>
          </w:p>
        </w:tc>
        <w:tc>
          <w:tcPr>
            <w:tcW w:w="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(134)</w:t>
            </w:r>
          </w:p>
        </w:tc>
        <w:tc>
          <w:tcPr>
            <w:tcW w:w="0" w:type="dxa"/>
            <w:vAlign w:val="bottom"/>
          </w:tcPr>
          <w:p>
            <w:pPr>
              <w:spacing w:after="0"/>
              <w:rPr>
                <w:sz w:val="1"/>
                <w:szCs w:val="1"/>
                <w:color w:val="auto"/>
              </w:rPr>
            </w:pPr>
          </w:p>
        </w:tc>
      </w:tr>
      <w:tr>
        <w:trPr>
          <w:trHeight w:val="168"/>
        </w:trPr>
        <w:tc>
          <w:tcPr>
            <w:tcW w:w="29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Provision for Losses</w:t>
            </w:r>
          </w:p>
        </w:tc>
        <w:tc>
          <w:tcPr>
            <w:tcW w:w="1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156</w:t>
            </w:r>
          </w:p>
        </w:tc>
        <w:tc>
          <w:tcPr>
            <w:tcW w:w="88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34</w:t>
            </w:r>
          </w:p>
        </w:tc>
        <w:tc>
          <w:tcPr>
            <w:tcW w:w="620" w:type="dxa"/>
            <w:vAlign w:val="bottom"/>
          </w:tcPr>
          <w:p>
            <w:pPr>
              <w:spacing w:after="0"/>
              <w:rPr>
                <w:sz w:val="14"/>
                <w:szCs w:val="14"/>
                <w:color w:val="auto"/>
              </w:rPr>
            </w:pPr>
          </w:p>
        </w:tc>
        <w:tc>
          <w:tcPr>
            <w:tcW w:w="13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261</w:t>
            </w: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w:t>
            </w:r>
          </w:p>
        </w:tc>
        <w:tc>
          <w:tcPr>
            <w:tcW w:w="0" w:type="dxa"/>
            <w:vAlign w:val="bottom"/>
          </w:tcPr>
          <w:p>
            <w:pPr>
              <w:spacing w:after="0"/>
              <w:rPr>
                <w:sz w:val="1"/>
                <w:szCs w:val="1"/>
                <w:color w:val="auto"/>
              </w:rPr>
            </w:pPr>
          </w:p>
        </w:tc>
      </w:tr>
      <w:tr>
        <w:trPr>
          <w:trHeight w:val="168"/>
        </w:trPr>
        <w:tc>
          <w:tcPr>
            <w:tcW w:w="16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Credit Card Revenue</w:t>
            </w:r>
          </w:p>
        </w:tc>
        <w:tc>
          <w:tcPr>
            <w:tcW w:w="1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47</w:t>
            </w:r>
          </w:p>
        </w:tc>
        <w:tc>
          <w:tcPr>
            <w:tcW w:w="88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41</w:t>
            </w:r>
          </w:p>
        </w:tc>
        <w:tc>
          <w:tcPr>
            <w:tcW w:w="620" w:type="dxa"/>
            <w:vAlign w:val="bottom"/>
          </w:tcPr>
          <w:p>
            <w:pPr>
              <w:spacing w:after="0"/>
              <w:rPr>
                <w:sz w:val="14"/>
                <w:szCs w:val="14"/>
                <w:color w:val="auto"/>
              </w:rPr>
            </w:pPr>
          </w:p>
        </w:tc>
        <w:tc>
          <w:tcPr>
            <w:tcW w:w="13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122</w:t>
            </w: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w:t>
            </w:r>
          </w:p>
        </w:tc>
        <w:tc>
          <w:tcPr>
            <w:tcW w:w="0" w:type="dxa"/>
            <w:vAlign w:val="bottom"/>
          </w:tcPr>
          <w:p>
            <w:pPr>
              <w:spacing w:after="0"/>
              <w:rPr>
                <w:sz w:val="1"/>
                <w:szCs w:val="1"/>
                <w:color w:val="auto"/>
              </w:rPr>
            </w:pP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Other Revenue</w:t>
            </w:r>
          </w:p>
        </w:tc>
        <w:tc>
          <w:tcPr>
            <w:tcW w:w="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c>
          <w:tcPr>
            <w:tcW w:w="88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w:t>
            </w:r>
          </w:p>
        </w:tc>
        <w:tc>
          <w:tcPr>
            <w:tcW w:w="620" w:type="dxa"/>
            <w:vAlign w:val="bottom"/>
          </w:tcPr>
          <w:p>
            <w:pPr>
              <w:spacing w:after="0"/>
              <w:rPr>
                <w:sz w:val="14"/>
                <w:szCs w:val="14"/>
                <w:color w:val="auto"/>
              </w:rPr>
            </w:pPr>
          </w:p>
        </w:tc>
        <w:tc>
          <w:tcPr>
            <w:tcW w:w="13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11</w:t>
            </w: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168"/>
        </w:trPr>
        <w:tc>
          <w:tcPr>
            <w:tcW w:w="4740" w:type="dxa"/>
            <w:vAlign w:val="bottom"/>
            <w:gridSpan w:val="5"/>
            <w:vMerge w:val="restart"/>
          </w:tcPr>
          <w:p>
            <w:pPr>
              <w:spacing w:after="0"/>
              <w:rPr>
                <w:sz w:val="20"/>
                <w:szCs w:val="20"/>
                <w:color w:val="auto"/>
              </w:rPr>
            </w:pPr>
            <w:r>
              <w:rPr>
                <w:rFonts w:ascii="Courier New" w:cs="Courier New" w:eastAsia="Courier New" w:hAnsi="Courier New"/>
                <w:sz w:val="15"/>
                <w:szCs w:val="15"/>
                <w:color w:val="auto"/>
              </w:rPr>
              <w:t>Pre-tax Income (Loss) Impact of Securitizations</w:t>
            </w:r>
          </w:p>
        </w:tc>
        <w:tc>
          <w:tcPr>
            <w:tcW w:w="112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168"/>
        </w:trPr>
        <w:tc>
          <w:tcPr>
            <w:tcW w:w="4740" w:type="dxa"/>
            <w:vAlign w:val="bottom"/>
            <w:gridSpan w:val="5"/>
            <w:vMerge w:val="continue"/>
          </w:tcPr>
          <w:p>
            <w:pPr>
              <w:spacing w:after="0"/>
              <w:rPr>
                <w:sz w:val="14"/>
                <w:szCs w:val="14"/>
                <w:color w:val="auto"/>
              </w:rPr>
            </w:pPr>
          </w:p>
        </w:tc>
        <w:tc>
          <w:tcPr>
            <w:tcW w:w="70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245"/>
        </w:trPr>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2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427"/>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Auto</w:t>
            </w:r>
          </w:p>
        </w:tc>
        <w:tc>
          <w:tcPr>
            <w:tcW w:w="438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Financings  and Other  Consumer  Loans:  These</w:t>
            </w: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consumer</w:t>
            </w:r>
          </w:p>
        </w:tc>
        <w:tc>
          <w:tcPr>
            <w:tcW w:w="160" w:type="dxa"/>
            <w:vAlign w:val="bottom"/>
          </w:tcPr>
          <w:p>
            <w:pPr>
              <w:spacing w:after="0"/>
              <w:rPr>
                <w:sz w:val="24"/>
                <w:szCs w:val="24"/>
                <w:color w:val="auto"/>
              </w:rPr>
            </w:pPr>
          </w:p>
        </w:tc>
        <w:tc>
          <w:tcPr>
            <w:tcW w:w="2280" w:type="dxa"/>
            <w:vAlign w:val="bottom"/>
            <w:gridSpan w:val="3"/>
          </w:tcPr>
          <w:p>
            <w:pPr>
              <w:jc w:val="right"/>
              <w:ind w:right="807"/>
              <w:spacing w:after="0"/>
              <w:rPr>
                <w:sz w:val="20"/>
                <w:szCs w:val="20"/>
                <w:color w:val="auto"/>
              </w:rPr>
            </w:pPr>
            <w:r>
              <w:rPr>
                <w:rFonts w:ascii="Courier New" w:cs="Courier New" w:eastAsia="Courier New" w:hAnsi="Courier New"/>
                <w:sz w:val="15"/>
                <w:szCs w:val="15"/>
                <w:color w:val="auto"/>
                <w:w w:val="95"/>
              </w:rPr>
              <w:t>loans consist of</w:t>
            </w: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auto</w:t>
            </w:r>
          </w:p>
        </w:tc>
        <w:tc>
          <w:tcPr>
            <w:tcW w:w="5240" w:type="dxa"/>
            <w:vAlign w:val="bottom"/>
            <w:gridSpan w:val="6"/>
          </w:tcPr>
          <w:p>
            <w:pPr>
              <w:ind w:left="180"/>
              <w:spacing w:after="0" w:line="168" w:lineRule="exact"/>
              <w:rPr>
                <w:sz w:val="20"/>
                <w:szCs w:val="20"/>
                <w:color w:val="auto"/>
              </w:rPr>
            </w:pPr>
            <w:r>
              <w:rPr>
                <w:rFonts w:ascii="Courier New" w:cs="Courier New" w:eastAsia="Courier New" w:hAnsi="Courier New"/>
                <w:sz w:val="15"/>
                <w:szCs w:val="15"/>
                <w:color w:val="auto"/>
                <w:w w:val="96"/>
              </w:rPr>
              <w:t>loans and leases,  installment  loans (direct and indirect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types of</w:t>
            </w: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740" w:type="dxa"/>
            <w:vAlign w:val="bottom"/>
            <w:gridSpan w:val="5"/>
          </w:tcPr>
          <w:p>
            <w:pPr>
              <w:spacing w:after="0"/>
              <w:rPr>
                <w:sz w:val="20"/>
                <w:szCs w:val="20"/>
                <w:color w:val="auto"/>
              </w:rPr>
            </w:pPr>
            <w:r>
              <w:rPr>
                <w:rFonts w:ascii="Courier New" w:cs="Courier New" w:eastAsia="Courier New" w:hAnsi="Courier New"/>
                <w:sz w:val="15"/>
                <w:szCs w:val="15"/>
                <w:color w:val="auto"/>
              </w:rPr>
              <w:t>consumer finance) and student loans.</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Auto</w:t>
            </w:r>
          </w:p>
        </w:tc>
        <w:tc>
          <w:tcPr>
            <w:tcW w:w="5500" w:type="dxa"/>
            <w:vAlign w:val="bottom"/>
            <w:gridSpan w:val="7"/>
          </w:tcPr>
          <w:p>
            <w:pPr>
              <w:ind w:left="180"/>
              <w:spacing w:after="0"/>
              <w:rPr>
                <w:sz w:val="20"/>
                <w:szCs w:val="20"/>
                <w:color w:val="auto"/>
              </w:rPr>
            </w:pPr>
            <w:r>
              <w:rPr>
                <w:rFonts w:ascii="Courier New" w:cs="Courier New" w:eastAsia="Courier New" w:hAnsi="Courier New"/>
                <w:sz w:val="15"/>
                <w:szCs w:val="15"/>
                <w:color w:val="auto"/>
                <w:w w:val="98"/>
              </w:rPr>
              <w:t>financings were $11.3 billion at June 30, 1996, up from $8.3</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billion</w:t>
            </w:r>
          </w:p>
        </w:tc>
        <w:tc>
          <w:tcPr>
            <w:tcW w:w="1140" w:type="dxa"/>
            <w:vAlign w:val="bottom"/>
            <w:vMerge w:val="restart"/>
          </w:tcPr>
          <w:p>
            <w:pPr>
              <w:jc w:val="right"/>
              <w:ind w:right="807"/>
              <w:spacing w:after="0"/>
              <w:rPr>
                <w:sz w:val="20"/>
                <w:szCs w:val="20"/>
                <w:color w:val="auto"/>
              </w:rPr>
            </w:pPr>
            <w:r>
              <w:rPr>
                <w:rFonts w:ascii="Courier New" w:cs="Courier New" w:eastAsia="Courier New" w:hAnsi="Courier New"/>
                <w:sz w:val="15"/>
                <w:szCs w:val="15"/>
                <w:color w:val="auto"/>
              </w:rPr>
              <w:t>in</w:t>
            </w:r>
          </w:p>
        </w:tc>
        <w:tc>
          <w:tcPr>
            <w:tcW w:w="6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at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w:t>
            </w:r>
          </w:p>
        </w:tc>
        <w:tc>
          <w:tcPr>
            <w:tcW w:w="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1995 and $10.1</w:t>
            </w:r>
          </w:p>
        </w:tc>
        <w:tc>
          <w:tcPr>
            <w:tcW w:w="1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5"/>
              </w:rPr>
              <w:t>billion at June 30,</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1995.</w:t>
            </w:r>
          </w:p>
        </w:tc>
        <w:tc>
          <w:tcPr>
            <w:tcW w:w="4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The</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increase</w:t>
            </w:r>
          </w:p>
        </w:tc>
        <w:tc>
          <w:tcPr>
            <w:tcW w:w="11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auto</w:t>
            </w:r>
          </w:p>
        </w:tc>
        <w:tc>
          <w:tcPr>
            <w:tcW w:w="438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w w:val="96"/>
              </w:rPr>
              <w:t>financings reflected stronger demand during both</w:t>
            </w:r>
          </w:p>
        </w:tc>
        <w:tc>
          <w:tcPr>
            <w:tcW w:w="8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periods,</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partially</w:t>
            </w: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offset  by</w:t>
            </w:r>
          </w:p>
        </w:tc>
        <w:tc>
          <w:tcPr>
            <w:tcW w:w="18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securitizations   of</w:t>
            </w:r>
          </w:p>
        </w:tc>
        <w:tc>
          <w:tcPr>
            <w:tcW w:w="1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auto  loans.   The</w:t>
            </w:r>
          </w:p>
        </w:tc>
        <w:tc>
          <w:tcPr>
            <w:tcW w:w="112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Corporation</w:t>
            </w:r>
          </w:p>
        </w:tc>
        <w:tc>
          <w:tcPr>
            <w:tcW w:w="202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securitized</w:t>
            </w:r>
          </w:p>
        </w:tc>
        <w:tc>
          <w:tcPr>
            <w:tcW w:w="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approximately</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c>
          <w:tcPr>
            <w:tcW w:w="6200" w:type="dxa"/>
            <w:vAlign w:val="bottom"/>
            <w:gridSpan w:val="7"/>
          </w:tcPr>
          <w:p>
            <w:pPr>
              <w:jc w:val="right"/>
              <w:ind w:right="807"/>
              <w:spacing w:after="0" w:line="168" w:lineRule="exact"/>
              <w:rPr>
                <w:sz w:val="20"/>
                <w:szCs w:val="20"/>
                <w:color w:val="auto"/>
              </w:rPr>
            </w:pPr>
            <w:r>
              <w:rPr>
                <w:rFonts w:ascii="Courier New" w:cs="Courier New" w:eastAsia="Courier New" w:hAnsi="Courier New"/>
                <w:sz w:val="15"/>
                <w:szCs w:val="15"/>
                <w:color w:val="auto"/>
                <w:w w:val="99"/>
              </w:rPr>
              <w:t>billion of auto loans  during the last two quarters of 1995</w:t>
            </w:r>
          </w:p>
        </w:tc>
        <w:tc>
          <w:tcPr>
            <w:tcW w:w="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880" w:type="dxa"/>
            <w:vAlign w:val="bottom"/>
            <w:gridSpan w:val="10"/>
          </w:tcPr>
          <w:p>
            <w:pPr>
              <w:spacing w:after="0" w:line="168" w:lineRule="exact"/>
              <w:rPr>
                <w:sz w:val="20"/>
                <w:szCs w:val="20"/>
                <w:color w:val="auto"/>
              </w:rPr>
            </w:pPr>
            <w:r>
              <w:rPr>
                <w:rFonts w:ascii="Courier New" w:cs="Courier New" w:eastAsia="Courier New" w:hAnsi="Courier New"/>
                <w:sz w:val="15"/>
                <w:szCs w:val="15"/>
                <w:color w:val="auto"/>
              </w:rPr>
              <w:t>and approximately $1.5 billion during the 1996 first six months. Net charge-offs</w:t>
            </w:r>
          </w:p>
        </w:tc>
        <w:tc>
          <w:tcPr>
            <w:tcW w:w="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4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7"/>
              </w:rPr>
              <w:t>of auto financings were $7 million in the 1996 second quarter,</w:t>
            </w:r>
          </w:p>
        </w:tc>
        <w:tc>
          <w:tcPr>
            <w:tcW w:w="160" w:type="dxa"/>
            <w:vAlign w:val="bottom"/>
          </w:tcPr>
          <w:p>
            <w:pPr>
              <w:spacing w:after="0"/>
              <w:rPr>
                <w:sz w:val="14"/>
                <w:szCs w:val="14"/>
                <w:color w:val="auto"/>
              </w:rPr>
            </w:pPr>
          </w:p>
        </w:tc>
        <w:tc>
          <w:tcPr>
            <w:tcW w:w="2280" w:type="dxa"/>
            <w:vAlign w:val="bottom"/>
            <w:gridSpan w:val="3"/>
          </w:tcPr>
          <w:p>
            <w:pPr>
              <w:jc w:val="right"/>
              <w:ind w:right="807"/>
              <w:spacing w:after="0" w:line="168" w:lineRule="exact"/>
              <w:rPr>
                <w:sz w:val="20"/>
                <w:szCs w:val="20"/>
                <w:color w:val="auto"/>
              </w:rPr>
            </w:pPr>
            <w:r>
              <w:rPr>
                <w:rFonts w:ascii="Courier New" w:cs="Courier New" w:eastAsia="Courier New" w:hAnsi="Courier New"/>
                <w:sz w:val="15"/>
                <w:szCs w:val="15"/>
                <w:color w:val="auto"/>
                <w:w w:val="95"/>
              </w:rPr>
              <w:t>compared with $4</w:t>
            </w:r>
          </w:p>
        </w:tc>
        <w:tc>
          <w:tcPr>
            <w:tcW w:w="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880" w:type="dxa"/>
            <w:vAlign w:val="bottom"/>
            <w:gridSpan w:val="10"/>
          </w:tcPr>
          <w:p>
            <w:pPr>
              <w:spacing w:after="0" w:line="168" w:lineRule="exact"/>
              <w:rPr>
                <w:sz w:val="20"/>
                <w:szCs w:val="20"/>
                <w:color w:val="auto"/>
              </w:rPr>
            </w:pPr>
            <w:r>
              <w:rPr>
                <w:rFonts w:ascii="Courier New" w:cs="Courier New" w:eastAsia="Courier New" w:hAnsi="Courier New"/>
                <w:sz w:val="15"/>
                <w:szCs w:val="15"/>
                <w:color w:val="auto"/>
              </w:rPr>
              <w:t>million in the same period in 1995. For the first six months, net charge-offs of</w:t>
            </w:r>
          </w:p>
        </w:tc>
        <w:tc>
          <w:tcPr>
            <w:tcW w:w="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6740" w:type="dxa"/>
            <w:vAlign w:val="bottom"/>
            <w:gridSpan w:val="9"/>
          </w:tcPr>
          <w:p>
            <w:pPr>
              <w:spacing w:after="0"/>
              <w:rPr>
                <w:sz w:val="20"/>
                <w:szCs w:val="20"/>
                <w:color w:val="auto"/>
              </w:rPr>
            </w:pPr>
            <w:r>
              <w:rPr>
                <w:rFonts w:ascii="Courier New" w:cs="Courier New" w:eastAsia="Courier New" w:hAnsi="Courier New"/>
                <w:sz w:val="15"/>
                <w:szCs w:val="15"/>
                <w:color w:val="auto"/>
                <w:w w:val="99"/>
              </w:rPr>
              <w:t>auto financings were $15 million in 1996, compared with $8 million in 1995.</w:t>
            </w: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jc w:val="both"/>
        <w:ind w:right="4460"/>
        <w:spacing w:after="0" w:line="258" w:lineRule="auto"/>
        <w:rPr>
          <w:sz w:val="20"/>
          <w:szCs w:val="20"/>
          <w:color w:val="auto"/>
        </w:rPr>
      </w:pPr>
      <w:r>
        <w:rPr>
          <w:rFonts w:ascii="Courier New" w:cs="Courier New" w:eastAsia="Courier New" w:hAnsi="Courier New"/>
          <w:sz w:val="15"/>
          <w:szCs w:val="15"/>
          <w:color w:val="auto"/>
        </w:rPr>
        <w:t>Other consumer loans were $10.7 billion at June 30, 1996, compared with $10.0 billion at December 31, 1995, and $9.2 billion at June 30, 1995. Net charge-offs of other consumer loans were $33 million in the second quarter of 1996, compared with $24 million in the 1995 comparable period. Net charge-offs of other consumer loans in the first six months of 1996 were $62 million, compared with $51 million in the comparable 1995 period.</w:t>
      </w:r>
    </w:p>
    <w:p>
      <w:pPr>
        <w:spacing w:after="0" w:line="8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1460"/>
          </w:cols>
          <w:pgMar w:left="220" w:top="598" w:right="219"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Domestic Commercial Portfolio</w:t>
      </w:r>
    </w:p>
    <w:p>
      <w:pPr>
        <w:spacing w:after="0" w:line="24" w:lineRule="exact"/>
        <w:rPr>
          <w:sz w:val="20"/>
          <w:szCs w:val="20"/>
          <w:color w:val="auto"/>
        </w:rPr>
      </w:pPr>
    </w:p>
    <w:p>
      <w:pPr>
        <w:spacing w:after="0" w:line="247" w:lineRule="auto"/>
        <w:rPr>
          <w:sz w:val="20"/>
          <w:szCs w:val="20"/>
          <w:color w:val="auto"/>
        </w:rPr>
      </w:pPr>
      <w:r>
        <w:rPr>
          <w:rFonts w:ascii="Courier New" w:cs="Courier New" w:eastAsia="Courier New" w:hAnsi="Courier New"/>
          <w:sz w:val="15"/>
          <w:szCs w:val="15"/>
          <w:color w:val="auto"/>
        </w:rPr>
        <w:t>Domestic Commercial and Industrial Portfolio: The domestic commercial and industrial portfolio totaled $32.4 billion at June 30, 1996, an increase from $32.3 billion at December 31, 1995 and $31.7 billion at June 30, 1995. The portfolio consists primarily of loans made to large corporate and middle market customers and is diversified geographically and by industry. At June 30, 1996, the largest industry concentration in this portfolio was to the oil and gas industry which approximated $2.6 billion, or 1.7% of the Corporation's total loan portfolio.</w:t>
      </w:r>
    </w:p>
    <w:p>
      <w:pPr>
        <w:spacing w:after="0" w:line="89" w:lineRule="exact"/>
        <w:rPr>
          <w:sz w:val="20"/>
          <w:szCs w:val="20"/>
          <w:color w:val="auto"/>
        </w:rPr>
      </w:pPr>
    </w:p>
    <w:p>
      <w:pPr>
        <w:jc w:val="both"/>
        <w:spacing w:after="0" w:line="258" w:lineRule="auto"/>
        <w:rPr>
          <w:sz w:val="20"/>
          <w:szCs w:val="20"/>
          <w:color w:val="auto"/>
        </w:rPr>
      </w:pPr>
      <w:r>
        <w:rPr>
          <w:rFonts w:ascii="Courier New" w:cs="Courier New" w:eastAsia="Courier New" w:hAnsi="Courier New"/>
          <w:sz w:val="15"/>
          <w:szCs w:val="15"/>
          <w:color w:val="auto"/>
        </w:rPr>
        <w:t>Nonperforming domestic commercial and industrial loans were $514 million at June 30, 1996, compared with $516 million at June 30, 1995. In the second quarter of 1996, the Corporation had net charge-offs of $46 million, compared with net recoveries of $1 million in the second quarter of 1995. For the first six months, such net charge-offs were $94 million in 1996, compared with $22 million in 1995.</w:t>
      </w:r>
    </w:p>
    <w:p>
      <w:pPr>
        <w:spacing w:after="0" w:line="81" w:lineRule="exact"/>
        <w:rPr>
          <w:sz w:val="20"/>
          <w:szCs w:val="20"/>
          <w:color w:val="auto"/>
        </w:rPr>
      </w:pPr>
    </w:p>
    <w:p>
      <w:pPr>
        <w:jc w:val="both"/>
        <w:spacing w:after="0" w:line="264" w:lineRule="auto"/>
        <w:rPr>
          <w:sz w:val="20"/>
          <w:szCs w:val="20"/>
          <w:color w:val="auto"/>
        </w:rPr>
      </w:pPr>
      <w:r>
        <w:rPr>
          <w:rFonts w:ascii="Courier New" w:cs="Courier New" w:eastAsia="Courier New" w:hAnsi="Courier New"/>
          <w:sz w:val="15"/>
          <w:szCs w:val="15"/>
          <w:color w:val="auto"/>
        </w:rPr>
        <w:t>Management believes that the credit quality of the Corporation's commercial and industrial loan portfolio will remain relatively stable in 1996, as compared with 1995 (although it expects to have higher net charge-offs in its commercial and industrial loan portfolio in 1996 - rather than net recoveries of $4 million as it did in 1995 - because of lower gross recoveries).</w:t>
      </w:r>
    </w:p>
    <w:p>
      <w:pPr>
        <w:spacing w:after="0" w:line="75" w:lineRule="exact"/>
        <w:rPr>
          <w:sz w:val="20"/>
          <w:szCs w:val="20"/>
          <w:color w:val="auto"/>
        </w:rPr>
      </w:pPr>
    </w:p>
    <w:p>
      <w:pPr>
        <w:jc w:val="both"/>
        <w:spacing w:after="0" w:line="255" w:lineRule="auto"/>
        <w:rPr>
          <w:sz w:val="20"/>
          <w:szCs w:val="20"/>
          <w:color w:val="auto"/>
        </w:rPr>
      </w:pPr>
      <w:r>
        <w:rPr>
          <w:rFonts w:ascii="Courier New" w:cs="Courier New" w:eastAsia="Courier New" w:hAnsi="Courier New"/>
          <w:sz w:val="15"/>
          <w:szCs w:val="15"/>
          <w:color w:val="auto"/>
        </w:rPr>
        <w:t>Domestic Commercial Real Estate Portfolio: The domestic commercial real estate portfolio represents loans secured primarily by real property, other than loans secured by one-to-four family residential properties (which are included in the consumer loan portfolio). The domestic commercial real estate loan portfolio totaled $6.6 billion at June 30, 1996, a decrease from $6.7 billion at December 31, 1995 and from $7.6 billion at June 30, 1995. The decreases are principally attributable to repayments from borrowers.</w:t>
      </w:r>
    </w:p>
    <w:p>
      <w:pPr>
        <w:spacing w:after="0" w:line="82" w:lineRule="exact"/>
        <w:rPr>
          <w:sz w:val="20"/>
          <w:szCs w:val="20"/>
          <w:color w:val="auto"/>
        </w:rPr>
      </w:pPr>
    </w:p>
    <w:p>
      <w:pPr>
        <w:jc w:val="both"/>
        <w:spacing w:after="0" w:line="344" w:lineRule="auto"/>
        <w:rPr>
          <w:sz w:val="20"/>
          <w:szCs w:val="20"/>
          <w:color w:val="auto"/>
        </w:rPr>
      </w:pPr>
      <w:r>
        <w:rPr>
          <w:rFonts w:ascii="Courier New" w:cs="Courier New" w:eastAsia="Courier New" w:hAnsi="Courier New"/>
          <w:sz w:val="15"/>
          <w:szCs w:val="15"/>
          <w:color w:val="auto"/>
        </w:rPr>
        <w:t>The table below sets forth the major components of the domestic commercial real estate loan portfolio at the dates indicated.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(in millions)</w:t>
            </w:r>
          </w:p>
        </w:tc>
        <w:tc>
          <w:tcPr>
            <w:tcW w:w="1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June 30,</w:t>
            </w:r>
          </w:p>
        </w:tc>
        <w:tc>
          <w:tcPr>
            <w:tcW w:w="0" w:type="dxa"/>
            <w:vAlign w:val="bottom"/>
          </w:tcPr>
          <w:p>
            <w:pPr>
              <w:spacing w:after="0"/>
              <w:rPr>
                <w:sz w:val="1"/>
                <w:szCs w:val="1"/>
                <w:color w:val="auto"/>
              </w:rPr>
            </w:pPr>
          </w:p>
        </w:tc>
      </w:tr>
      <w:tr>
        <w:trPr>
          <w:trHeight w:val="168"/>
        </w:trPr>
        <w:tc>
          <w:tcPr>
            <w:tcW w:w="478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45"/>
        </w:trPr>
        <w:tc>
          <w:tcPr>
            <w:tcW w:w="4780" w:type="dxa"/>
            <w:vAlign w:val="bottom"/>
          </w:tcPr>
          <w:p>
            <w:pPr>
              <w:spacing w:after="0"/>
              <w:rPr>
                <w:sz w:val="21"/>
                <w:szCs w:val="21"/>
                <w:color w:val="auto"/>
              </w:rPr>
            </w:pPr>
          </w:p>
        </w:tc>
        <w:tc>
          <w:tcPr>
            <w:tcW w:w="1880" w:type="dxa"/>
            <w:vAlign w:val="bottom"/>
            <w:gridSpan w:val="2"/>
          </w:tcPr>
          <w:p>
            <w:pPr>
              <w:ind w:left="1000"/>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427"/>
        </w:trPr>
        <w:tc>
          <w:tcPr>
            <w:tcW w:w="4780" w:type="dxa"/>
            <w:vAlign w:val="bottom"/>
          </w:tcPr>
          <w:p>
            <w:pPr>
              <w:spacing w:after="0"/>
              <w:rPr>
                <w:sz w:val="20"/>
                <w:szCs w:val="20"/>
                <w:color w:val="auto"/>
              </w:rPr>
            </w:pPr>
            <w:r>
              <w:rPr>
                <w:rFonts w:ascii="Courier New" w:cs="Courier New" w:eastAsia="Courier New" w:hAnsi="Courier New"/>
                <w:sz w:val="15"/>
                <w:szCs w:val="15"/>
                <w:color w:val="auto"/>
              </w:rPr>
              <w:t>Commercial Mortgages</w:t>
            </w:r>
          </w:p>
        </w:tc>
        <w:tc>
          <w:tcPr>
            <w:tcW w:w="1140" w:type="dxa"/>
            <w:vAlign w:val="bottom"/>
          </w:tcPr>
          <w:p>
            <w:pPr>
              <w:ind w:left="100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5,327</w:t>
            </w:r>
          </w:p>
        </w:tc>
        <w:tc>
          <w:tcPr>
            <w:tcW w:w="0" w:type="dxa"/>
            <w:vAlign w:val="bottom"/>
          </w:tcPr>
          <w:p>
            <w:pPr>
              <w:spacing w:after="0"/>
              <w:rPr>
                <w:sz w:val="1"/>
                <w:szCs w:val="1"/>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Construction</w:t>
            </w:r>
          </w:p>
        </w:tc>
        <w:tc>
          <w:tcPr>
            <w:tcW w:w="114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1,229</w:t>
            </w:r>
          </w:p>
        </w:tc>
        <w:tc>
          <w:tcPr>
            <w:tcW w:w="0" w:type="dxa"/>
            <w:vAlign w:val="bottom"/>
          </w:tcPr>
          <w:p>
            <w:pPr>
              <w:spacing w:after="0"/>
              <w:rPr>
                <w:sz w:val="1"/>
                <w:szCs w:val="1"/>
                <w:color w:val="auto"/>
              </w:rPr>
            </w:pPr>
          </w:p>
        </w:tc>
      </w:tr>
      <w:tr>
        <w:trPr>
          <w:trHeight w:val="168"/>
        </w:trPr>
        <w:tc>
          <w:tcPr>
            <w:tcW w:w="4780" w:type="dxa"/>
            <w:vAlign w:val="bottom"/>
            <w:vMerge w:val="restart"/>
          </w:tcPr>
          <w:p>
            <w:pPr>
              <w:spacing w:after="0"/>
              <w:rPr>
                <w:sz w:val="20"/>
                <w:szCs w:val="20"/>
                <w:color w:val="auto"/>
              </w:rPr>
            </w:pPr>
            <w:r>
              <w:rPr>
                <w:rFonts w:ascii="Courier New" w:cs="Courier New" w:eastAsia="Courier New" w:hAnsi="Courier New"/>
                <w:sz w:val="15"/>
                <w:szCs w:val="15"/>
                <w:color w:val="auto"/>
              </w:rPr>
              <w:t>Total Domestic Commercial Real Estate Loans</w:t>
            </w:r>
          </w:p>
        </w:tc>
        <w:tc>
          <w:tcPr>
            <w:tcW w:w="1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780" w:type="dxa"/>
            <w:vAlign w:val="bottom"/>
            <w:vMerge w:val="continue"/>
          </w:tcPr>
          <w:p>
            <w:pPr>
              <w:spacing w:after="0"/>
              <w:rPr>
                <w:sz w:val="14"/>
                <w:szCs w:val="14"/>
                <w:color w:val="auto"/>
              </w:rPr>
            </w:pPr>
          </w:p>
        </w:tc>
        <w:tc>
          <w:tcPr>
            <w:tcW w:w="114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6,556</w:t>
            </w:r>
          </w:p>
        </w:tc>
        <w:tc>
          <w:tcPr>
            <w:tcW w:w="0" w:type="dxa"/>
            <w:vAlign w:val="bottom"/>
          </w:tcPr>
          <w:p>
            <w:pPr>
              <w:spacing w:after="0"/>
              <w:rPr>
                <w:sz w:val="1"/>
                <w:szCs w:val="1"/>
                <w:color w:val="auto"/>
              </w:rPr>
            </w:pPr>
          </w:p>
        </w:tc>
      </w:tr>
      <w:tr>
        <w:trPr>
          <w:trHeight w:val="245"/>
        </w:trPr>
        <w:tc>
          <w:tcPr>
            <w:tcW w:w="4780" w:type="dxa"/>
            <w:vAlign w:val="bottom"/>
          </w:tcPr>
          <w:p>
            <w:pPr>
              <w:spacing w:after="0"/>
              <w:rPr>
                <w:sz w:val="21"/>
                <w:szCs w:val="21"/>
                <w:color w:val="auto"/>
              </w:rPr>
            </w:pPr>
          </w:p>
        </w:tc>
        <w:tc>
          <w:tcPr>
            <w:tcW w:w="1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jc w:val="both"/>
        <w:spacing w:after="0" w:line="252" w:lineRule="auto"/>
        <w:rPr>
          <w:sz w:val="20"/>
          <w:szCs w:val="20"/>
          <w:color w:val="auto"/>
        </w:rPr>
      </w:pPr>
      <w:r>
        <w:rPr>
          <w:rFonts w:ascii="Courier New" w:cs="Courier New" w:eastAsia="Courier New" w:hAnsi="Courier New"/>
          <w:sz w:val="15"/>
          <w:szCs w:val="15"/>
          <w:color w:val="auto"/>
        </w:rPr>
        <w:t>Nonperforming domestic commercial real estate loans were $439 million at June 30, 1996, a 17% increase from the December 31, 1995 level, but a decrease of $138 million, or 24%, from June 30, 1995. The improvement in nonperforming domestic commercial real estate asset levels since June 30, 1995 is the result of increased liquidity in the commercial real estate markets coupled with successful workout activities. The increase from the 1995 year-end resulted from the classification of two large retail-related loans as nonperforming in the first quarter of 1996.</w:t>
      </w:r>
    </w:p>
    <w:p>
      <w:pPr>
        <w:spacing w:after="0" w:line="86" w:lineRule="exact"/>
        <w:rPr>
          <w:sz w:val="20"/>
          <w:szCs w:val="20"/>
          <w:color w:val="auto"/>
        </w:rPr>
      </w:pPr>
    </w:p>
    <w:p>
      <w:pPr>
        <w:jc w:val="both"/>
        <w:spacing w:after="0" w:line="273" w:lineRule="auto"/>
        <w:rPr>
          <w:sz w:val="20"/>
          <w:szCs w:val="20"/>
          <w:color w:val="auto"/>
        </w:rPr>
      </w:pPr>
      <w:r>
        <w:rPr>
          <w:rFonts w:ascii="Courier New" w:cs="Courier New" w:eastAsia="Courier New" w:hAnsi="Courier New"/>
          <w:sz w:val="15"/>
          <w:szCs w:val="15"/>
          <w:color w:val="auto"/>
        </w:rPr>
        <w:t>Net charge-offs of domestic commercial real estate loans in the second quarter of 1996 totaled $30 million, compared with $15 million in the same period a year ago. For the first six months, such net charge-offs were $26 million in 1996, compared with $14 million in 1995.</w:t>
      </w:r>
    </w:p>
    <w:p>
      <w:pPr>
        <w:spacing w:after="0" w:line="68" w:lineRule="exact"/>
        <w:rPr>
          <w:sz w:val="20"/>
          <w:szCs w:val="20"/>
          <w:color w:val="auto"/>
        </w:rPr>
      </w:pPr>
    </w:p>
    <w:p>
      <w:pPr>
        <w:jc w:val="both"/>
        <w:spacing w:after="0" w:line="262" w:lineRule="auto"/>
        <w:rPr>
          <w:sz w:val="20"/>
          <w:szCs w:val="20"/>
          <w:color w:val="auto"/>
        </w:rPr>
      </w:pPr>
      <w:r>
        <w:rPr>
          <w:rFonts w:ascii="Courier New" w:cs="Courier New" w:eastAsia="Courier New" w:hAnsi="Courier New"/>
          <w:sz w:val="14"/>
          <w:szCs w:val="14"/>
          <w:color w:val="auto"/>
        </w:rPr>
        <w:t>Domestic Financial Institutions Portfolio: The domestic financial institutions portfolio includes loans to commercial banks and companies whose businesses primarily involve lending, financing, investing, underwriting, or insurance. Loans to domestic financial institutions were $5.7 billion, or 4% of total loans outstanding, at June 30, 1996, unchanged from December 31, 1995</w:t>
      </w:r>
    </w:p>
    <w:p>
      <w:pPr>
        <w:spacing w:after="0" w:line="1" w:lineRule="exact"/>
        <w:rPr>
          <w:sz w:val="20"/>
          <w:szCs w:val="20"/>
          <w:color w:val="auto"/>
        </w:rPr>
      </w:pPr>
    </w:p>
    <w:p>
      <w:pPr>
        <w:jc w:val="both"/>
        <w:spacing w:after="0" w:line="272" w:lineRule="auto"/>
        <w:rPr>
          <w:sz w:val="20"/>
          <w:szCs w:val="20"/>
          <w:color w:val="auto"/>
        </w:rPr>
      </w:pPr>
      <w:r>
        <w:rPr>
          <w:rFonts w:ascii="Courier New" w:cs="Courier New" w:eastAsia="Courier New" w:hAnsi="Courier New"/>
          <w:sz w:val="15"/>
          <w:szCs w:val="15"/>
          <w:color w:val="auto"/>
        </w:rPr>
        <w:t>and an increase from $5.5 billion at June 30, 1995. Loans to domestic financial institutions are predominantly secured loans to broker-dealers, domestic commercial banks and domestic branches of foreign banks.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Portfolio</w:t>
      </w:r>
    </w:p>
    <w:p>
      <w:pPr>
        <w:spacing w:after="0" w:line="24" w:lineRule="exact"/>
        <w:rPr>
          <w:sz w:val="20"/>
          <w:szCs w:val="20"/>
          <w:color w:val="auto"/>
        </w:rPr>
      </w:pPr>
    </w:p>
    <w:p>
      <w:pPr>
        <w:jc w:val="both"/>
        <w:spacing w:after="0" w:line="255" w:lineRule="auto"/>
        <w:rPr>
          <w:sz w:val="20"/>
          <w:szCs w:val="20"/>
          <w:color w:val="auto"/>
        </w:rPr>
      </w:pPr>
      <w:r>
        <w:rPr>
          <w:rFonts w:ascii="Courier New" w:cs="Courier New" w:eastAsia="Courier New" w:hAnsi="Courier New"/>
          <w:sz w:val="15"/>
          <w:szCs w:val="15"/>
          <w:color w:val="auto"/>
        </w:rPr>
        <w:t>Foreign portfolio includes commercial and industrial loans, loans to financial institutions, commercial real estate, loans to governments and official institutions, and consumer loans. At June 30, 1996, the Corporation's total foreign loans were $37.8 billion, compared with $36.1 billion at December 31, 1995 and $37.3 billion at June 30, 1995.</w:t>
      </w:r>
    </w:p>
    <w:p>
      <w:pPr>
        <w:spacing w:after="0" w:line="80" w:lineRule="exact"/>
        <w:rPr>
          <w:sz w:val="20"/>
          <w:szCs w:val="20"/>
          <w:color w:val="auto"/>
        </w:rPr>
      </w:pPr>
    </w:p>
    <w:p>
      <w:pPr>
        <w:spacing w:after="0" w:line="242" w:lineRule="auto"/>
        <w:rPr>
          <w:sz w:val="20"/>
          <w:szCs w:val="20"/>
          <w:color w:val="auto"/>
        </w:rPr>
      </w:pPr>
      <w:r>
        <w:rPr>
          <w:rFonts w:ascii="Courier New" w:cs="Courier New" w:eastAsia="Courier New" w:hAnsi="Courier New"/>
          <w:sz w:val="15"/>
          <w:szCs w:val="15"/>
          <w:color w:val="auto"/>
        </w:rPr>
        <w:t>Included in foreign loans were foreign commercial and industrial loans of $23.9 billion at June 30, 1996, an increase of $3.1 billion from the 1995 year-end and an increase of $3.5 billion from June 30, 1995. The majority of the increase at June 30, 1996 related primarily to loans which were short-term in nature and, therefore, do not add significant credit risk to the portfolio since these loans are generally due within a year. Total foreign commercial real estate loans at June 30, 1996 were $0.8 billion, unchanged from each of December 31, 1995 and June 30, 1995.</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4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4"/>
              </w:rPr>
              <w:t>December 31,</w:t>
            </w:r>
          </w:p>
        </w:tc>
        <w:tc>
          <w:tcPr>
            <w:tcW w:w="5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r>
      <w:tr>
        <w:trPr>
          <w:trHeight w:val="168"/>
        </w:trPr>
        <w:tc>
          <w:tcPr>
            <w:tcW w:w="42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1995</w:t>
            </w:r>
          </w:p>
        </w:tc>
        <w:tc>
          <w:tcPr>
            <w:tcW w:w="5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1995</w:t>
            </w:r>
          </w:p>
        </w:tc>
      </w:tr>
      <w:tr>
        <w:trPr>
          <w:trHeight w:val="245"/>
        </w:trPr>
        <w:tc>
          <w:tcPr>
            <w:tcW w:w="14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4"/>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427"/>
        </w:trPr>
        <w:tc>
          <w:tcPr>
            <w:tcW w:w="4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5,512</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6,055</w:t>
            </w:r>
          </w:p>
        </w:tc>
      </w:tr>
      <w:tr>
        <w:trPr>
          <w:trHeight w:val="168"/>
        </w:trPr>
        <w:tc>
          <w:tcPr>
            <w:tcW w:w="42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1,148</w:t>
            </w:r>
          </w:p>
        </w:tc>
        <w:tc>
          <w:tcPr>
            <w:tcW w:w="5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1,504</w:t>
            </w:r>
          </w:p>
        </w:tc>
      </w:tr>
      <w:tr>
        <w:trPr>
          <w:trHeight w:val="168"/>
        </w:trPr>
        <w:tc>
          <w:tcPr>
            <w:tcW w:w="14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6,660</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7,559</w:t>
            </w:r>
          </w:p>
        </w:tc>
      </w:tr>
      <w:tr>
        <w:trPr>
          <w:trHeight w:val="245"/>
        </w:trPr>
        <w:tc>
          <w:tcPr>
            <w:tcW w:w="14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000" w:space="540"/>
            <w:col w:w="2800"/>
          </w:cols>
          <w:pgMar w:left="220" w:top="598" w:right="1339" w:bottom="1015" w:gutter="0" w:footer="0" w:header="0"/>
        </w:sectPr>
      </w:pPr>
    </w:p>
    <w:bookmarkStart w:id="35" w:name="page36"/>
    <w:bookmarkEnd w:id="35"/>
    <w:p>
      <w:pPr>
        <w:jc w:val="both"/>
        <w:ind w:right="3340"/>
        <w:spacing w:after="0" w:line="258" w:lineRule="auto"/>
        <w:rPr>
          <w:sz w:val="20"/>
          <w:szCs w:val="20"/>
          <w:color w:val="auto"/>
        </w:rPr>
      </w:pPr>
      <w:r>
        <w:rPr>
          <w:rFonts w:ascii="Courier New" w:cs="Courier New" w:eastAsia="Courier New" w:hAnsi="Courier New"/>
          <w:sz w:val="15"/>
          <w:szCs w:val="15"/>
          <w:color w:val="auto"/>
        </w:rPr>
        <w:t>Foreign nonperforming loans at June 30, 1996 were $265 million, a decrease from $343 million at December 31, 1995 and from $488 million at June 30, 1995. Net recoveries of foreign loans were $18 million in the second quarter of 1996, compared with net recoveries of $12 million in the 1995 second quarter. In the first six months of 1996, net recoveries of foreign loans were $27 million, compared with $23 million in the first six months of 1995.</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 Held for Accelerated Disposition</w:t>
      </w:r>
    </w:p>
    <w:p>
      <w:pPr>
        <w:spacing w:after="0" w:line="24" w:lineRule="exact"/>
        <w:rPr>
          <w:sz w:val="20"/>
          <w:szCs w:val="20"/>
          <w:color w:val="auto"/>
        </w:rPr>
      </w:pPr>
    </w:p>
    <w:p>
      <w:pPr>
        <w:jc w:val="both"/>
        <w:ind w:right="3340"/>
        <w:spacing w:after="0" w:line="346" w:lineRule="auto"/>
        <w:rPr>
          <w:sz w:val="20"/>
          <w:szCs w:val="20"/>
          <w:color w:val="auto"/>
        </w:rPr>
      </w:pPr>
      <w:r>
        <w:rPr>
          <w:rFonts w:ascii="Courier New" w:cs="Courier New" w:eastAsia="Courier New" w:hAnsi="Courier New"/>
          <w:sz w:val="14"/>
          <w:szCs w:val="14"/>
          <w:color w:val="auto"/>
        </w:rPr>
        <w:t>For a discussion of the Corporation's Assets Held for Accelerated Disposition portfolio, reference is made to page 38 of the Corporation's 1995 Annual Report.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20"/>
                <w:szCs w:val="20"/>
                <w:color w:val="auto"/>
              </w:rPr>
            </w:pPr>
            <w:r>
              <w:rPr>
                <w:rFonts w:ascii="Courier New" w:cs="Courier New" w:eastAsia="Courier New" w:hAnsi="Courier New"/>
                <w:sz w:val="15"/>
                <w:szCs w:val="15"/>
                <w:color w:val="auto"/>
                <w:w w:val="96"/>
              </w:rPr>
              <w:t>The following table presents the  reconciliation</w:t>
            </w:r>
          </w:p>
        </w:tc>
        <w:tc>
          <w:tcPr>
            <w:tcW w:w="100" w:type="dxa"/>
            <w:vAlign w:val="bottom"/>
          </w:tcPr>
          <w:p>
            <w:pPr>
              <w:spacing w:after="0"/>
              <w:rPr>
                <w:sz w:val="14"/>
                <w:szCs w:val="14"/>
                <w:color w:val="auto"/>
              </w:rPr>
            </w:pPr>
          </w:p>
        </w:tc>
        <w:tc>
          <w:tcPr>
            <w:tcW w:w="27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of Assets Held for Accelerated</w:t>
            </w:r>
          </w:p>
        </w:tc>
        <w:tc>
          <w:tcPr>
            <w:tcW w:w="0" w:type="dxa"/>
            <w:vAlign w:val="bottom"/>
          </w:tcPr>
          <w:p>
            <w:pPr>
              <w:spacing w:after="0"/>
              <w:rPr>
                <w:sz w:val="1"/>
                <w:szCs w:val="1"/>
                <w:color w:val="auto"/>
              </w:rPr>
            </w:pPr>
          </w:p>
        </w:tc>
      </w:tr>
      <w:tr>
        <w:trPr>
          <w:trHeight w:val="245"/>
        </w:trPr>
        <w:tc>
          <w:tcPr>
            <w:tcW w:w="4200" w:type="dxa"/>
            <w:vAlign w:val="bottom"/>
          </w:tcPr>
          <w:p>
            <w:pPr>
              <w:spacing w:after="0"/>
              <w:rPr>
                <w:sz w:val="20"/>
                <w:szCs w:val="20"/>
                <w:color w:val="auto"/>
              </w:rPr>
            </w:pPr>
            <w:r>
              <w:rPr>
                <w:rFonts w:ascii="Courier New" w:cs="Courier New" w:eastAsia="Courier New" w:hAnsi="Courier New"/>
                <w:sz w:val="15"/>
                <w:szCs w:val="15"/>
                <w:color w:val="auto"/>
              </w:rPr>
              <w:t>Disposition for the periods indicated.</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4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3"/>
          </w:tcPr>
          <w:p>
            <w:pPr>
              <w:jc w:val="right"/>
              <w:ind w:right="527"/>
              <w:spacing w:after="0"/>
              <w:rPr>
                <w:sz w:val="20"/>
                <w:szCs w:val="20"/>
                <w:color w:val="auto"/>
              </w:rPr>
            </w:pPr>
            <w:r>
              <w:rPr>
                <w:rFonts w:ascii="Courier New" w:cs="Courier New" w:eastAsia="Courier New" w:hAnsi="Courier New"/>
                <w:sz w:val="15"/>
                <w:szCs w:val="15"/>
                <w:color w:val="auto"/>
                <w:w w:val="96"/>
              </w:rPr>
              <w:t>For the Six Months Ended</w:t>
            </w:r>
          </w:p>
        </w:tc>
        <w:tc>
          <w:tcPr>
            <w:tcW w:w="0" w:type="dxa"/>
            <w:vAlign w:val="bottom"/>
          </w:tcPr>
          <w:p>
            <w:pPr>
              <w:spacing w:after="0"/>
              <w:rPr>
                <w:sz w:val="1"/>
                <w:szCs w:val="1"/>
                <w:color w:val="auto"/>
              </w:rPr>
            </w:pPr>
          </w:p>
        </w:tc>
      </w:tr>
      <w:tr>
        <w:trPr>
          <w:trHeight w:val="168"/>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June 30,</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00" w:type="dxa"/>
            <w:vAlign w:val="bottom"/>
            <w:vMerge w:val="restart"/>
          </w:tcPr>
          <w:p>
            <w:pPr>
              <w:spacing w:after="0"/>
              <w:rPr>
                <w:sz w:val="20"/>
                <w:szCs w:val="20"/>
                <w:color w:val="auto"/>
              </w:rPr>
            </w:pPr>
            <w:r>
              <w:rPr>
                <w:rFonts w:ascii="Courier New" w:cs="Courier New" w:eastAsia="Courier New" w:hAnsi="Courier New"/>
                <w:sz w:val="15"/>
                <w:szCs w:val="15"/>
                <w:color w:val="auto"/>
              </w:rPr>
              <w:t>Carrying Value (in millions)</w:t>
            </w:r>
          </w:p>
        </w:tc>
        <w:tc>
          <w:tcPr>
            <w:tcW w:w="100" w:type="dxa"/>
            <w:vAlign w:val="bottom"/>
          </w:tcPr>
          <w:p>
            <w:pPr>
              <w:spacing w:after="0"/>
              <w:rPr>
                <w:sz w:val="14"/>
                <w:szCs w:val="14"/>
                <w:color w:val="auto"/>
              </w:rPr>
            </w:pPr>
          </w:p>
        </w:tc>
        <w:tc>
          <w:tcPr>
            <w:tcW w:w="2700" w:type="dxa"/>
            <w:vAlign w:val="bottom"/>
            <w:gridSpan w:val="3"/>
          </w:tcPr>
          <w:p>
            <w:pPr>
              <w:jc w:val="right"/>
              <w:ind w:right="527"/>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4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1996</w:t>
            </w:r>
          </w:p>
        </w:tc>
        <w:tc>
          <w:tcPr>
            <w:tcW w:w="420" w:type="dxa"/>
            <w:vAlign w:val="bottom"/>
          </w:tcPr>
          <w:p>
            <w:pPr>
              <w:spacing w:after="0"/>
              <w:rPr>
                <w:sz w:val="14"/>
                <w:szCs w:val="14"/>
                <w:color w:val="auto"/>
              </w:rPr>
            </w:pPr>
          </w:p>
        </w:tc>
        <w:tc>
          <w:tcPr>
            <w:tcW w:w="14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45"/>
        </w:trPr>
        <w:tc>
          <w:tcPr>
            <w:tcW w:w="4200" w:type="dxa"/>
            <w:vAlign w:val="bottom"/>
          </w:tcPr>
          <w:p>
            <w:pPr>
              <w:spacing w:after="0"/>
              <w:rPr>
                <w:sz w:val="21"/>
                <w:szCs w:val="21"/>
                <w:color w:val="auto"/>
              </w:rPr>
            </w:pPr>
          </w:p>
        </w:tc>
        <w:tc>
          <w:tcPr>
            <w:tcW w:w="9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5"/>
              </w:rPr>
              <w:t>-------</w:t>
            </w:r>
          </w:p>
        </w:tc>
        <w:tc>
          <w:tcPr>
            <w:tcW w:w="182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200" w:type="dxa"/>
            <w:vAlign w:val="bottom"/>
          </w:tcPr>
          <w:p>
            <w:pPr>
              <w:spacing w:after="0"/>
              <w:rPr>
                <w:sz w:val="20"/>
                <w:szCs w:val="20"/>
                <w:color w:val="auto"/>
              </w:rPr>
            </w:pPr>
            <w:r>
              <w:rPr>
                <w:rFonts w:ascii="Courier New" w:cs="Courier New" w:eastAsia="Courier New" w:hAnsi="Courier New"/>
                <w:sz w:val="15"/>
                <w:szCs w:val="15"/>
                <w:color w:val="auto"/>
              </w:rPr>
              <w:t>Balance at January 1,</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412</w:t>
            </w:r>
          </w:p>
        </w:tc>
        <w:tc>
          <w:tcPr>
            <w:tcW w:w="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526</w:t>
            </w:r>
          </w:p>
        </w:tc>
        <w:tc>
          <w:tcPr>
            <w:tcW w:w="0" w:type="dxa"/>
            <w:vAlign w:val="bottom"/>
          </w:tcPr>
          <w:p>
            <w:pPr>
              <w:spacing w:after="0"/>
              <w:rPr>
                <w:sz w:val="1"/>
                <w:szCs w:val="1"/>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Additions</w:t>
            </w:r>
          </w:p>
        </w:tc>
        <w:tc>
          <w:tcPr>
            <w:tcW w:w="1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14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Sales</w:t>
            </w:r>
          </w:p>
        </w:tc>
        <w:tc>
          <w:tcPr>
            <w:tcW w:w="10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(242)</w:t>
            </w:r>
          </w:p>
        </w:tc>
        <w:tc>
          <w:tcPr>
            <w:tcW w:w="420" w:type="dxa"/>
            <w:vAlign w:val="bottom"/>
          </w:tcPr>
          <w:p>
            <w:pPr>
              <w:spacing w:after="0"/>
              <w:rPr>
                <w:sz w:val="14"/>
                <w:szCs w:val="14"/>
                <w:color w:val="auto"/>
              </w:rPr>
            </w:pPr>
          </w:p>
        </w:tc>
        <w:tc>
          <w:tcPr>
            <w:tcW w:w="140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(286)</w:t>
            </w:r>
          </w:p>
        </w:tc>
        <w:tc>
          <w:tcPr>
            <w:tcW w:w="0" w:type="dxa"/>
            <w:vAlign w:val="bottom"/>
          </w:tcPr>
          <w:p>
            <w:pPr>
              <w:spacing w:after="0"/>
              <w:rPr>
                <w:sz w:val="1"/>
                <w:szCs w:val="1"/>
                <w:color w:val="auto"/>
              </w:rPr>
            </w:pPr>
          </w:p>
        </w:tc>
      </w:tr>
      <w:tr>
        <w:trPr>
          <w:trHeight w:val="168"/>
        </w:trPr>
        <w:tc>
          <w:tcPr>
            <w:tcW w:w="420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June 30, (a)</w:t>
            </w:r>
          </w:p>
        </w:tc>
        <w:tc>
          <w:tcPr>
            <w:tcW w:w="9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w:t>
            </w:r>
          </w:p>
        </w:tc>
        <w:tc>
          <w:tcPr>
            <w:tcW w:w="182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200" w:type="dxa"/>
            <w:vAlign w:val="bottom"/>
            <w:vMerge w:val="continue"/>
          </w:tcPr>
          <w:p>
            <w:pPr>
              <w:spacing w:after="0"/>
              <w:rPr>
                <w:sz w:val="14"/>
                <w:szCs w:val="14"/>
                <w:color w:val="auto"/>
              </w:rPr>
            </w:pP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170</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240</w:t>
            </w:r>
          </w:p>
        </w:tc>
        <w:tc>
          <w:tcPr>
            <w:tcW w:w="0" w:type="dxa"/>
            <w:vAlign w:val="bottom"/>
          </w:tcPr>
          <w:p>
            <w:pPr>
              <w:spacing w:after="0"/>
              <w:rPr>
                <w:sz w:val="1"/>
                <w:szCs w:val="1"/>
                <w:color w:val="auto"/>
              </w:rPr>
            </w:pPr>
          </w:p>
        </w:tc>
      </w:tr>
      <w:tr>
        <w:trPr>
          <w:trHeight w:val="245"/>
        </w:trPr>
        <w:tc>
          <w:tcPr>
            <w:tcW w:w="4200" w:type="dxa"/>
            <w:vAlign w:val="bottom"/>
          </w:tcPr>
          <w:p>
            <w:pPr>
              <w:spacing w:after="0"/>
              <w:rPr>
                <w:sz w:val="21"/>
                <w:szCs w:val="21"/>
                <w:color w:val="auto"/>
              </w:rPr>
            </w:pPr>
          </w:p>
        </w:tc>
        <w:tc>
          <w:tcPr>
            <w:tcW w:w="9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5"/>
              </w:rPr>
              <w:t>=======</w:t>
            </w:r>
          </w:p>
        </w:tc>
        <w:tc>
          <w:tcPr>
            <w:tcW w:w="182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360" w:right="3340" w:hanging="350"/>
        <w:spacing w:after="0" w:line="344" w:lineRule="auto"/>
        <w:tabs>
          <w:tab w:leader="none" w:pos="36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$170 million and $8 million of loans that were performing at June 30, 1996 and 1995, respectively.</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Derivative and Foreign Exchange Financial Instruments</w:t>
      </w:r>
    </w:p>
    <w:p>
      <w:pPr>
        <w:spacing w:after="0" w:line="24" w:lineRule="exact"/>
        <w:rPr>
          <w:sz w:val="20"/>
          <w:szCs w:val="20"/>
          <w:color w:val="auto"/>
        </w:rPr>
      </w:pPr>
    </w:p>
    <w:p>
      <w:pPr>
        <w:ind w:right="3340"/>
        <w:spacing w:after="0" w:line="245" w:lineRule="auto"/>
        <w:rPr>
          <w:sz w:val="20"/>
          <w:szCs w:val="20"/>
          <w:color w:val="auto"/>
        </w:rPr>
      </w:pPr>
      <w:r>
        <w:rPr>
          <w:rFonts w:ascii="Courier New" w:cs="Courier New" w:eastAsia="Courier New" w:hAnsi="Courier New"/>
          <w:sz w:val="15"/>
          <w:szCs w:val="15"/>
          <w:color w:val="auto"/>
        </w:rPr>
        <w:t>In the normal course of its business, the Corporation utilizes various derivative and foreign exchange financial instruments to meet the financial needs of its customers, to generate revenues through its trading activities, and to manage its exposure to fluctuations in interest and currency rates. For a discussion of the derivative and foreign exchange financial instruments utilized in connection with the Corporation's trading activities and asset/liability management activities, including the notional amounts and credit exposure outstandings as well as the credit and market risks involved, see Notes 4 and 10 of this Form 10-Q and pages 38-44 and 55-56 of the Corporation's 1995 Annual Report.</w:t>
      </w:r>
    </w:p>
    <w:p>
      <w:pPr>
        <w:spacing w:after="0" w:line="90" w:lineRule="exact"/>
        <w:rPr>
          <w:sz w:val="20"/>
          <w:szCs w:val="20"/>
          <w:color w:val="auto"/>
        </w:rPr>
      </w:pPr>
    </w:p>
    <w:p>
      <w:pPr>
        <w:jc w:val="both"/>
        <w:ind w:right="3340"/>
        <w:spacing w:after="0" w:line="258" w:lineRule="auto"/>
        <w:rPr>
          <w:sz w:val="20"/>
          <w:szCs w:val="20"/>
          <w:color w:val="auto"/>
        </w:rPr>
      </w:pPr>
      <w:r>
        <w:rPr>
          <w:rFonts w:ascii="Courier New" w:cs="Courier New" w:eastAsia="Courier New" w:hAnsi="Courier New"/>
          <w:sz w:val="15"/>
          <w:szCs w:val="15"/>
          <w:color w:val="auto"/>
        </w:rPr>
        <w:t>Many of the Corporation's derivative and foreign exchange contracts are short-term, which mitigates credit risk as transactions settle quickly. The following table provides the remaining maturities of derivative and foreign exchange contracts outstanding at June 30, 1996 and December 31, 1995. Percentages are based upon remaining contract life of positive mark-to-market exposure amounts.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At June 30, 1996</w:t>
            </w:r>
          </w:p>
        </w:tc>
        <w:tc>
          <w:tcPr>
            <w:tcW w:w="1120" w:type="dxa"/>
            <w:vAlign w:val="bottom"/>
          </w:tcPr>
          <w:p>
            <w:pPr>
              <w:spacing w:after="0"/>
              <w:rPr>
                <w:sz w:val="14"/>
                <w:szCs w:val="14"/>
                <w:color w:val="auto"/>
              </w:rPr>
            </w:pPr>
          </w:p>
        </w:tc>
        <w:tc>
          <w:tcPr>
            <w:tcW w:w="3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At December 31, 1995</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20" w:type="dxa"/>
            <w:vAlign w:val="bottom"/>
            <w:vMerge w:val="restart"/>
          </w:tcPr>
          <w:p>
            <w:pPr>
              <w:ind w:left="560"/>
              <w:spacing w:after="0"/>
              <w:rPr>
                <w:sz w:val="20"/>
                <w:szCs w:val="20"/>
                <w:color w:val="auto"/>
              </w:rPr>
            </w:pPr>
            <w:r>
              <w:rPr>
                <w:rFonts w:ascii="Courier New" w:cs="Courier New" w:eastAsia="Courier New" w:hAnsi="Courier New"/>
                <w:sz w:val="4"/>
                <w:szCs w:val="4"/>
                <w:color w:val="auto"/>
                <w:w w:val="89"/>
              </w:rPr>
              <w:t>---------------------------------------</w:t>
            </w:r>
            <w:r>
              <w:rPr>
                <w:rFonts w:ascii="Courier New" w:cs="Courier New" w:eastAsia="Courier New" w:hAnsi="Courier New"/>
                <w:sz w:val="7"/>
                <w:szCs w:val="7"/>
                <w:color w:val="auto"/>
                <w:w w:val="89"/>
                <w:vertAlign w:val="subscript"/>
              </w:rPr>
              <w:t>Interest</w:t>
            </w:r>
          </w:p>
        </w:tc>
        <w:tc>
          <w:tcPr>
            <w:tcW w:w="166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Foreign</w:t>
            </w:r>
          </w:p>
        </w:tc>
        <w:tc>
          <w:tcPr>
            <w:tcW w:w="1120" w:type="dxa"/>
            <w:vAlign w:val="bottom"/>
          </w:tcPr>
          <w:p>
            <w:pPr>
              <w:spacing w:after="0"/>
              <w:rPr>
                <w:sz w:val="14"/>
                <w:szCs w:val="14"/>
                <w:color w:val="auto"/>
              </w:rPr>
            </w:pPr>
          </w:p>
        </w:tc>
        <w:tc>
          <w:tcPr>
            <w:tcW w:w="37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Interest</w:t>
            </w:r>
          </w:p>
        </w:tc>
        <w:tc>
          <w:tcPr>
            <w:tcW w:w="16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Foreign</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20" w:type="dxa"/>
            <w:vAlign w:val="bottom"/>
          </w:tcPr>
          <w:p>
            <w:pPr>
              <w:jc w:val="right"/>
              <w:ind w:right="112"/>
              <w:spacing w:after="0" w:line="168" w:lineRule="exact"/>
              <w:rPr>
                <w:sz w:val="20"/>
                <w:szCs w:val="20"/>
                <w:color w:val="auto"/>
              </w:rPr>
            </w:pPr>
            <w:r>
              <w:rPr>
                <w:rFonts w:ascii="Courier New" w:cs="Courier New" w:eastAsia="Courier New" w:hAnsi="Courier New"/>
                <w:sz w:val="15"/>
                <w:szCs w:val="15"/>
                <w:color w:val="auto"/>
              </w:rPr>
              <w:t>Rate</w:t>
            </w:r>
          </w:p>
        </w:tc>
        <w:tc>
          <w:tcPr>
            <w:tcW w:w="16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Exchange</w:t>
            </w:r>
          </w:p>
        </w:tc>
        <w:tc>
          <w:tcPr>
            <w:tcW w:w="112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Total</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Rate</w:t>
            </w:r>
          </w:p>
        </w:tc>
        <w:tc>
          <w:tcPr>
            <w:tcW w:w="16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Exchange</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68"/>
        </w:trPr>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20" w:type="dxa"/>
            <w:vAlign w:val="bottom"/>
          </w:tcPr>
          <w:p>
            <w:pPr>
              <w:jc w:val="right"/>
              <w:ind w:right="112"/>
              <w:spacing w:after="0" w:line="168" w:lineRule="exact"/>
              <w:rPr>
                <w:sz w:val="20"/>
                <w:szCs w:val="20"/>
                <w:color w:val="auto"/>
              </w:rPr>
            </w:pPr>
            <w:r>
              <w:rPr>
                <w:rFonts w:ascii="Courier New" w:cs="Courier New" w:eastAsia="Courier New" w:hAnsi="Courier New"/>
                <w:sz w:val="15"/>
                <w:szCs w:val="15"/>
                <w:color w:val="auto"/>
              </w:rPr>
              <w:t>Contracts</w:t>
            </w:r>
          </w:p>
        </w:tc>
        <w:tc>
          <w:tcPr>
            <w:tcW w:w="16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Contracts</w:t>
            </w:r>
          </w:p>
        </w:tc>
        <w:tc>
          <w:tcPr>
            <w:tcW w:w="1120" w:type="dxa"/>
            <w:vAlign w:val="bottom"/>
            <w:vMerge w:val="continue"/>
          </w:tcPr>
          <w:p>
            <w:pPr>
              <w:spacing w:after="0"/>
              <w:rPr>
                <w:sz w:val="14"/>
                <w:szCs w:val="14"/>
                <w:color w:val="auto"/>
              </w:rPr>
            </w:pP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Contracts</w:t>
            </w:r>
          </w:p>
        </w:tc>
        <w:tc>
          <w:tcPr>
            <w:tcW w:w="16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Contracts</w:t>
            </w: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62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160" w:type="dxa"/>
            <w:vAlign w:val="bottom"/>
            <w:gridSpan w:val="3"/>
          </w:tcPr>
          <w:p>
            <w:pPr>
              <w:spacing w:after="0"/>
              <w:rPr>
                <w:sz w:val="20"/>
                <w:szCs w:val="20"/>
                <w:color w:val="auto"/>
              </w:rPr>
            </w:pPr>
            <w:r>
              <w:rPr>
                <w:rFonts w:ascii="Courier New" w:cs="Courier New" w:eastAsia="Courier New" w:hAnsi="Courier New"/>
                <w:sz w:val="15"/>
                <w:szCs w:val="15"/>
                <w:color w:val="auto"/>
              </w:rPr>
              <w:t>Less than 3 months</w:t>
            </w:r>
          </w:p>
        </w:tc>
        <w:tc>
          <w:tcPr>
            <w:tcW w:w="1620" w:type="dxa"/>
            <w:vAlign w:val="bottom"/>
          </w:tcPr>
          <w:p>
            <w:pPr>
              <w:jc w:val="right"/>
              <w:ind w:right="112"/>
              <w:spacing w:after="0"/>
              <w:rPr>
                <w:sz w:val="20"/>
                <w:szCs w:val="20"/>
                <w:color w:val="auto"/>
              </w:rPr>
            </w:pPr>
            <w:r>
              <w:rPr>
                <w:rFonts w:ascii="Courier New" w:cs="Courier New" w:eastAsia="Courier New" w:hAnsi="Courier New"/>
                <w:sz w:val="15"/>
                <w:szCs w:val="15"/>
                <w:color w:val="auto"/>
              </w:rPr>
              <w:t>16%</w:t>
            </w:r>
          </w:p>
        </w:tc>
        <w:tc>
          <w:tcPr>
            <w:tcW w:w="16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54%</w:t>
            </w:r>
          </w:p>
        </w:tc>
        <w:tc>
          <w:tcPr>
            <w:tcW w:w="11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31%</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w:t>
            </w:r>
          </w:p>
        </w:tc>
        <w:tc>
          <w:tcPr>
            <w:tcW w:w="16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0" w:type="dxa"/>
            <w:vAlign w:val="bottom"/>
          </w:tcPr>
          <w:p>
            <w:pPr>
              <w:spacing w:after="0"/>
              <w:rPr>
                <w:sz w:val="1"/>
                <w:szCs w:val="1"/>
                <w:color w:val="auto"/>
              </w:rPr>
            </w:pPr>
          </w:p>
        </w:tc>
      </w:tr>
      <w:tr>
        <w:trPr>
          <w:trHeight w:val="168"/>
        </w:trPr>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 6</w:t>
            </w:r>
          </w:p>
        </w:tc>
        <w:tc>
          <w:tcPr>
            <w:tcW w:w="1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months</w:t>
            </w:r>
          </w:p>
        </w:tc>
        <w:tc>
          <w:tcPr>
            <w:tcW w:w="1620" w:type="dxa"/>
            <w:vAlign w:val="bottom"/>
          </w:tcPr>
          <w:p>
            <w:pPr>
              <w:jc w:val="right"/>
              <w:ind w:right="212"/>
              <w:spacing w:after="0" w:line="168" w:lineRule="exact"/>
              <w:rPr>
                <w:sz w:val="20"/>
                <w:szCs w:val="20"/>
                <w:color w:val="auto"/>
              </w:rPr>
            </w:pPr>
            <w:r>
              <w:rPr>
                <w:rFonts w:ascii="Courier New" w:cs="Courier New" w:eastAsia="Courier New" w:hAnsi="Courier New"/>
                <w:sz w:val="15"/>
                <w:szCs w:val="15"/>
                <w:color w:val="auto"/>
              </w:rPr>
              <w:t>8</w:t>
            </w: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23</w:t>
            </w: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w:t>
            </w: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27</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68"/>
        </w:trPr>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6</w:t>
            </w:r>
          </w:p>
        </w:tc>
        <w:tc>
          <w:tcPr>
            <w:tcW w:w="20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to 12 months</w:t>
            </w:r>
          </w:p>
        </w:tc>
        <w:tc>
          <w:tcPr>
            <w:tcW w:w="1620" w:type="dxa"/>
            <w:vAlign w:val="bottom"/>
          </w:tcPr>
          <w:p>
            <w:pPr>
              <w:jc w:val="right"/>
              <w:ind w:right="212"/>
              <w:spacing w:after="0" w:line="168" w:lineRule="exact"/>
              <w:rPr>
                <w:sz w:val="20"/>
                <w:szCs w:val="20"/>
                <w:color w:val="auto"/>
              </w:rPr>
            </w:pPr>
            <w:r>
              <w:rPr>
                <w:rFonts w:ascii="Courier New" w:cs="Courier New" w:eastAsia="Courier New" w:hAnsi="Courier New"/>
                <w:sz w:val="15"/>
                <w:szCs w:val="15"/>
                <w:color w:val="auto"/>
              </w:rPr>
              <w:t>9</w:t>
            </w: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w:t>
            </w: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w:t>
            </w: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13</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68"/>
        </w:trPr>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 5</w:t>
            </w:r>
          </w:p>
        </w:tc>
        <w:tc>
          <w:tcPr>
            <w:tcW w:w="1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c>
          <w:tcPr>
            <w:tcW w:w="1620" w:type="dxa"/>
            <w:vAlign w:val="bottom"/>
          </w:tcPr>
          <w:p>
            <w:pPr>
              <w:jc w:val="right"/>
              <w:ind w:right="212"/>
              <w:spacing w:after="0" w:line="168" w:lineRule="exact"/>
              <w:rPr>
                <w:sz w:val="20"/>
                <w:szCs w:val="20"/>
                <w:color w:val="auto"/>
              </w:rPr>
            </w:pPr>
            <w:r>
              <w:rPr>
                <w:rFonts w:ascii="Courier New" w:cs="Courier New" w:eastAsia="Courier New" w:hAnsi="Courier New"/>
                <w:sz w:val="15"/>
                <w:szCs w:val="15"/>
                <w:color w:val="auto"/>
              </w:rPr>
              <w:t>51</w:t>
            </w: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w:t>
            </w: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32</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w:t>
            </w: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w:t>
            </w:r>
          </w:p>
        </w:tc>
        <w:tc>
          <w:tcPr>
            <w:tcW w:w="0" w:type="dxa"/>
            <w:vAlign w:val="bottom"/>
          </w:tcPr>
          <w:p>
            <w:pPr>
              <w:spacing w:after="0"/>
              <w:rPr>
                <w:sz w:val="1"/>
                <w:szCs w:val="1"/>
                <w:color w:val="auto"/>
              </w:rPr>
            </w:pPr>
          </w:p>
        </w:tc>
      </w:tr>
      <w:tr>
        <w:trPr>
          <w:trHeight w:val="168"/>
        </w:trPr>
        <w:tc>
          <w:tcPr>
            <w:tcW w:w="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Over 5</w:t>
            </w:r>
          </w:p>
        </w:tc>
        <w:tc>
          <w:tcPr>
            <w:tcW w:w="1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c>
          <w:tcPr>
            <w:tcW w:w="1620" w:type="dxa"/>
            <w:vAlign w:val="bottom"/>
          </w:tcPr>
          <w:p>
            <w:pPr>
              <w:jc w:val="right"/>
              <w:ind w:right="212"/>
              <w:spacing w:after="0" w:line="168" w:lineRule="exact"/>
              <w:rPr>
                <w:sz w:val="20"/>
                <w:szCs w:val="20"/>
                <w:color w:val="auto"/>
              </w:rPr>
            </w:pPr>
            <w:r>
              <w:rPr>
                <w:rFonts w:ascii="Courier New" w:cs="Courier New" w:eastAsia="Courier New" w:hAnsi="Courier New"/>
                <w:sz w:val="15"/>
                <w:szCs w:val="15"/>
                <w:color w:val="auto"/>
              </w:rPr>
              <w:t>16</w:t>
            </w: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w:t>
            </w: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168"/>
        </w:trPr>
        <w:tc>
          <w:tcPr>
            <w:tcW w:w="58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Total</w:t>
            </w:r>
          </w:p>
        </w:tc>
        <w:tc>
          <w:tcPr>
            <w:tcW w:w="1580" w:type="dxa"/>
            <w:vAlign w:val="bottom"/>
          </w:tcPr>
          <w:p>
            <w:pPr>
              <w:spacing w:after="0"/>
              <w:rPr>
                <w:sz w:val="14"/>
                <w:szCs w:val="14"/>
                <w:color w:val="auto"/>
              </w:rPr>
            </w:pPr>
          </w:p>
        </w:tc>
        <w:tc>
          <w:tcPr>
            <w:tcW w:w="1620" w:type="dxa"/>
            <w:vAlign w:val="bottom"/>
          </w:tcPr>
          <w:p>
            <w:pPr>
              <w:jc w:val="right"/>
              <w:ind w:right="212"/>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80" w:type="dxa"/>
            <w:vAlign w:val="bottom"/>
            <w:gridSpan w:val="2"/>
            <w:vMerge w:val="continue"/>
          </w:tcPr>
          <w:p>
            <w:pPr>
              <w:spacing w:after="0"/>
              <w:rPr>
                <w:sz w:val="14"/>
                <w:szCs w:val="14"/>
                <w:color w:val="auto"/>
              </w:rPr>
            </w:pPr>
          </w:p>
        </w:tc>
        <w:tc>
          <w:tcPr>
            <w:tcW w:w="1580" w:type="dxa"/>
            <w:vAlign w:val="bottom"/>
          </w:tcPr>
          <w:p>
            <w:pPr>
              <w:spacing w:after="0"/>
              <w:rPr>
                <w:sz w:val="14"/>
                <w:szCs w:val="14"/>
                <w:color w:val="auto"/>
              </w:rPr>
            </w:pPr>
          </w:p>
        </w:tc>
        <w:tc>
          <w:tcPr>
            <w:tcW w:w="1620" w:type="dxa"/>
            <w:vAlign w:val="bottom"/>
          </w:tcPr>
          <w:p>
            <w:pPr>
              <w:jc w:val="right"/>
              <w:ind w:right="112"/>
              <w:spacing w:after="0" w:line="168" w:lineRule="exact"/>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100%</w:t>
            </w: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100%</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w:t>
            </w:r>
          </w:p>
        </w:tc>
        <w:tc>
          <w:tcPr>
            <w:tcW w:w="16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100%</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245"/>
        </w:trPr>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620" w:type="dxa"/>
            <w:vAlign w:val="bottom"/>
          </w:tcPr>
          <w:p>
            <w:pPr>
              <w:jc w:val="right"/>
              <w:ind w:right="212"/>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jc w:val="both"/>
        <w:ind w:right="3340"/>
        <w:spacing w:after="0" w:line="255" w:lineRule="auto"/>
        <w:rPr>
          <w:sz w:val="20"/>
          <w:szCs w:val="20"/>
          <w:color w:val="auto"/>
        </w:rPr>
      </w:pPr>
      <w:r>
        <w:rPr>
          <w:rFonts w:ascii="Courier New" w:cs="Courier New" w:eastAsia="Courier New" w:hAnsi="Courier New"/>
          <w:sz w:val="15"/>
          <w:szCs w:val="15"/>
          <w:color w:val="auto"/>
        </w:rPr>
        <w:t>The Corporation routinely enters into derivative and foreign exchange transactions with regulated financial institutions, which the Corporation believes have relatively low credit risk. At June 30, 1996, approximately 91% of the mark-to-market exposure of such transactions was with commercial bank and financial institution counterparties, most of which are dealers in these products. Non-financial institutions accounted for only approximately 9% of the Corporation's derivative and foreign exchange mark-to-market exposure.</w:t>
      </w:r>
    </w:p>
    <w:p>
      <w:pPr>
        <w:spacing w:after="0" w:line="8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340"/>
          </w:cols>
          <w:pgMar w:left="220" w:top="598" w:right="1339" w:bottom="1440" w:gutter="0" w:footer="0" w:header="0"/>
        </w:sectPr>
      </w:pPr>
    </w:p>
    <w:bookmarkStart w:id="36" w:name="page37"/>
    <w:bookmarkEnd w:id="36"/>
    <w:p>
      <w:pPr>
        <w:jc w:val="both"/>
        <w:ind w:right="3420"/>
        <w:spacing w:after="0" w:line="298" w:lineRule="auto"/>
        <w:rPr>
          <w:sz w:val="20"/>
          <w:szCs w:val="20"/>
          <w:color w:val="auto"/>
        </w:rPr>
      </w:pPr>
      <w:r>
        <w:rPr>
          <w:rFonts w:ascii="Courier New" w:cs="Courier New" w:eastAsia="Courier New" w:hAnsi="Courier New"/>
          <w:sz w:val="14"/>
          <w:szCs w:val="14"/>
          <w:color w:val="auto"/>
        </w:rPr>
        <w:t>The Corporation does not deal, to any significant extent, in derivatives, which dealers of derivatives (such as other banks and financial institutions) consider to be "leveraged". As a result, the mark-to-market exposure as well as the notional amount of such derivatives were insignificant at June 30, 1996.</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Allowance for Credit Losses</w:t>
      </w:r>
    </w:p>
    <w:p>
      <w:pPr>
        <w:spacing w:after="0" w:line="24" w:lineRule="exact"/>
        <w:rPr>
          <w:sz w:val="20"/>
          <w:szCs w:val="20"/>
          <w:color w:val="auto"/>
        </w:rPr>
      </w:pPr>
    </w:p>
    <w:p>
      <w:pPr>
        <w:ind w:right="3420"/>
        <w:spacing w:after="0" w:line="245" w:lineRule="auto"/>
        <w:rPr>
          <w:sz w:val="20"/>
          <w:szCs w:val="20"/>
          <w:color w:val="auto"/>
        </w:rPr>
      </w:pPr>
      <w:r>
        <w:rPr>
          <w:rFonts w:ascii="Courier New" w:cs="Courier New" w:eastAsia="Courier New" w:hAnsi="Courier New"/>
          <w:sz w:val="15"/>
          <w:szCs w:val="15"/>
          <w:color w:val="auto"/>
        </w:rPr>
        <w:t>The allowance for credit losses is available to absorb potential credit losses from the entire loan portfolio, as well as derivative and foreign exchange transactions. The Corporation deems its allowance for credit losses at June 30, 1996 to be adequate. Although the Corporation considers that it has sufficient reserves to absorb losses that may currently exist in the portfolio, but are not yet identifiable, the precise loss content is subject to continuing review based on quality indicators, industry and geographic concentrations, changes in business conditions, and other external factors such as competition and legal and regulatory requirements. The Corporation will continue to reassess the adequacy of the allowance for credit losses.</w:t>
      </w:r>
    </w:p>
    <w:p>
      <w:pPr>
        <w:spacing w:after="0" w:line="90" w:lineRule="exact"/>
        <w:rPr>
          <w:sz w:val="20"/>
          <w:szCs w:val="20"/>
          <w:color w:val="auto"/>
        </w:rPr>
      </w:pPr>
    </w:p>
    <w:p>
      <w:pPr>
        <w:jc w:val="both"/>
        <w:ind w:right="3420"/>
        <w:spacing w:after="0" w:line="290" w:lineRule="auto"/>
        <w:rPr>
          <w:sz w:val="20"/>
          <w:szCs w:val="20"/>
          <w:color w:val="auto"/>
        </w:rPr>
      </w:pPr>
      <w:r>
        <w:rPr>
          <w:rFonts w:ascii="Courier New" w:cs="Courier New" w:eastAsia="Courier New" w:hAnsi="Courier New"/>
          <w:sz w:val="15"/>
          <w:szCs w:val="15"/>
          <w:color w:val="auto"/>
        </w:rPr>
        <w:t>During the 1996 first six months, the Corporation incurred a charge of $102 million against its allowance for credit losses as a result of conforming charge-off policies with respect to credit card receivables.</w:t>
      </w:r>
    </w:p>
    <w:p>
      <w:pPr>
        <w:spacing w:after="0" w:line="57" w:lineRule="exact"/>
        <w:rPr>
          <w:sz w:val="20"/>
          <w:szCs w:val="20"/>
          <w:color w:val="auto"/>
        </w:rPr>
      </w:pPr>
    </w:p>
    <w:p>
      <w:pPr>
        <w:jc w:val="both"/>
        <w:ind w:right="3420"/>
        <w:spacing w:after="0" w:line="273" w:lineRule="auto"/>
        <w:rPr>
          <w:sz w:val="20"/>
          <w:szCs w:val="20"/>
          <w:color w:val="auto"/>
        </w:rPr>
      </w:pPr>
      <w:r>
        <w:rPr>
          <w:rFonts w:ascii="Courier New" w:cs="Courier New" w:eastAsia="Courier New" w:hAnsi="Courier New"/>
          <w:sz w:val="15"/>
          <w:szCs w:val="15"/>
          <w:color w:val="auto"/>
        </w:rPr>
        <w:t>The Corporation's actual credit losses arising from derivative and foreign exchange transactions were immaterial during the first six months of 1996 and 1995. Additionally, at June 30, 1996 and 1995, nonperforming derivatives contracts were immaterial.</w:t>
      </w:r>
    </w:p>
    <w:p>
      <w:pPr>
        <w:spacing w:after="0" w:line="68" w:lineRule="exact"/>
        <w:rPr>
          <w:sz w:val="20"/>
          <w:szCs w:val="20"/>
          <w:color w:val="auto"/>
        </w:rPr>
      </w:pPr>
    </w:p>
    <w:p>
      <w:pPr>
        <w:jc w:val="both"/>
        <w:ind w:right="3420"/>
        <w:spacing w:after="0" w:line="344" w:lineRule="auto"/>
        <w:rPr>
          <w:sz w:val="20"/>
          <w:szCs w:val="20"/>
          <w:color w:val="auto"/>
        </w:rPr>
      </w:pPr>
      <w:r>
        <w:rPr>
          <w:rFonts w:ascii="Courier New" w:cs="Courier New" w:eastAsia="Courier New" w:hAnsi="Courier New"/>
          <w:sz w:val="15"/>
          <w:szCs w:val="15"/>
          <w:color w:val="auto"/>
        </w:rPr>
        <w:t>The accompanying table reflects the activity in the Corporation's allowance for credit losses for the periods indicated.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60" w:type="dxa"/>
            <w:vAlign w:val="bottom"/>
            <w:gridSpan w:val="3"/>
          </w:tcPr>
          <w:p>
            <w:pPr>
              <w:jc w:val="right"/>
              <w:ind w:right="587"/>
              <w:spacing w:after="0"/>
              <w:rPr>
                <w:sz w:val="20"/>
                <w:szCs w:val="20"/>
                <w:color w:val="auto"/>
              </w:rPr>
            </w:pPr>
            <w:r>
              <w:rPr>
                <w:rFonts w:ascii="Courier New" w:cs="Courier New" w:eastAsia="Courier New" w:hAnsi="Courier New"/>
                <w:sz w:val="15"/>
                <w:szCs w:val="15"/>
                <w:color w:val="auto"/>
              </w:rPr>
              <w:t>Second Quarter</w:t>
            </w:r>
          </w:p>
        </w:tc>
        <w:tc>
          <w:tcPr>
            <w:tcW w:w="420" w:type="dxa"/>
            <w:vAlign w:val="bottom"/>
          </w:tcPr>
          <w:p>
            <w:pPr>
              <w:spacing w:after="0"/>
              <w:rPr>
                <w:sz w:val="14"/>
                <w:szCs w:val="14"/>
                <w:color w:val="auto"/>
              </w:rPr>
            </w:pPr>
          </w:p>
        </w:tc>
        <w:tc>
          <w:tcPr>
            <w:tcW w:w="154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5"/>
              </w:rPr>
              <w:t>Six Months</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rPr>
              <w:t>(in millions)</w:t>
            </w:r>
          </w:p>
        </w:tc>
        <w:tc>
          <w:tcPr>
            <w:tcW w:w="1140" w:type="dxa"/>
            <w:vAlign w:val="bottom"/>
          </w:tcPr>
          <w:p>
            <w:pPr>
              <w:spacing w:after="0"/>
              <w:rPr>
                <w:sz w:val="14"/>
                <w:szCs w:val="14"/>
                <w:color w:val="auto"/>
              </w:rPr>
            </w:pPr>
          </w:p>
        </w:tc>
        <w:tc>
          <w:tcPr>
            <w:tcW w:w="2620" w:type="dxa"/>
            <w:vAlign w:val="bottom"/>
            <w:gridSpan w:val="3"/>
            <w:vMerge w:val="restart"/>
          </w:tcPr>
          <w:p>
            <w:pPr>
              <w:ind w:left="880"/>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5"/>
                <w:szCs w:val="25"/>
                <w:color w:val="auto"/>
                <w:w w:val="70"/>
                <w:vertAlign w:val="subscript"/>
              </w:rPr>
              <w:t>1996</w:t>
            </w:r>
          </w:p>
        </w:tc>
        <w:tc>
          <w:tcPr>
            <w:tcW w:w="7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w w:val="94"/>
              </w:rPr>
              <w:t>1995</w:t>
            </w:r>
          </w:p>
        </w:tc>
        <w:tc>
          <w:tcPr>
            <w:tcW w:w="2660" w:type="dxa"/>
            <w:vAlign w:val="bottom"/>
            <w:gridSpan w:val="4"/>
          </w:tcPr>
          <w:p>
            <w:pPr>
              <w:ind w:left="20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324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1996</w:t>
            </w:r>
          </w:p>
        </w:tc>
        <w:tc>
          <w:tcPr>
            <w:tcW w:w="52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1995</w:t>
            </w: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40" w:type="dxa"/>
            <w:vAlign w:val="bottom"/>
            <w:gridSpan w:val="2"/>
          </w:tcPr>
          <w:p>
            <w:pPr>
              <w:ind w:left="880"/>
              <w:spacing w:after="0"/>
              <w:rPr>
                <w:sz w:val="20"/>
                <w:szCs w:val="20"/>
                <w:color w:val="auto"/>
              </w:rPr>
            </w:pPr>
            <w:r>
              <w:rPr>
                <w:rFonts w:ascii="Courier New" w:cs="Courier New" w:eastAsia="Courier New" w:hAnsi="Courier New"/>
                <w:sz w:val="15"/>
                <w:szCs w:val="15"/>
                <w:color w:val="auto"/>
                <w:w w:val="94"/>
              </w:rPr>
              <w:t>-----------</w:t>
            </w:r>
          </w:p>
        </w:tc>
        <w:tc>
          <w:tcPr>
            <w:tcW w:w="15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59"/>
        </w:trPr>
        <w:tc>
          <w:tcPr>
            <w:tcW w:w="43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Total Allowance at Beginning of Period</w:t>
            </w:r>
          </w:p>
        </w:tc>
        <w:tc>
          <w:tcPr>
            <w:tcW w:w="1320" w:type="dxa"/>
            <w:vAlign w:val="bottom"/>
          </w:tcPr>
          <w:p>
            <w:pPr>
              <w:ind w:left="88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3,683</w:t>
            </w:r>
          </w:p>
        </w:tc>
        <w:tc>
          <w:tcPr>
            <w:tcW w:w="7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3"/>
              </w:rPr>
              <w:t>3,874</w:t>
            </w:r>
          </w:p>
        </w:tc>
        <w:tc>
          <w:tcPr>
            <w:tcW w:w="42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3,784</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3,894</w:t>
            </w:r>
          </w:p>
        </w:tc>
        <w:tc>
          <w:tcPr>
            <w:tcW w:w="0" w:type="dxa"/>
            <w:vAlign w:val="bottom"/>
          </w:tcPr>
          <w:p>
            <w:pPr>
              <w:spacing w:after="0"/>
              <w:rPr>
                <w:sz w:val="1"/>
                <w:szCs w:val="1"/>
                <w:color w:val="auto"/>
              </w:rPr>
            </w:pP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Provision for Losses</w:t>
            </w: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w:t>
            </w:r>
          </w:p>
        </w:tc>
        <w:tc>
          <w:tcPr>
            <w:tcW w:w="78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195</w:t>
            </w:r>
          </w:p>
        </w:tc>
        <w:tc>
          <w:tcPr>
            <w:tcW w:w="42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495</w:t>
            </w:r>
          </w:p>
        </w:tc>
        <w:tc>
          <w:tcPr>
            <w:tcW w:w="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380</w:t>
            </w:r>
          </w:p>
        </w:tc>
        <w:tc>
          <w:tcPr>
            <w:tcW w:w="0" w:type="dxa"/>
            <w:vAlign w:val="bottom"/>
          </w:tcPr>
          <w:p>
            <w:pPr>
              <w:spacing w:after="0"/>
              <w:rPr>
                <w:sz w:val="1"/>
                <w:szCs w:val="1"/>
                <w:color w:val="auto"/>
              </w:rPr>
            </w:pP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Charge-Offs</w:t>
            </w: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(318)</w:t>
            </w:r>
          </w:p>
        </w:tc>
        <w:tc>
          <w:tcPr>
            <w:tcW w:w="78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(323)</w:t>
            </w:r>
          </w:p>
        </w:tc>
        <w:tc>
          <w:tcPr>
            <w:tcW w:w="42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(630)</w:t>
            </w:r>
          </w:p>
        </w:tc>
        <w:tc>
          <w:tcPr>
            <w:tcW w:w="5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(606)</w:t>
            </w:r>
          </w:p>
        </w:tc>
        <w:tc>
          <w:tcPr>
            <w:tcW w:w="0" w:type="dxa"/>
            <w:vAlign w:val="bottom"/>
          </w:tcPr>
          <w:p>
            <w:pPr>
              <w:spacing w:after="0"/>
              <w:rPr>
                <w:sz w:val="1"/>
                <w:szCs w:val="1"/>
                <w:color w:val="auto"/>
              </w:rPr>
            </w:pP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Recoveries</w:t>
            </w: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w:t>
            </w:r>
          </w:p>
        </w:tc>
        <w:tc>
          <w:tcPr>
            <w:tcW w:w="78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101</w:t>
            </w:r>
          </w:p>
        </w:tc>
        <w:tc>
          <w:tcPr>
            <w:tcW w:w="42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135</w:t>
            </w:r>
          </w:p>
        </w:tc>
        <w:tc>
          <w:tcPr>
            <w:tcW w:w="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177</w:t>
            </w:r>
          </w:p>
        </w:tc>
        <w:tc>
          <w:tcPr>
            <w:tcW w:w="0" w:type="dxa"/>
            <w:vAlign w:val="bottom"/>
          </w:tcPr>
          <w:p>
            <w:pPr>
              <w:spacing w:after="0"/>
              <w:rPr>
                <w:sz w:val="1"/>
                <w:szCs w:val="1"/>
                <w:color w:val="auto"/>
              </w:rPr>
            </w:pPr>
          </w:p>
        </w:tc>
      </w:tr>
      <w:tr>
        <w:trPr>
          <w:trHeight w:val="168"/>
        </w:trPr>
        <w:tc>
          <w:tcPr>
            <w:tcW w:w="324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Subtotal Net Charge-Offs</w:t>
            </w:r>
          </w:p>
        </w:tc>
        <w:tc>
          <w:tcPr>
            <w:tcW w:w="1140" w:type="dxa"/>
            <w:vAlign w:val="bottom"/>
          </w:tcPr>
          <w:p>
            <w:pPr>
              <w:spacing w:after="0"/>
              <w:rPr>
                <w:sz w:val="14"/>
                <w:szCs w:val="14"/>
                <w:color w:val="auto"/>
              </w:rPr>
            </w:pPr>
          </w:p>
        </w:tc>
        <w:tc>
          <w:tcPr>
            <w:tcW w:w="1320" w:type="dxa"/>
            <w:vAlign w:val="bottom"/>
          </w:tcPr>
          <w:p>
            <w:pPr>
              <w:ind w:left="880"/>
              <w:spacing w:after="0"/>
              <w:rPr>
                <w:sz w:val="20"/>
                <w:szCs w:val="20"/>
                <w:color w:val="auto"/>
              </w:rPr>
            </w:pPr>
            <w:r>
              <w:rPr>
                <w:rFonts w:ascii="Courier New" w:cs="Courier New" w:eastAsia="Courier New" w:hAnsi="Courier New"/>
                <w:sz w:val="9"/>
                <w:szCs w:val="9"/>
                <w:color w:val="auto"/>
                <w:w w:val="77"/>
              </w:rPr>
              <w:t>----------</w:t>
            </w: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(250)</w:t>
            </w:r>
          </w:p>
        </w:tc>
        <w:tc>
          <w:tcPr>
            <w:tcW w:w="15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4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(222)</w:t>
            </w:r>
          </w:p>
        </w:tc>
        <w:tc>
          <w:tcPr>
            <w:tcW w:w="42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(495)</w:t>
            </w:r>
          </w:p>
        </w:tc>
        <w:tc>
          <w:tcPr>
            <w:tcW w:w="5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(429)</w:t>
            </w:r>
          </w:p>
        </w:tc>
        <w:tc>
          <w:tcPr>
            <w:tcW w:w="0" w:type="dxa"/>
            <w:vAlign w:val="bottom"/>
          </w:tcPr>
          <w:p>
            <w:pPr>
              <w:spacing w:after="0"/>
              <w:rPr>
                <w:sz w:val="1"/>
                <w:szCs w:val="1"/>
                <w:color w:val="auto"/>
              </w:rPr>
            </w:pPr>
          </w:p>
        </w:tc>
      </w:tr>
      <w:tr>
        <w:trPr>
          <w:trHeight w:val="168"/>
        </w:trPr>
        <w:tc>
          <w:tcPr>
            <w:tcW w:w="43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Charge Related to Conforming Credit</w:t>
            </w:r>
          </w:p>
        </w:tc>
        <w:tc>
          <w:tcPr>
            <w:tcW w:w="1320" w:type="dxa"/>
            <w:vAlign w:val="bottom"/>
          </w:tcPr>
          <w:p>
            <w:pPr>
              <w:spacing w:after="0"/>
              <w:rPr>
                <w:sz w:val="14"/>
                <w:szCs w:val="14"/>
                <w:color w:val="auto"/>
              </w:rPr>
            </w:pPr>
          </w:p>
        </w:tc>
        <w:tc>
          <w:tcPr>
            <w:tcW w:w="5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7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10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(102)</w:t>
            </w:r>
          </w:p>
        </w:tc>
        <w:tc>
          <w:tcPr>
            <w:tcW w:w="520" w:type="dxa"/>
            <w:vAlign w:val="bottom"/>
          </w:tcPr>
          <w:p>
            <w:pPr>
              <w:spacing w:after="0"/>
              <w:rPr>
                <w:sz w:val="14"/>
                <w:szCs w:val="14"/>
                <w:color w:val="auto"/>
              </w:rPr>
            </w:pP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Card Charge-off Policies</w:t>
            </w: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Total Net Charge-offs</w:t>
            </w:r>
          </w:p>
        </w:tc>
        <w:tc>
          <w:tcPr>
            <w:tcW w:w="1140" w:type="dxa"/>
            <w:vAlign w:val="bottom"/>
          </w:tcPr>
          <w:p>
            <w:pPr>
              <w:spacing w:after="0"/>
              <w:rPr>
                <w:sz w:val="14"/>
                <w:szCs w:val="14"/>
                <w:color w:val="auto"/>
              </w:rPr>
            </w:pPr>
          </w:p>
        </w:tc>
        <w:tc>
          <w:tcPr>
            <w:tcW w:w="1320" w:type="dxa"/>
            <w:vAlign w:val="bottom"/>
          </w:tcPr>
          <w:p>
            <w:pPr>
              <w:ind w:left="880"/>
              <w:spacing w:after="0"/>
              <w:rPr>
                <w:sz w:val="20"/>
                <w:szCs w:val="20"/>
                <w:color w:val="auto"/>
              </w:rPr>
            </w:pPr>
            <w:r>
              <w:rPr>
                <w:rFonts w:ascii="Courier New" w:cs="Courier New" w:eastAsia="Courier New" w:hAnsi="Courier New"/>
                <w:sz w:val="9"/>
                <w:szCs w:val="9"/>
                <w:color w:val="auto"/>
                <w:w w:val="77"/>
              </w:rPr>
              <w:t>----------</w:t>
            </w: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(250)</w:t>
            </w:r>
          </w:p>
        </w:tc>
        <w:tc>
          <w:tcPr>
            <w:tcW w:w="15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4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(222)</w:t>
            </w:r>
          </w:p>
        </w:tc>
        <w:tc>
          <w:tcPr>
            <w:tcW w:w="42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(597)</w:t>
            </w:r>
          </w:p>
        </w:tc>
        <w:tc>
          <w:tcPr>
            <w:tcW w:w="5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(429)</w:t>
            </w:r>
          </w:p>
        </w:tc>
        <w:tc>
          <w:tcPr>
            <w:tcW w:w="0" w:type="dxa"/>
            <w:vAlign w:val="bottom"/>
          </w:tcPr>
          <w:p>
            <w:pPr>
              <w:spacing w:after="0"/>
              <w:rPr>
                <w:sz w:val="1"/>
                <w:szCs w:val="1"/>
                <w:color w:val="auto"/>
              </w:rPr>
            </w:pP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w:t>
            </w: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w:t>
            </w:r>
          </w:p>
        </w:tc>
        <w:tc>
          <w:tcPr>
            <w:tcW w:w="78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42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w:t>
            </w:r>
          </w:p>
        </w:tc>
        <w:tc>
          <w:tcPr>
            <w:tcW w:w="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240" w:type="dxa"/>
            <w:vAlign w:val="bottom"/>
          </w:tcPr>
          <w:p>
            <w:pPr>
              <w:ind w:left="360"/>
              <w:spacing w:after="0"/>
              <w:rPr>
                <w:sz w:val="20"/>
                <w:szCs w:val="20"/>
                <w:color w:val="auto"/>
              </w:rPr>
            </w:pPr>
            <w:r>
              <w:rPr>
                <w:rFonts w:ascii="Courier New" w:cs="Courier New" w:eastAsia="Courier New" w:hAnsi="Courier New"/>
                <w:sz w:val="15"/>
                <w:szCs w:val="15"/>
                <w:color w:val="auto"/>
                <w:w w:val="99"/>
              </w:rPr>
              <w:t>Total Allowance at End of Period</w:t>
            </w:r>
          </w:p>
        </w:tc>
        <w:tc>
          <w:tcPr>
            <w:tcW w:w="1140" w:type="dxa"/>
            <w:vAlign w:val="bottom"/>
          </w:tcPr>
          <w:p>
            <w:pPr>
              <w:spacing w:after="0"/>
              <w:rPr>
                <w:sz w:val="22"/>
                <w:szCs w:val="22"/>
                <w:color w:val="auto"/>
              </w:rPr>
            </w:pPr>
          </w:p>
        </w:tc>
        <w:tc>
          <w:tcPr>
            <w:tcW w:w="1320" w:type="dxa"/>
            <w:vAlign w:val="bottom"/>
          </w:tcPr>
          <w:p>
            <w:pPr>
              <w:ind w:left="88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3,692</w:t>
            </w:r>
          </w:p>
        </w:tc>
        <w:tc>
          <w:tcPr>
            <w:tcW w:w="7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3"/>
              </w:rPr>
              <w:t>3,846</w:t>
            </w:r>
          </w:p>
        </w:tc>
        <w:tc>
          <w:tcPr>
            <w:tcW w:w="42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3,692</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3,846</w:t>
            </w: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27"/>
        </w:trPr>
        <w:tc>
          <w:tcPr>
            <w:tcW w:w="7000" w:type="dxa"/>
            <w:vAlign w:val="bottom"/>
            <w:gridSpan w:val="5"/>
          </w:tcPr>
          <w:p>
            <w:pPr>
              <w:spacing w:after="0"/>
              <w:rPr>
                <w:sz w:val="20"/>
                <w:szCs w:val="20"/>
                <w:color w:val="auto"/>
              </w:rPr>
            </w:pPr>
            <w:r>
              <w:rPr>
                <w:rFonts w:ascii="Courier New" w:cs="Courier New" w:eastAsia="Courier New" w:hAnsi="Courier New"/>
                <w:sz w:val="15"/>
                <w:szCs w:val="15"/>
                <w:color w:val="auto"/>
                <w:w w:val="96"/>
              </w:rPr>
              <w:t>The following table presents the Corporation's allowance coverage ratios at June</w:t>
            </w: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380" w:type="dxa"/>
            <w:vAlign w:val="bottom"/>
            <w:gridSpan w:val="2"/>
          </w:tcPr>
          <w:p>
            <w:pPr>
              <w:spacing w:after="0"/>
              <w:rPr>
                <w:sz w:val="20"/>
                <w:szCs w:val="20"/>
                <w:color w:val="auto"/>
              </w:rPr>
            </w:pPr>
            <w:r>
              <w:rPr>
                <w:rFonts w:ascii="Courier New" w:cs="Courier New" w:eastAsia="Courier New" w:hAnsi="Courier New"/>
                <w:sz w:val="15"/>
                <w:szCs w:val="15"/>
                <w:color w:val="auto"/>
              </w:rPr>
              <w:t>30, 1996, December 31, 1995 and June 30, 1995.</w:t>
            </w:r>
          </w:p>
        </w:tc>
        <w:tc>
          <w:tcPr>
            <w:tcW w:w="1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240" w:type="dxa"/>
            <w:vAlign w:val="bottom"/>
          </w:tcPr>
          <w:p>
            <w:pPr>
              <w:spacing w:after="0"/>
              <w:rPr>
                <w:sz w:val="20"/>
                <w:szCs w:val="20"/>
                <w:color w:val="auto"/>
              </w:rPr>
            </w:pPr>
            <w:r>
              <w:rPr>
                <w:rFonts w:ascii="Courier New" w:cs="Courier New" w:eastAsia="Courier New" w:hAnsi="Courier New"/>
                <w:sz w:val="15"/>
                <w:szCs w:val="15"/>
                <w:color w:val="auto"/>
              </w:rPr>
              <w:t>Allowance Coverage Ratios</w:t>
            </w:r>
          </w:p>
        </w:tc>
        <w:tc>
          <w:tcPr>
            <w:tcW w:w="1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rPr>
              <w:t>For the Period Ended:</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June 30,</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w w:val="96"/>
              </w:rPr>
              <w:t>December 31,</w:t>
            </w:r>
          </w:p>
        </w:tc>
        <w:tc>
          <w:tcPr>
            <w:tcW w:w="520" w:type="dxa"/>
            <w:vAlign w:val="bottom"/>
          </w:tcPr>
          <w:p>
            <w:pPr>
              <w:spacing w:after="0"/>
              <w:rPr>
                <w:sz w:val="22"/>
                <w:szCs w:val="22"/>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June 30,</w:t>
            </w: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240" w:type="dxa"/>
            <w:vAlign w:val="bottom"/>
            <w:vMerge w:val="continue"/>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1996</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1995</w:t>
            </w: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1995</w:t>
            </w: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1"/>
                <w:szCs w:val="21"/>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21"/>
                <w:szCs w:val="21"/>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240" w:type="dxa"/>
            <w:vAlign w:val="bottom"/>
          </w:tcPr>
          <w:p>
            <w:pPr>
              <w:spacing w:after="0"/>
              <w:rPr>
                <w:sz w:val="20"/>
                <w:szCs w:val="20"/>
                <w:color w:val="auto"/>
              </w:rPr>
            </w:pPr>
            <w:r>
              <w:rPr>
                <w:rFonts w:ascii="Courier New" w:cs="Courier New" w:eastAsia="Courier New" w:hAnsi="Courier New"/>
                <w:sz w:val="15"/>
                <w:szCs w:val="15"/>
                <w:color w:val="auto"/>
              </w:rPr>
              <w:t>Allowance for Credit Losses to:</w:t>
            </w:r>
          </w:p>
        </w:tc>
        <w:tc>
          <w:tcPr>
            <w:tcW w:w="11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2.44%</w:t>
            </w:r>
          </w:p>
        </w:tc>
        <w:tc>
          <w:tcPr>
            <w:tcW w:w="1320" w:type="dxa"/>
            <w:vAlign w:val="bottom"/>
            <w:vMerge w:val="restart"/>
          </w:tcPr>
          <w:p>
            <w:pPr>
              <w:ind w:left="880"/>
              <w:spacing w:after="0"/>
              <w:rPr>
                <w:sz w:val="20"/>
                <w:szCs w:val="20"/>
                <w:color w:val="auto"/>
              </w:rPr>
            </w:pPr>
            <w:r>
              <w:rPr>
                <w:rFonts w:ascii="Courier New" w:cs="Courier New" w:eastAsia="Courier New" w:hAnsi="Courier New"/>
                <w:sz w:val="15"/>
                <w:szCs w:val="15"/>
                <w:color w:val="auto"/>
                <w:w w:val="93"/>
              </w:rPr>
              <w:t>2.52%</w:t>
            </w:r>
          </w:p>
        </w:tc>
        <w:tc>
          <w:tcPr>
            <w:tcW w:w="520" w:type="dxa"/>
            <w:vAlign w:val="bottom"/>
          </w:tcPr>
          <w:p>
            <w:pPr>
              <w:spacing w:after="0"/>
              <w:rPr>
                <w:sz w:val="22"/>
                <w:szCs w:val="22"/>
                <w:color w:val="auto"/>
              </w:rPr>
            </w:pP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2.57%</w:t>
            </w: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Loans at Period-End</w:t>
            </w:r>
          </w:p>
        </w:tc>
        <w:tc>
          <w:tcPr>
            <w:tcW w:w="114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Average Loans</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2.46</w:t>
            </w:r>
          </w:p>
        </w:tc>
        <w:tc>
          <w:tcPr>
            <w:tcW w:w="13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2.58</w:t>
            </w:r>
          </w:p>
        </w:tc>
        <w:tc>
          <w:tcPr>
            <w:tcW w:w="5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2.67</w:t>
            </w: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240" w:type="dxa"/>
            <w:vAlign w:val="bottom"/>
          </w:tcPr>
          <w:p>
            <w:pPr>
              <w:ind w:left="360"/>
              <w:spacing w:after="0"/>
              <w:rPr>
                <w:sz w:val="20"/>
                <w:szCs w:val="20"/>
                <w:color w:val="auto"/>
              </w:rPr>
            </w:pPr>
            <w:r>
              <w:rPr>
                <w:rFonts w:ascii="Courier New" w:cs="Courier New" w:eastAsia="Courier New" w:hAnsi="Courier New"/>
                <w:sz w:val="15"/>
                <w:szCs w:val="15"/>
                <w:color w:val="auto"/>
              </w:rPr>
              <w:t>Nonperforming Loans</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246.46</w:t>
            </w:r>
          </w:p>
        </w:tc>
        <w:tc>
          <w:tcPr>
            <w:tcW w:w="1320" w:type="dxa"/>
            <w:vAlign w:val="bottom"/>
          </w:tcPr>
          <w:p>
            <w:pPr>
              <w:ind w:left="700"/>
              <w:spacing w:after="0"/>
              <w:rPr>
                <w:sz w:val="20"/>
                <w:szCs w:val="20"/>
                <w:color w:val="auto"/>
              </w:rPr>
            </w:pPr>
            <w:r>
              <w:rPr>
                <w:rFonts w:ascii="Courier New" w:cs="Courier New" w:eastAsia="Courier New" w:hAnsi="Courier New"/>
                <w:sz w:val="15"/>
                <w:szCs w:val="15"/>
                <w:color w:val="auto"/>
              </w:rPr>
              <w:t>253.45</w:t>
            </w:r>
          </w:p>
        </w:tc>
        <w:tc>
          <w:tcPr>
            <w:tcW w:w="520" w:type="dxa"/>
            <w:vAlign w:val="bottom"/>
          </w:tcPr>
          <w:p>
            <w:pPr>
              <w:spacing w:after="0"/>
              <w:rPr>
                <w:sz w:val="21"/>
                <w:szCs w:val="21"/>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206.33</w:t>
            </w: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5"/>
        </w:trPr>
        <w:tc>
          <w:tcPr>
            <w:tcW w:w="3240" w:type="dxa"/>
            <w:vAlign w:val="bottom"/>
          </w:tcPr>
          <w:p>
            <w:pPr>
              <w:spacing w:after="0"/>
              <w:rPr>
                <w:sz w:val="24"/>
                <w:szCs w:val="24"/>
                <w:color w:val="auto"/>
              </w:rPr>
            </w:pPr>
          </w:p>
        </w:tc>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-37-</w:t>
            </w: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20"/>
          </w:cols>
          <w:pgMar w:left="220" w:top="598" w:right="1259" w:bottom="1440" w:gutter="0" w:footer="0" w:header="0"/>
        </w:sectPr>
      </w:pPr>
    </w:p>
    <w:bookmarkStart w:id="37" w:name="page38"/>
    <w:bookmarkEnd w:id="37"/>
    <w:p>
      <w:pPr>
        <w:ind w:left="180" w:hanging="170"/>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MARKET RISK MANAGEMENT</w:t>
      </w:r>
    </w:p>
    <w:p>
      <w:pPr>
        <w:ind w:left="180" w:hanging="170"/>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Trading Activities</w:t>
      </w:r>
    </w:p>
    <w:p>
      <w:pPr>
        <w:spacing w:after="0" w:line="24" w:lineRule="exact"/>
        <w:rPr>
          <w:sz w:val="20"/>
          <w:szCs w:val="20"/>
          <w:color w:val="auto"/>
        </w:rPr>
      </w:pPr>
    </w:p>
    <w:p>
      <w:pPr>
        <w:jc w:val="both"/>
        <w:ind w:right="3239"/>
        <w:spacing w:after="0" w:line="247" w:lineRule="auto"/>
        <w:rPr>
          <w:sz w:val="20"/>
          <w:szCs w:val="20"/>
          <w:color w:val="auto"/>
        </w:rPr>
      </w:pPr>
      <w:r>
        <w:rPr>
          <w:rFonts w:ascii="Courier New" w:cs="Courier New" w:eastAsia="Courier New" w:hAnsi="Courier New"/>
          <w:sz w:val="15"/>
          <w:szCs w:val="15"/>
          <w:color w:val="auto"/>
        </w:rPr>
        <w:t>Measuring Market Risk: Market risk is measured and monitored on a daily basis through a value-at-risk ("VAR") methodology. VAR is defined as the potential overnight dollar loss from adverse market movements, with 97.5% confidence based on historical prices and market rates. The quantification of market risk through a VAR methodology requires a number of key assumptions including confidence level for losses, number of days of price history, the holding period, the measurement of inter-business correlation, and the treatment of risks outside the VAR methodology, including event risk and liquidity risk.</w:t>
      </w:r>
    </w:p>
    <w:p>
      <w:pPr>
        <w:spacing w:after="0" w:line="8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[GRAPH NUMBER 1]</w:t>
      </w:r>
    </w:p>
    <w:p>
      <w:pPr>
        <w:spacing w:after="0" w:line="166" w:lineRule="exact"/>
        <w:rPr>
          <w:sz w:val="20"/>
          <w:szCs w:val="20"/>
          <w:color w:val="auto"/>
        </w:rPr>
      </w:pPr>
    </w:p>
    <w:p>
      <w:pPr>
        <w:jc w:val="both"/>
        <w:ind w:right="3239"/>
        <w:spacing w:after="0" w:line="257" w:lineRule="auto"/>
        <w:rPr>
          <w:sz w:val="20"/>
          <w:szCs w:val="20"/>
          <w:color w:val="auto"/>
        </w:rPr>
      </w:pPr>
      <w:r>
        <w:rPr>
          <w:rFonts w:ascii="Courier New" w:cs="Courier New" w:eastAsia="Courier New" w:hAnsi="Courier New"/>
          <w:sz w:val="14"/>
          <w:szCs w:val="14"/>
          <w:color w:val="auto"/>
        </w:rPr>
        <w:t>The preceding chart contains a histogram of the Corporation's daily market risk-related revenue. Market risk-related revenue is defined as the daily change in value in marked-to-market trading portfolios plus any trading-related net interest income or other revenue. Based on actual trading results for the twelve months ended June 30, 1996, which captures the historical correlation among business units, 95% of the variation in the Corporation's daily trading results fell within a $22 million band centered on the daily average amount of $8 million. For the twelve months ended June 30, 1996, the Corporation posted positive daily market risk-related revenue for 243 out of 259 business trading days for international and domestic units. For 231 of the 259 days, the Corporation's daily market risk-related revenue or losses occurred within the negative $5 million to positive $15 million range, which is representative of</w:t>
      </w:r>
    </w:p>
    <w:p>
      <w:pPr>
        <w:spacing w:after="0" w:line="6" w:lineRule="exact"/>
        <w:rPr>
          <w:sz w:val="20"/>
          <w:szCs w:val="20"/>
          <w:color w:val="auto"/>
        </w:rPr>
      </w:pPr>
    </w:p>
    <w:p>
      <w:pPr>
        <w:jc w:val="both"/>
        <w:ind w:right="3239"/>
        <w:spacing w:after="0" w:line="272" w:lineRule="auto"/>
        <w:rPr>
          <w:sz w:val="20"/>
          <w:szCs w:val="20"/>
          <w:color w:val="auto"/>
        </w:rPr>
      </w:pPr>
      <w:r>
        <w:rPr>
          <w:rFonts w:ascii="Courier New" w:cs="Courier New" w:eastAsia="Courier New" w:hAnsi="Courier New"/>
          <w:sz w:val="15"/>
          <w:szCs w:val="15"/>
          <w:color w:val="auto"/>
        </w:rPr>
        <w:t>the Corporation's emphasis on non-proprietary activities, including market-making, sales and arbitrage. For a further discussion of measuring market risk, see pages 40-41 of the Corporation's 1995 Annual Report.</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Asset/Liability Management</w:t>
      </w:r>
    </w:p>
    <w:p>
      <w:pPr>
        <w:spacing w:after="0" w:line="24" w:lineRule="exact"/>
        <w:rPr>
          <w:sz w:val="20"/>
          <w:szCs w:val="20"/>
          <w:color w:val="auto"/>
        </w:rPr>
      </w:pPr>
    </w:p>
    <w:p>
      <w:pPr>
        <w:jc w:val="both"/>
        <w:ind w:right="3239"/>
        <w:spacing w:after="0" w:line="261" w:lineRule="auto"/>
        <w:rPr>
          <w:sz w:val="20"/>
          <w:szCs w:val="20"/>
          <w:color w:val="auto"/>
        </w:rPr>
      </w:pPr>
      <w:r>
        <w:rPr>
          <w:rFonts w:ascii="Courier New" w:cs="Courier New" w:eastAsia="Courier New" w:hAnsi="Courier New"/>
          <w:sz w:val="14"/>
          <w:szCs w:val="14"/>
          <w:color w:val="auto"/>
        </w:rPr>
        <w:t>The objective of the ALM process is to manage and control the sensitivity of the Corporation's income to changes in market interest rates. The Corporation's net interest income is affected by changes in the level of market interest rates based upon differences in timing between the contractual maturity or the repricing (the "repricing") of its assets and liabilities. Interest rate sensitivity arises in the ordinary course of the Corporation's banking business as the repricing characteristics of its loans do not necessarily match those of its deposits and other borrowings. This sensitivity can be managed by altering the repricing of the Corporation's assets or liabilities, and with the use of derivative instruments. For a further discussion of the Corporation's ALM process and the derivative instruments used in its ALM activities, see pages 41-44 and Note Eighteen of the Corporation's 1995 Annual Report. A discussion of the accounting policies relating to derivatives used for ALM activities is provided in Note One of the Corporation's 1995 Annual Report.</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Measuring Interest Rate Sensitivity:</w:t>
      </w:r>
    </w:p>
    <w:p>
      <w:pPr>
        <w:spacing w:after="0" w:line="24" w:lineRule="exact"/>
        <w:rPr>
          <w:sz w:val="20"/>
          <w:szCs w:val="20"/>
          <w:color w:val="auto"/>
        </w:rPr>
      </w:pPr>
    </w:p>
    <w:p>
      <w:pPr>
        <w:jc w:val="both"/>
        <w:ind w:right="3239"/>
        <w:spacing w:after="0" w:line="247" w:lineRule="auto"/>
        <w:rPr>
          <w:sz w:val="20"/>
          <w:szCs w:val="20"/>
          <w:color w:val="auto"/>
        </w:rPr>
      </w:pPr>
      <w:r>
        <w:rPr>
          <w:rFonts w:ascii="Courier New" w:cs="Courier New" w:eastAsia="Courier New" w:hAnsi="Courier New"/>
          <w:sz w:val="15"/>
          <w:szCs w:val="15"/>
          <w:color w:val="auto"/>
        </w:rPr>
        <w:t>One tool used by management to measure the interest rate sensitivity of the Corporation is aggregate net gap analysis, an example of which is presented below. Assets and liabilities are placed in gap intervals based on their repricing dates. Assets and liabilities for which no specific repricing dates exist are placed in gap intervals based on management's judgment and statistical analysis concerning their most likely repricing behaviors. Derivatives used in interest rate sensitivity management are also included in the applicable gap intervals.</w:t>
      </w:r>
    </w:p>
    <w:p>
      <w:pPr>
        <w:spacing w:after="0" w:line="89" w:lineRule="exact"/>
        <w:rPr>
          <w:sz w:val="20"/>
          <w:szCs w:val="20"/>
          <w:color w:val="auto"/>
        </w:rPr>
      </w:pPr>
    </w:p>
    <w:p>
      <w:pPr>
        <w:jc w:val="both"/>
        <w:ind w:right="3239"/>
        <w:spacing w:after="0" w:line="276" w:lineRule="auto"/>
        <w:rPr>
          <w:sz w:val="20"/>
          <w:szCs w:val="20"/>
          <w:color w:val="auto"/>
        </w:rPr>
      </w:pPr>
      <w:r>
        <w:rPr>
          <w:rFonts w:ascii="Courier New" w:cs="Courier New" w:eastAsia="Courier New" w:hAnsi="Courier New"/>
          <w:sz w:val="14"/>
          <w:szCs w:val="14"/>
          <w:color w:val="auto"/>
        </w:rPr>
        <w:t>A net gap for each time period is calculated by subtracting the liabilities repricing in that interval from the assets repricing. A negative gap - more liabilities repricing than assets - will benefit net interest income in a declining interest rate environment and will detract from net interest income in a rising interest rate environment. Conversely, a positive gap - more assets repricing than liabilities - will benefit net interest income if rates are rising and will detract from net interest income in a falling rate environment.</w:t>
      </w:r>
    </w:p>
    <w:p>
      <w:pPr>
        <w:spacing w:after="0" w:line="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598" w:right="1440"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20"/>
                <w:szCs w:val="20"/>
                <w:color w:val="auto"/>
              </w:rPr>
            </w:pPr>
            <w:r>
              <w:rPr>
                <w:rFonts w:ascii="Courier New" w:cs="Courier New" w:eastAsia="Courier New" w:hAnsi="Courier New"/>
                <w:sz w:val="15"/>
                <w:szCs w:val="15"/>
                <w:color w:val="auto"/>
              </w:rPr>
              <w:t>Condensed Interest Sensitivity Table</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20" w:type="dxa"/>
            <w:vAlign w:val="bottom"/>
          </w:tcPr>
          <w:p>
            <w:pPr>
              <w:spacing w:after="0"/>
              <w:rPr>
                <w:sz w:val="14"/>
                <w:szCs w:val="14"/>
                <w:color w:val="auto"/>
              </w:rPr>
            </w:pPr>
          </w:p>
        </w:tc>
        <w:tc>
          <w:tcPr>
            <w:tcW w:w="9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1-3</w:t>
            </w:r>
          </w:p>
        </w:tc>
        <w:tc>
          <w:tcPr>
            <w:tcW w:w="160" w:type="dxa"/>
            <w:vAlign w:val="bottom"/>
          </w:tcPr>
          <w:p>
            <w:pPr>
              <w:spacing w:after="0"/>
              <w:rPr>
                <w:sz w:val="14"/>
                <w:szCs w:val="14"/>
                <w:color w:val="auto"/>
              </w:rPr>
            </w:pPr>
          </w:p>
        </w:tc>
        <w:tc>
          <w:tcPr>
            <w:tcW w:w="110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4-6</w:t>
            </w:r>
          </w:p>
        </w:tc>
        <w:tc>
          <w:tcPr>
            <w:tcW w:w="300" w:type="dxa"/>
            <w:vAlign w:val="bottom"/>
          </w:tcPr>
          <w:p>
            <w:pPr>
              <w:spacing w:after="0"/>
              <w:rPr>
                <w:sz w:val="14"/>
                <w:szCs w:val="14"/>
                <w:color w:val="auto"/>
              </w:rPr>
            </w:pPr>
          </w:p>
        </w:tc>
        <w:tc>
          <w:tcPr>
            <w:tcW w:w="1020" w:type="dxa"/>
            <w:vAlign w:val="bottom"/>
            <w:vMerge w:val="restart"/>
          </w:tcPr>
          <w:p>
            <w:pPr>
              <w:jc w:val="center"/>
              <w:ind w:right="67"/>
              <w:spacing w:after="0"/>
              <w:rPr>
                <w:sz w:val="20"/>
                <w:szCs w:val="20"/>
                <w:color w:val="auto"/>
              </w:rPr>
            </w:pPr>
            <w:r>
              <w:rPr>
                <w:rFonts w:ascii="Courier New" w:cs="Courier New" w:eastAsia="Courier New" w:hAnsi="Courier New"/>
                <w:sz w:val="15"/>
                <w:szCs w:val="15"/>
                <w:color w:val="auto"/>
                <w:w w:val="99"/>
              </w:rPr>
              <w:t>7-12</w:t>
            </w:r>
          </w:p>
        </w:tc>
        <w:tc>
          <w:tcPr>
            <w:tcW w:w="300" w:type="dxa"/>
            <w:vAlign w:val="bottom"/>
          </w:tcPr>
          <w:p>
            <w:pPr>
              <w:spacing w:after="0"/>
              <w:rPr>
                <w:sz w:val="14"/>
                <w:szCs w:val="14"/>
                <w:color w:val="auto"/>
              </w:rPr>
            </w:pPr>
          </w:p>
        </w:tc>
        <w:tc>
          <w:tcPr>
            <w:tcW w:w="700" w:type="dxa"/>
            <w:vAlign w:val="bottom"/>
            <w:vMerge w:val="restart"/>
          </w:tcPr>
          <w:p>
            <w:pPr>
              <w:jc w:val="center"/>
              <w:ind w:left="7"/>
              <w:spacing w:after="0"/>
              <w:rPr>
                <w:sz w:val="20"/>
                <w:szCs w:val="20"/>
                <w:color w:val="auto"/>
              </w:rPr>
            </w:pPr>
            <w:r>
              <w:rPr>
                <w:rFonts w:ascii="Courier New" w:cs="Courier New" w:eastAsia="Courier New" w:hAnsi="Courier New"/>
                <w:sz w:val="15"/>
                <w:szCs w:val="15"/>
                <w:color w:val="auto"/>
                <w:w w:val="96"/>
              </w:rPr>
              <w:t>1-5</w:t>
            </w:r>
          </w:p>
        </w:tc>
        <w:tc>
          <w:tcPr>
            <w:tcW w:w="0" w:type="dxa"/>
            <w:vAlign w:val="bottom"/>
          </w:tcPr>
          <w:p>
            <w:pPr>
              <w:spacing w:after="0"/>
              <w:rPr>
                <w:sz w:val="1"/>
                <w:szCs w:val="1"/>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(in millions)</w:t>
            </w:r>
          </w:p>
        </w:tc>
        <w:tc>
          <w:tcPr>
            <w:tcW w:w="5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At June 30, 1996</w:t>
            </w:r>
          </w:p>
        </w:tc>
        <w:tc>
          <w:tcPr>
            <w:tcW w:w="52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Months</w:t>
            </w:r>
          </w:p>
        </w:tc>
        <w:tc>
          <w:tcPr>
            <w:tcW w:w="16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Months</w:t>
            </w:r>
          </w:p>
        </w:tc>
        <w:tc>
          <w:tcPr>
            <w:tcW w:w="300" w:type="dxa"/>
            <w:vAlign w:val="bottom"/>
          </w:tcPr>
          <w:p>
            <w:pPr>
              <w:spacing w:after="0"/>
              <w:rPr>
                <w:sz w:val="14"/>
                <w:szCs w:val="14"/>
                <w:color w:val="auto"/>
              </w:rPr>
            </w:pPr>
          </w:p>
        </w:tc>
        <w:tc>
          <w:tcPr>
            <w:tcW w:w="10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Months</w:t>
            </w:r>
          </w:p>
        </w:tc>
        <w:tc>
          <w:tcPr>
            <w:tcW w:w="300" w:type="dxa"/>
            <w:vAlign w:val="bottom"/>
          </w:tcPr>
          <w:p>
            <w:pPr>
              <w:spacing w:after="0"/>
              <w:rPr>
                <w:sz w:val="14"/>
                <w:szCs w:val="14"/>
                <w:color w:val="auto"/>
              </w:rPr>
            </w:pPr>
          </w:p>
        </w:tc>
        <w:tc>
          <w:tcPr>
            <w:tcW w:w="70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3"/>
              </w:rPr>
              <w:t>Years</w:t>
            </w:r>
          </w:p>
        </w:tc>
        <w:tc>
          <w:tcPr>
            <w:tcW w:w="0" w:type="dxa"/>
            <w:vAlign w:val="bottom"/>
          </w:tcPr>
          <w:p>
            <w:pPr>
              <w:spacing w:after="0"/>
              <w:rPr>
                <w:sz w:val="1"/>
                <w:szCs w:val="1"/>
                <w:color w:val="auto"/>
              </w:rPr>
            </w:pPr>
          </w:p>
        </w:tc>
      </w:tr>
      <w:tr>
        <w:trPr>
          <w:trHeight w:val="245"/>
        </w:trPr>
        <w:tc>
          <w:tcPr>
            <w:tcW w:w="3680" w:type="dxa"/>
            <w:vAlign w:val="bottom"/>
          </w:tcPr>
          <w:p>
            <w:pPr>
              <w:spacing w:after="0"/>
              <w:rPr>
                <w:sz w:val="21"/>
                <w:szCs w:val="21"/>
                <w:color w:val="auto"/>
              </w:rPr>
            </w:pPr>
          </w:p>
        </w:tc>
        <w:tc>
          <w:tcPr>
            <w:tcW w:w="15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427"/>
        </w:trPr>
        <w:tc>
          <w:tcPr>
            <w:tcW w:w="3680" w:type="dxa"/>
            <w:vAlign w:val="bottom"/>
          </w:tcPr>
          <w:p>
            <w:pPr>
              <w:spacing w:after="0"/>
              <w:rPr>
                <w:sz w:val="20"/>
                <w:szCs w:val="20"/>
                <w:color w:val="auto"/>
              </w:rPr>
            </w:pPr>
            <w:r>
              <w:rPr>
                <w:rFonts w:ascii="Courier New" w:cs="Courier New" w:eastAsia="Courier New" w:hAnsi="Courier New"/>
                <w:sz w:val="15"/>
                <w:szCs w:val="15"/>
                <w:color w:val="auto"/>
              </w:rPr>
              <w:t>Balance Sheet</w:t>
            </w:r>
          </w:p>
        </w:tc>
        <w:tc>
          <w:tcPr>
            <w:tcW w:w="5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(15,742)</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1,409</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(1,504)</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32,557</w:t>
            </w:r>
          </w:p>
        </w:tc>
        <w:tc>
          <w:tcPr>
            <w:tcW w:w="0" w:type="dxa"/>
            <w:vAlign w:val="bottom"/>
          </w:tcPr>
          <w:p>
            <w:pPr>
              <w:spacing w:after="0"/>
              <w:rPr>
                <w:sz w:val="1"/>
                <w:szCs w:val="1"/>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Derivative Instruments Affecting</w:t>
            </w:r>
          </w:p>
        </w:tc>
        <w:tc>
          <w:tcPr>
            <w:tcW w:w="520" w:type="dxa"/>
            <w:vAlign w:val="bottom"/>
          </w:tcPr>
          <w:p>
            <w:pPr>
              <w:spacing w:after="0"/>
              <w:rPr>
                <w:sz w:val="14"/>
                <w:szCs w:val="14"/>
                <w:color w:val="auto"/>
              </w:rPr>
            </w:pPr>
          </w:p>
        </w:tc>
        <w:tc>
          <w:tcPr>
            <w:tcW w:w="98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3,811</w:t>
            </w:r>
          </w:p>
        </w:tc>
        <w:tc>
          <w:tcPr>
            <w:tcW w:w="160" w:type="dxa"/>
            <w:vAlign w:val="bottom"/>
          </w:tcPr>
          <w:p>
            <w:pPr>
              <w:spacing w:after="0"/>
              <w:rPr>
                <w:sz w:val="14"/>
                <w:szCs w:val="14"/>
                <w:color w:val="auto"/>
              </w:rPr>
            </w:pPr>
          </w:p>
        </w:tc>
        <w:tc>
          <w:tcPr>
            <w:tcW w:w="11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2,410</w:t>
            </w:r>
          </w:p>
        </w:tc>
        <w:tc>
          <w:tcPr>
            <w:tcW w:w="300" w:type="dxa"/>
            <w:vAlign w:val="bottom"/>
          </w:tcPr>
          <w:p>
            <w:pPr>
              <w:spacing w:after="0"/>
              <w:rPr>
                <w:sz w:val="14"/>
                <w:szCs w:val="14"/>
                <w:color w:val="auto"/>
              </w:rPr>
            </w:pPr>
          </w:p>
        </w:tc>
        <w:tc>
          <w:tcPr>
            <w:tcW w:w="10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(1,216)</w:t>
            </w:r>
          </w:p>
        </w:tc>
        <w:tc>
          <w:tcPr>
            <w:tcW w:w="3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(8,416)</w:t>
            </w:r>
          </w:p>
        </w:tc>
        <w:tc>
          <w:tcPr>
            <w:tcW w:w="0" w:type="dxa"/>
            <w:vAlign w:val="bottom"/>
          </w:tcPr>
          <w:p>
            <w:pPr>
              <w:spacing w:after="0"/>
              <w:rPr>
                <w:sz w:val="1"/>
                <w:szCs w:val="1"/>
                <w:color w:val="auto"/>
              </w:rPr>
            </w:pP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Interest-Rate Sensitivity (a)</w:t>
            </w:r>
          </w:p>
        </w:tc>
        <w:tc>
          <w:tcPr>
            <w:tcW w:w="5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Interest-Rate Sensitivity Gap</w:t>
            </w:r>
          </w:p>
        </w:tc>
        <w:tc>
          <w:tcPr>
            <w:tcW w:w="52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(11,931)</w:t>
            </w:r>
          </w:p>
        </w:tc>
        <w:tc>
          <w:tcPr>
            <w:tcW w:w="16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3,819</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(2,720)</w:t>
            </w:r>
          </w:p>
        </w:tc>
        <w:tc>
          <w:tcPr>
            <w:tcW w:w="3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24,141</w:t>
            </w:r>
          </w:p>
        </w:tc>
        <w:tc>
          <w:tcPr>
            <w:tcW w:w="0" w:type="dxa"/>
            <w:vAlign w:val="bottom"/>
          </w:tcPr>
          <w:p>
            <w:pPr>
              <w:spacing w:after="0"/>
              <w:rPr>
                <w:sz w:val="1"/>
                <w:szCs w:val="1"/>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Interest-Rate</w:t>
            </w:r>
          </w:p>
        </w:tc>
        <w:tc>
          <w:tcPr>
            <w:tcW w:w="520" w:type="dxa"/>
            <w:vAlign w:val="bottom"/>
          </w:tcPr>
          <w:p>
            <w:pPr>
              <w:spacing w:after="0"/>
              <w:rPr>
                <w:sz w:val="14"/>
                <w:szCs w:val="14"/>
                <w:color w:val="auto"/>
              </w:rPr>
            </w:pP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(11,931)</w:t>
            </w:r>
          </w:p>
        </w:tc>
        <w:tc>
          <w:tcPr>
            <w:tcW w:w="160" w:type="dxa"/>
            <w:vAlign w:val="bottom"/>
          </w:tcPr>
          <w:p>
            <w:pPr>
              <w:spacing w:after="0"/>
              <w:rPr>
                <w:sz w:val="14"/>
                <w:szCs w:val="14"/>
                <w:color w:val="auto"/>
              </w:rPr>
            </w:pP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(8,112)</w:t>
            </w:r>
          </w:p>
        </w:tc>
        <w:tc>
          <w:tcPr>
            <w:tcW w:w="300" w:type="dxa"/>
            <w:vAlign w:val="bottom"/>
          </w:tcPr>
          <w:p>
            <w:pPr>
              <w:spacing w:after="0"/>
              <w:rPr>
                <w:sz w:val="14"/>
                <w:szCs w:val="14"/>
                <w:color w:val="auto"/>
              </w:rPr>
            </w:pPr>
          </w:p>
        </w:tc>
        <w:tc>
          <w:tcPr>
            <w:tcW w:w="10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(10,832)</w:t>
            </w:r>
          </w:p>
        </w:tc>
        <w:tc>
          <w:tcPr>
            <w:tcW w:w="300" w:type="dxa"/>
            <w:vAlign w:val="bottom"/>
          </w:tcPr>
          <w:p>
            <w:pPr>
              <w:spacing w:after="0"/>
              <w:rPr>
                <w:sz w:val="14"/>
                <w:szCs w:val="14"/>
                <w:color w:val="auto"/>
              </w:rPr>
            </w:pPr>
          </w:p>
        </w:tc>
        <w:tc>
          <w:tcPr>
            <w:tcW w:w="7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13,309</w:t>
            </w:r>
          </w:p>
        </w:tc>
        <w:tc>
          <w:tcPr>
            <w:tcW w:w="0" w:type="dxa"/>
            <w:vAlign w:val="bottom"/>
          </w:tcPr>
          <w:p>
            <w:pPr>
              <w:spacing w:after="0"/>
              <w:rPr>
                <w:sz w:val="1"/>
                <w:szCs w:val="1"/>
                <w:color w:val="auto"/>
              </w:rPr>
            </w:pP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Sensitivity Gap</w:t>
            </w:r>
          </w:p>
        </w:tc>
        <w:tc>
          <w:tcPr>
            <w:tcW w:w="5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680" w:type="dxa"/>
            <w:vAlign w:val="bottom"/>
          </w:tcPr>
          <w:p>
            <w:pPr>
              <w:spacing w:after="0"/>
              <w:rPr>
                <w:sz w:val="20"/>
                <w:szCs w:val="20"/>
                <w:color w:val="auto"/>
              </w:rPr>
            </w:pPr>
            <w:r>
              <w:rPr>
                <w:rFonts w:ascii="Courier New" w:cs="Courier New" w:eastAsia="Courier New" w:hAnsi="Courier New"/>
                <w:sz w:val="15"/>
                <w:szCs w:val="15"/>
                <w:color w:val="auto"/>
              </w:rPr>
              <w:t>% of Total Assets</w:t>
            </w:r>
          </w:p>
        </w:tc>
        <w:tc>
          <w:tcPr>
            <w:tcW w:w="520" w:type="dxa"/>
            <w:vAlign w:val="bottom"/>
          </w:tcPr>
          <w:p>
            <w:pPr>
              <w:spacing w:after="0"/>
              <w:rPr>
                <w:sz w:val="21"/>
                <w:szCs w:val="21"/>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w:t>
            </w:r>
          </w:p>
        </w:tc>
        <w:tc>
          <w:tcPr>
            <w:tcW w:w="160" w:type="dxa"/>
            <w:vAlign w:val="bottom"/>
          </w:tcPr>
          <w:p>
            <w:pPr>
              <w:spacing w:after="0"/>
              <w:rPr>
                <w:sz w:val="21"/>
                <w:szCs w:val="21"/>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w:t>
            </w:r>
          </w:p>
        </w:tc>
        <w:tc>
          <w:tcPr>
            <w:tcW w:w="300" w:type="dxa"/>
            <w:vAlign w:val="bottom"/>
          </w:tcPr>
          <w:p>
            <w:pPr>
              <w:spacing w:after="0"/>
              <w:rPr>
                <w:sz w:val="21"/>
                <w:szCs w:val="21"/>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w:t>
            </w: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259"/>
        </w:trPr>
        <w:tc>
          <w:tcPr>
            <w:tcW w:w="368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520" w:type="dxa"/>
            <w:vAlign w:val="bottom"/>
          </w:tcPr>
          <w:p>
            <w:pPr>
              <w:spacing w:after="0"/>
              <w:rPr>
                <w:sz w:val="22"/>
                <w:szCs w:val="22"/>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w:t>
            </w:r>
          </w:p>
        </w:tc>
        <w:tc>
          <w:tcPr>
            <w:tcW w:w="160" w:type="dxa"/>
            <w:vAlign w:val="bottom"/>
          </w:tcPr>
          <w:p>
            <w:pPr>
              <w:spacing w:after="0"/>
              <w:rPr>
                <w:sz w:val="22"/>
                <w:szCs w:val="22"/>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4-6</w:t>
            </w:r>
          </w:p>
        </w:tc>
        <w:tc>
          <w:tcPr>
            <w:tcW w:w="300" w:type="dxa"/>
            <w:vAlign w:val="bottom"/>
          </w:tcPr>
          <w:p>
            <w:pPr>
              <w:spacing w:after="0"/>
              <w:rPr>
                <w:sz w:val="22"/>
                <w:szCs w:val="22"/>
                <w:color w:val="auto"/>
              </w:rPr>
            </w:pPr>
          </w:p>
        </w:tc>
        <w:tc>
          <w:tcPr>
            <w:tcW w:w="10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7-12</w:t>
            </w:r>
          </w:p>
        </w:tc>
        <w:tc>
          <w:tcPr>
            <w:tcW w:w="300" w:type="dxa"/>
            <w:vAlign w:val="bottom"/>
          </w:tcPr>
          <w:p>
            <w:pPr>
              <w:spacing w:after="0"/>
              <w:rPr>
                <w:sz w:val="22"/>
                <w:szCs w:val="22"/>
                <w:color w:val="auto"/>
              </w:rPr>
            </w:pPr>
          </w:p>
        </w:tc>
        <w:tc>
          <w:tcPr>
            <w:tcW w:w="7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6"/>
              </w:rPr>
              <w:t>1-5</w:t>
            </w:r>
          </w:p>
        </w:tc>
        <w:tc>
          <w:tcPr>
            <w:tcW w:w="0" w:type="dxa"/>
            <w:vAlign w:val="bottom"/>
          </w:tcPr>
          <w:p>
            <w:pPr>
              <w:spacing w:after="0"/>
              <w:rPr>
                <w:sz w:val="1"/>
                <w:szCs w:val="1"/>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At December 31, 1995</w:t>
            </w:r>
          </w:p>
        </w:tc>
        <w:tc>
          <w:tcPr>
            <w:tcW w:w="52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Months</w:t>
            </w:r>
          </w:p>
        </w:tc>
        <w:tc>
          <w:tcPr>
            <w:tcW w:w="16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Months</w:t>
            </w:r>
          </w:p>
        </w:tc>
        <w:tc>
          <w:tcPr>
            <w:tcW w:w="300" w:type="dxa"/>
            <w:vAlign w:val="bottom"/>
          </w:tcPr>
          <w:p>
            <w:pPr>
              <w:spacing w:after="0"/>
              <w:rPr>
                <w:sz w:val="14"/>
                <w:szCs w:val="14"/>
                <w:color w:val="auto"/>
              </w:rPr>
            </w:pPr>
          </w:p>
        </w:tc>
        <w:tc>
          <w:tcPr>
            <w:tcW w:w="10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Months</w:t>
            </w:r>
          </w:p>
        </w:tc>
        <w:tc>
          <w:tcPr>
            <w:tcW w:w="300" w:type="dxa"/>
            <w:vAlign w:val="bottom"/>
          </w:tcPr>
          <w:p>
            <w:pPr>
              <w:spacing w:after="0"/>
              <w:rPr>
                <w:sz w:val="14"/>
                <w:szCs w:val="14"/>
                <w:color w:val="auto"/>
              </w:rPr>
            </w:pPr>
          </w:p>
        </w:tc>
        <w:tc>
          <w:tcPr>
            <w:tcW w:w="70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3"/>
              </w:rPr>
              <w:t>Years</w:t>
            </w:r>
          </w:p>
        </w:tc>
        <w:tc>
          <w:tcPr>
            <w:tcW w:w="0" w:type="dxa"/>
            <w:vAlign w:val="bottom"/>
          </w:tcPr>
          <w:p>
            <w:pPr>
              <w:spacing w:after="0"/>
              <w:rPr>
                <w:sz w:val="1"/>
                <w:szCs w:val="1"/>
                <w:color w:val="auto"/>
              </w:rPr>
            </w:pPr>
          </w:p>
        </w:tc>
      </w:tr>
      <w:tr>
        <w:trPr>
          <w:trHeight w:val="245"/>
        </w:trPr>
        <w:tc>
          <w:tcPr>
            <w:tcW w:w="3680" w:type="dxa"/>
            <w:vAlign w:val="bottom"/>
          </w:tcPr>
          <w:p>
            <w:pPr>
              <w:spacing w:after="0"/>
              <w:rPr>
                <w:sz w:val="21"/>
                <w:szCs w:val="21"/>
                <w:color w:val="auto"/>
              </w:rPr>
            </w:pPr>
          </w:p>
        </w:tc>
        <w:tc>
          <w:tcPr>
            <w:tcW w:w="15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21"/>
                <w:szCs w:val="21"/>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259"/>
        </w:trPr>
        <w:tc>
          <w:tcPr>
            <w:tcW w:w="3680" w:type="dxa"/>
            <w:vAlign w:val="bottom"/>
          </w:tcPr>
          <w:p>
            <w:pPr>
              <w:spacing w:after="0"/>
              <w:rPr>
                <w:sz w:val="20"/>
                <w:szCs w:val="20"/>
                <w:color w:val="auto"/>
              </w:rPr>
            </w:pPr>
            <w:r>
              <w:rPr>
                <w:rFonts w:ascii="Courier New" w:cs="Courier New" w:eastAsia="Courier New" w:hAnsi="Courier New"/>
                <w:sz w:val="15"/>
                <w:szCs w:val="15"/>
                <w:color w:val="auto"/>
              </w:rPr>
              <w:t>Balance Sheet</w:t>
            </w:r>
          </w:p>
        </w:tc>
        <w:tc>
          <w:tcPr>
            <w:tcW w:w="5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(18,402)</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2,454</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(800)</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32,239</w:t>
            </w:r>
          </w:p>
        </w:tc>
        <w:tc>
          <w:tcPr>
            <w:tcW w:w="0" w:type="dxa"/>
            <w:vAlign w:val="bottom"/>
          </w:tcPr>
          <w:p>
            <w:pPr>
              <w:spacing w:after="0"/>
              <w:rPr>
                <w:sz w:val="1"/>
                <w:szCs w:val="1"/>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Derivative Instruments Affecting</w:t>
            </w:r>
          </w:p>
        </w:tc>
        <w:tc>
          <w:tcPr>
            <w:tcW w:w="520" w:type="dxa"/>
            <w:vAlign w:val="bottom"/>
          </w:tcPr>
          <w:p>
            <w:pPr>
              <w:spacing w:after="0"/>
              <w:rPr>
                <w:sz w:val="14"/>
                <w:szCs w:val="14"/>
                <w:color w:val="auto"/>
              </w:rPr>
            </w:pP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(787)</w:t>
            </w:r>
          </w:p>
        </w:tc>
        <w:tc>
          <w:tcPr>
            <w:tcW w:w="160" w:type="dxa"/>
            <w:vAlign w:val="bottom"/>
          </w:tcPr>
          <w:p>
            <w:pPr>
              <w:spacing w:after="0"/>
              <w:rPr>
                <w:sz w:val="14"/>
                <w:szCs w:val="14"/>
                <w:color w:val="auto"/>
              </w:rPr>
            </w:pP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(799)</w:t>
            </w:r>
          </w:p>
        </w:tc>
        <w:tc>
          <w:tcPr>
            <w:tcW w:w="300" w:type="dxa"/>
            <w:vAlign w:val="bottom"/>
          </w:tcPr>
          <w:p>
            <w:pPr>
              <w:spacing w:after="0"/>
              <w:rPr>
                <w:sz w:val="14"/>
                <w:szCs w:val="14"/>
                <w:color w:val="auto"/>
              </w:rPr>
            </w:pPr>
          </w:p>
        </w:tc>
        <w:tc>
          <w:tcPr>
            <w:tcW w:w="10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(3,137)</w:t>
            </w:r>
          </w:p>
        </w:tc>
        <w:tc>
          <w:tcPr>
            <w:tcW w:w="3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(1,945)</w:t>
            </w:r>
          </w:p>
        </w:tc>
        <w:tc>
          <w:tcPr>
            <w:tcW w:w="0" w:type="dxa"/>
            <w:vAlign w:val="bottom"/>
          </w:tcPr>
          <w:p>
            <w:pPr>
              <w:spacing w:after="0"/>
              <w:rPr>
                <w:sz w:val="1"/>
                <w:szCs w:val="1"/>
                <w:color w:val="auto"/>
              </w:rPr>
            </w:pP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Interest-Rate Sensitivity (a)</w:t>
            </w:r>
          </w:p>
        </w:tc>
        <w:tc>
          <w:tcPr>
            <w:tcW w:w="5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Interest-Rate Sensitivity Gap</w:t>
            </w:r>
          </w:p>
        </w:tc>
        <w:tc>
          <w:tcPr>
            <w:tcW w:w="52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(19,189)</w:t>
            </w:r>
          </w:p>
        </w:tc>
        <w:tc>
          <w:tcPr>
            <w:tcW w:w="16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1,655</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(3,937)</w:t>
            </w:r>
          </w:p>
        </w:tc>
        <w:tc>
          <w:tcPr>
            <w:tcW w:w="3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30,294</w:t>
            </w:r>
          </w:p>
        </w:tc>
        <w:tc>
          <w:tcPr>
            <w:tcW w:w="0" w:type="dxa"/>
            <w:vAlign w:val="bottom"/>
          </w:tcPr>
          <w:p>
            <w:pPr>
              <w:spacing w:after="0"/>
              <w:rPr>
                <w:sz w:val="1"/>
                <w:szCs w:val="1"/>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Interest-Rate</w:t>
            </w:r>
          </w:p>
        </w:tc>
        <w:tc>
          <w:tcPr>
            <w:tcW w:w="52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(19,189)</w:t>
            </w:r>
          </w:p>
        </w:tc>
        <w:tc>
          <w:tcPr>
            <w:tcW w:w="160" w:type="dxa"/>
            <w:vAlign w:val="bottom"/>
            <w:vMerge w:val="restart"/>
          </w:tcPr>
          <w:p>
            <w:pPr>
              <w:ind w:left="8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(17,534)</w:t>
            </w:r>
          </w:p>
        </w:tc>
        <w:tc>
          <w:tcPr>
            <w:tcW w:w="3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(21,471)</w:t>
            </w:r>
          </w:p>
        </w:tc>
        <w:tc>
          <w:tcPr>
            <w:tcW w:w="30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8,823</w:t>
            </w:r>
          </w:p>
        </w:tc>
        <w:tc>
          <w:tcPr>
            <w:tcW w:w="0" w:type="dxa"/>
            <w:vAlign w:val="bottom"/>
          </w:tcPr>
          <w:p>
            <w:pPr>
              <w:spacing w:after="0"/>
              <w:rPr>
                <w:sz w:val="1"/>
                <w:szCs w:val="1"/>
                <w:color w:val="auto"/>
              </w:rPr>
            </w:pP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Sensitivity Gap</w:t>
            </w:r>
          </w:p>
        </w:tc>
        <w:tc>
          <w:tcPr>
            <w:tcW w:w="5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680" w:type="dxa"/>
            <w:vAlign w:val="bottom"/>
          </w:tcPr>
          <w:p>
            <w:pPr>
              <w:spacing w:after="0"/>
              <w:rPr>
                <w:sz w:val="20"/>
                <w:szCs w:val="20"/>
                <w:color w:val="auto"/>
              </w:rPr>
            </w:pPr>
            <w:r>
              <w:rPr>
                <w:rFonts w:ascii="Courier New" w:cs="Courier New" w:eastAsia="Courier New" w:hAnsi="Courier New"/>
                <w:sz w:val="15"/>
                <w:szCs w:val="15"/>
                <w:color w:val="auto"/>
              </w:rPr>
              <w:t>% of Total Assets</w:t>
            </w:r>
          </w:p>
        </w:tc>
        <w:tc>
          <w:tcPr>
            <w:tcW w:w="520" w:type="dxa"/>
            <w:vAlign w:val="bottom"/>
          </w:tcPr>
          <w:p>
            <w:pPr>
              <w:spacing w:after="0"/>
              <w:rPr>
                <w:sz w:val="21"/>
                <w:szCs w:val="21"/>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w:t>
            </w:r>
          </w:p>
        </w:tc>
        <w:tc>
          <w:tcPr>
            <w:tcW w:w="160" w:type="dxa"/>
            <w:vAlign w:val="bottom"/>
          </w:tcPr>
          <w:p>
            <w:pPr>
              <w:spacing w:after="0"/>
              <w:rPr>
                <w:sz w:val="21"/>
                <w:szCs w:val="21"/>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w:t>
            </w:r>
          </w:p>
        </w:tc>
        <w:tc>
          <w:tcPr>
            <w:tcW w:w="300" w:type="dxa"/>
            <w:vAlign w:val="bottom"/>
          </w:tcPr>
          <w:p>
            <w:pPr>
              <w:spacing w:after="0"/>
              <w:rPr>
                <w:sz w:val="21"/>
                <w:szCs w:val="21"/>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w:t>
            </w: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bl>
    <w:p>
      <w:pPr>
        <w:spacing w:after="0" w:line="259" w:lineRule="exact"/>
        <w:rPr>
          <w:sz w:val="20"/>
          <w:szCs w:val="20"/>
          <w:color w:val="auto"/>
        </w:rPr>
      </w:pPr>
    </w:p>
    <w:p>
      <w:pPr>
        <w:jc w:val="both"/>
        <w:ind w:left="540" w:right="1760" w:hanging="530"/>
        <w:spacing w:after="0" w:line="273" w:lineRule="auto"/>
        <w:tabs>
          <w:tab w:leader="none" w:pos="5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net repricing effect of derivative positions, which include interest rate swaps, futures, forwards, forward rate agreements and options, that are used as part of the Corporation's overall asset/liability management activities.</w:t>
      </w:r>
    </w:p>
    <w:p>
      <w:pPr>
        <w:spacing w:after="0" w:line="200" w:lineRule="exact"/>
        <w:rPr>
          <w:sz w:val="20"/>
          <w:szCs w:val="20"/>
          <w:color w:val="auto"/>
        </w:rPr>
      </w:pPr>
    </w:p>
    <w:p>
      <w:pPr>
        <w:spacing w:after="0" w:line="204" w:lineRule="exact"/>
        <w:rPr>
          <w:sz w:val="20"/>
          <w:szCs w:val="20"/>
          <w:color w:val="auto"/>
        </w:rPr>
      </w:pPr>
    </w:p>
    <w:p>
      <w:pPr>
        <w:jc w:val="both"/>
        <w:ind w:right="1760"/>
        <w:spacing w:after="0" w:line="273" w:lineRule="auto"/>
        <w:rPr>
          <w:sz w:val="20"/>
          <w:szCs w:val="20"/>
          <w:color w:val="auto"/>
        </w:rPr>
      </w:pPr>
      <w:r>
        <w:rPr>
          <w:rFonts w:ascii="Courier New" w:cs="Courier New" w:eastAsia="Courier New" w:hAnsi="Courier New"/>
          <w:sz w:val="15"/>
          <w:szCs w:val="15"/>
          <w:color w:val="auto"/>
        </w:rPr>
        <w:t>At June 30, 1996, the Corporation had $10,832 million more liabilities than assets repricing within one year (including net repricing effect of derivative positions), amounting to 3% of total assets. This compares with $21,471 million, or 7% of total assets, at December 31, 1995.</w:t>
      </w:r>
    </w:p>
    <w:p>
      <w:pPr>
        <w:spacing w:after="0" w:line="68" w:lineRule="exact"/>
        <w:rPr>
          <w:sz w:val="20"/>
          <w:szCs w:val="20"/>
          <w:color w:val="auto"/>
        </w:rPr>
      </w:pPr>
    </w:p>
    <w:p>
      <w:pPr>
        <w:jc w:val="both"/>
        <w:ind w:right="1760"/>
        <w:spacing w:after="0" w:line="248" w:lineRule="auto"/>
        <w:rPr>
          <w:sz w:val="20"/>
          <w:szCs w:val="20"/>
          <w:color w:val="auto"/>
        </w:rPr>
      </w:pPr>
      <w:r>
        <w:rPr>
          <w:rFonts w:ascii="Courier New" w:cs="Courier New" w:eastAsia="Courier New" w:hAnsi="Courier New"/>
          <w:sz w:val="15"/>
          <w:szCs w:val="15"/>
          <w:color w:val="auto"/>
        </w:rPr>
        <w:t>At June 30, 1996, based on the Corporation's simulation models, which are comprehensive simulations of net interest income under a variety of market interest rate scenarios, earnings at risk to an immediate 100 basis point rise in market interest rates over the next twelve months was estimated to be slightly over 2% of projected 1996 after-tax net income excluding the restructuring charge. At December 31, 1995, the Corporation's earnings at risk to a similar increase in market rates was estimated at approximately 3% of projected after-tax net income excluding the restructuring charge. An immediate 100 basis point rise in interest rates is a hypothetical rate scenario, used to calibrate risk, and does not necessarily represent management's current view of future market developments.</w:t>
      </w:r>
    </w:p>
    <w:p>
      <w:pPr>
        <w:spacing w:after="0" w:line="87" w:lineRule="exact"/>
        <w:rPr>
          <w:sz w:val="20"/>
          <w:szCs w:val="20"/>
          <w:color w:val="auto"/>
        </w:rPr>
      </w:pPr>
    </w:p>
    <w:p>
      <w:pPr>
        <w:jc w:val="both"/>
        <w:ind w:right="1760"/>
        <w:spacing w:after="0" w:line="255" w:lineRule="auto"/>
        <w:rPr>
          <w:sz w:val="20"/>
          <w:szCs w:val="20"/>
          <w:color w:val="auto"/>
        </w:rPr>
      </w:pPr>
      <w:r>
        <w:rPr>
          <w:rFonts w:ascii="Courier New" w:cs="Courier New" w:eastAsia="Courier New" w:hAnsi="Courier New"/>
          <w:sz w:val="15"/>
          <w:szCs w:val="15"/>
          <w:color w:val="auto"/>
        </w:rPr>
        <w:t>Interest Rate Swaps: Interest rate swaps are one of the various financial instruments used in the Corporation's ALM activities. Although the Corporation believes the results of its ALM activities should be evaluated on an integrated basis, taking into consideration all on-balance sheet and related derivative instruments and not a specific financial instrument, the interest rate swap maturity table, which follows, provides an indication of the Corporation's interest rate swap activity.</w:t>
      </w:r>
    </w:p>
    <w:p>
      <w:pPr>
        <w:spacing w:after="0" w:line="82" w:lineRule="exact"/>
        <w:rPr>
          <w:sz w:val="20"/>
          <w:szCs w:val="20"/>
          <w:color w:val="auto"/>
        </w:rPr>
      </w:pPr>
    </w:p>
    <w:p>
      <w:pPr>
        <w:ind w:right="1760"/>
        <w:spacing w:after="0" w:line="265" w:lineRule="auto"/>
        <w:rPr>
          <w:sz w:val="20"/>
          <w:szCs w:val="20"/>
          <w:color w:val="auto"/>
        </w:rPr>
      </w:pPr>
      <w:r>
        <w:rPr>
          <w:rFonts w:ascii="Courier New" w:cs="Courier New" w:eastAsia="Courier New" w:hAnsi="Courier New"/>
          <w:sz w:val="14"/>
          <w:szCs w:val="14"/>
          <w:color w:val="auto"/>
        </w:rPr>
        <w:t>The following table summarizes the outstanding ALM interest rate swap notional amounts at June 30, 1996, by twelve-month intervals (i.e., July 1, 1996 to June 30, 1997). The decrease in notional amounts from one period to the next period represents maturities of the underlying contracts. The weighted-average fixed interest rates to be received and paid on such swaps are presented for each twelve-month interval. The three-month London Interbank Offered Rate (LIBOR), provided for reference in the following table, reflects the average implied forward yield curve for that index as of June 30, 1996. However, actual repricings will be based on the applicable rates in effect at the actual repricing date. To the extent rates change, the variable rates paid or received will change. The Corporation expects the impact of any interest rate changes to be largely mitigated by corresponding changes in the interest rates and values associated with the linked assets and liabilities.</w:t>
      </w:r>
    </w:p>
    <w:p>
      <w:pPr>
        <w:spacing w:after="0" w:line="7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-39-</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00" w:type="dxa"/>
            <w:vAlign w:val="bottom"/>
          </w:tcPr>
          <w:p>
            <w:pPr>
              <w:spacing w:after="0"/>
              <w:rPr>
                <w:sz w:val="14"/>
                <w:szCs w:val="14"/>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Over</w:t>
            </w:r>
          </w:p>
        </w:tc>
        <w:tc>
          <w:tcPr>
            <w:tcW w:w="260" w:type="dxa"/>
            <w:vAlign w:val="bottom"/>
          </w:tcPr>
          <w:p>
            <w:pPr>
              <w:spacing w:after="0"/>
              <w:rPr>
                <w:sz w:val="14"/>
                <w:szCs w:val="14"/>
                <w:color w:val="auto"/>
              </w:rPr>
            </w:pPr>
          </w:p>
        </w:tc>
        <w:tc>
          <w:tcPr>
            <w:tcW w:w="5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3"/>
              </w:rPr>
              <w:t>Total</w:t>
            </w: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 Years</w:t>
            </w:r>
          </w:p>
        </w:tc>
        <w:tc>
          <w:tcPr>
            <w:tcW w:w="2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5"/>
        </w:trPr>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(16,720)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00" w:type="dxa"/>
            <w:vAlign w:val="bottom"/>
          </w:tcPr>
          <w:p>
            <w:pPr>
              <w:spacing w:after="0"/>
              <w:rPr>
                <w:sz w:val="22"/>
                <w:szCs w:val="22"/>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3,411</w:t>
            </w:r>
          </w:p>
        </w:tc>
        <w:tc>
          <w:tcPr>
            <w:tcW w:w="2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100" w:type="dxa"/>
            <w:vAlign w:val="bottom"/>
          </w:tcPr>
          <w:p>
            <w:pPr>
              <w:spacing w:after="0"/>
              <w:rPr>
                <w:sz w:val="21"/>
                <w:szCs w:val="21"/>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(13,309)</w:t>
            </w:r>
          </w:p>
        </w:tc>
        <w:tc>
          <w:tcPr>
            <w:tcW w:w="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00" w:type="dxa"/>
            <w:vAlign w:val="bottom"/>
          </w:tcPr>
          <w:p>
            <w:pPr>
              <w:spacing w:after="0"/>
              <w:rPr>
                <w:sz w:val="22"/>
                <w:szCs w:val="22"/>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100" w:type="dxa"/>
            <w:vAlign w:val="bottom"/>
          </w:tcPr>
          <w:p>
            <w:pPr>
              <w:spacing w:after="0"/>
              <w:rPr>
                <w:sz w:val="21"/>
                <w:szCs w:val="21"/>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00" w:type="dxa"/>
            <w:vAlign w:val="bottom"/>
          </w:tcPr>
          <w:p>
            <w:pPr>
              <w:spacing w:after="0"/>
              <w:rPr>
                <w:sz w:val="22"/>
                <w:szCs w:val="22"/>
                <w:color w:val="auto"/>
              </w:rPr>
            </w:pP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Over</w:t>
            </w:r>
          </w:p>
        </w:tc>
        <w:tc>
          <w:tcPr>
            <w:tcW w:w="260" w:type="dxa"/>
            <w:vAlign w:val="bottom"/>
          </w:tcPr>
          <w:p>
            <w:pPr>
              <w:spacing w:after="0"/>
              <w:rPr>
                <w:sz w:val="22"/>
                <w:szCs w:val="22"/>
                <w:color w:val="auto"/>
              </w:rPr>
            </w:pPr>
          </w:p>
        </w:tc>
        <w:tc>
          <w:tcPr>
            <w:tcW w:w="5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3"/>
              </w:rPr>
              <w:t>Total</w:t>
            </w: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1"/>
              </w:rPr>
              <w:t>5 Years</w:t>
            </w:r>
          </w:p>
        </w:tc>
        <w:tc>
          <w:tcPr>
            <w:tcW w:w="2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(15,491)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00" w:type="dxa"/>
            <w:vAlign w:val="bottom"/>
          </w:tcPr>
          <w:p>
            <w:pPr>
              <w:spacing w:after="0"/>
              <w:rPr>
                <w:sz w:val="22"/>
                <w:szCs w:val="22"/>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6,668</w:t>
            </w:r>
          </w:p>
        </w:tc>
        <w:tc>
          <w:tcPr>
            <w:tcW w:w="2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100" w:type="dxa"/>
            <w:vAlign w:val="bottom"/>
          </w:tcPr>
          <w:p>
            <w:pPr>
              <w:spacing w:after="0"/>
              <w:rPr>
                <w:sz w:val="21"/>
                <w:szCs w:val="21"/>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(8,823)</w:t>
            </w:r>
          </w:p>
        </w:tc>
        <w:tc>
          <w:tcPr>
            <w:tcW w:w="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100" w:type="dxa"/>
            <w:vAlign w:val="bottom"/>
          </w:tcPr>
          <w:p>
            <w:pPr>
              <w:spacing w:after="0"/>
              <w:rPr>
                <w:sz w:val="21"/>
                <w:szCs w:val="21"/>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2">
            <w:col w:w="8760" w:space="340"/>
            <w:col w:w="1940"/>
          </w:cols>
          <w:pgMar w:left="220" w:top="932" w:right="639"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Outstanding Interest Rate Swaps Notional Amounts and Receive/Pay Rates by Yearly Intervals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gridSpan w:val="3"/>
          </w:tcPr>
          <w:p>
            <w:pPr>
              <w:spacing w:after="0"/>
              <w:rPr>
                <w:sz w:val="20"/>
                <w:szCs w:val="20"/>
                <w:color w:val="auto"/>
              </w:rPr>
            </w:pPr>
            <w:r>
              <w:rPr>
                <w:rFonts w:ascii="Courier New" w:cs="Courier New" w:eastAsia="Courier New" w:hAnsi="Courier New"/>
                <w:sz w:val="15"/>
                <w:szCs w:val="15"/>
                <w:color w:val="auto"/>
              </w:rPr>
              <w:t>For the twelve-month period beginning July 1,</w:t>
            </w:r>
          </w:p>
        </w:tc>
        <w:tc>
          <w:tcPr>
            <w:tcW w:w="440" w:type="dxa"/>
            <w:vAlign w:val="bottom"/>
          </w:tcPr>
          <w:p>
            <w:pPr>
              <w:spacing w:after="0"/>
              <w:rPr>
                <w:sz w:val="14"/>
                <w:szCs w:val="14"/>
                <w:color w:val="auto"/>
              </w:rPr>
            </w:pPr>
          </w:p>
        </w:tc>
        <w:tc>
          <w:tcPr>
            <w:tcW w:w="11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1997</w:t>
            </w:r>
          </w:p>
        </w:tc>
        <w:tc>
          <w:tcPr>
            <w:tcW w:w="480" w:type="dxa"/>
            <w:vAlign w:val="bottom"/>
          </w:tcPr>
          <w:p>
            <w:pPr>
              <w:spacing w:after="0"/>
              <w:rPr>
                <w:sz w:val="14"/>
                <w:szCs w:val="14"/>
                <w:color w:val="auto"/>
              </w:rPr>
            </w:pPr>
          </w:p>
        </w:tc>
        <w:tc>
          <w:tcPr>
            <w:tcW w:w="10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1998</w:t>
            </w:r>
          </w:p>
        </w:tc>
        <w:tc>
          <w:tcPr>
            <w:tcW w:w="440" w:type="dxa"/>
            <w:vAlign w:val="bottom"/>
          </w:tcPr>
          <w:p>
            <w:pPr>
              <w:spacing w:after="0"/>
              <w:rPr>
                <w:sz w:val="14"/>
                <w:szCs w:val="14"/>
                <w:color w:val="auto"/>
              </w:rPr>
            </w:pPr>
          </w:p>
        </w:tc>
        <w:tc>
          <w:tcPr>
            <w:tcW w:w="11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1999</w:t>
            </w:r>
          </w:p>
        </w:tc>
        <w:tc>
          <w:tcPr>
            <w:tcW w:w="340" w:type="dxa"/>
            <w:vAlign w:val="bottom"/>
          </w:tcPr>
          <w:p>
            <w:pPr>
              <w:spacing w:after="0"/>
              <w:rPr>
                <w:sz w:val="14"/>
                <w:szCs w:val="14"/>
                <w:color w:val="auto"/>
              </w:rPr>
            </w:pPr>
          </w:p>
        </w:tc>
        <w:tc>
          <w:tcPr>
            <w:tcW w:w="11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2000</w:t>
            </w:r>
          </w:p>
        </w:tc>
        <w:tc>
          <w:tcPr>
            <w:tcW w:w="3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3"/>
              </w:rPr>
              <w:t>Thereafter</w:t>
            </w:r>
          </w:p>
        </w:tc>
        <w:tc>
          <w:tcPr>
            <w:tcW w:w="0" w:type="dxa"/>
            <w:vAlign w:val="bottom"/>
          </w:tcPr>
          <w:p>
            <w:pPr>
              <w:spacing w:after="0"/>
              <w:rPr>
                <w:sz w:val="1"/>
                <w:szCs w:val="1"/>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(in millions)</w:t>
            </w:r>
          </w:p>
        </w:tc>
        <w:tc>
          <w:tcPr>
            <w:tcW w:w="5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1996</w:t>
            </w: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640" w:type="dxa"/>
            <w:vAlign w:val="bottom"/>
          </w:tcPr>
          <w:p>
            <w:pPr>
              <w:spacing w:after="0"/>
              <w:rPr>
                <w:sz w:val="21"/>
                <w:szCs w:val="21"/>
                <w:color w:val="auto"/>
              </w:rPr>
            </w:pPr>
          </w:p>
        </w:tc>
        <w:tc>
          <w:tcPr>
            <w:tcW w:w="15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1"/>
                <w:szCs w:val="21"/>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505"/>
        </w:trPr>
        <w:tc>
          <w:tcPr>
            <w:tcW w:w="2640" w:type="dxa"/>
            <w:vAlign w:val="bottom"/>
          </w:tcPr>
          <w:p>
            <w:pPr>
              <w:spacing w:after="0"/>
              <w:rPr>
                <w:sz w:val="20"/>
                <w:szCs w:val="20"/>
                <w:color w:val="auto"/>
              </w:rPr>
            </w:pPr>
            <w:r>
              <w:rPr>
                <w:rFonts w:ascii="Courier New" w:cs="Courier New" w:eastAsia="Courier New" w:hAnsi="Courier New"/>
                <w:sz w:val="15"/>
                <w:szCs w:val="15"/>
                <w:color w:val="auto"/>
              </w:rPr>
              <w:t>Receive fixed swaps</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640" w:type="dxa"/>
            <w:vAlign w:val="bottom"/>
          </w:tcPr>
          <w:p>
            <w:pPr>
              <w:spacing w:after="0"/>
              <w:rPr>
                <w:sz w:val="20"/>
                <w:szCs w:val="20"/>
                <w:color w:val="auto"/>
              </w:rPr>
            </w:pPr>
            <w:r>
              <w:rPr>
                <w:rFonts w:ascii="Courier New" w:cs="Courier New" w:eastAsia="Courier New" w:hAnsi="Courier New"/>
                <w:sz w:val="15"/>
                <w:szCs w:val="15"/>
                <w:color w:val="auto"/>
              </w:rPr>
              <w:t>Notional amount</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2"/>
              </w:rPr>
              <w:t>33,033</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24,457</w:t>
            </w: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18,419</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15,463</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13,371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9,597</w:t>
            </w:r>
          </w:p>
        </w:tc>
        <w:tc>
          <w:tcPr>
            <w:tcW w:w="0" w:type="dxa"/>
            <w:vAlign w:val="bottom"/>
          </w:tcPr>
          <w:p>
            <w:pPr>
              <w:spacing w:after="0"/>
              <w:rPr>
                <w:sz w:val="1"/>
                <w:szCs w:val="1"/>
                <w:color w:val="auto"/>
              </w:rPr>
            </w:pPr>
          </w:p>
        </w:tc>
      </w:tr>
      <w:tr>
        <w:trPr>
          <w:trHeight w:val="245"/>
        </w:trPr>
        <w:tc>
          <w:tcPr>
            <w:tcW w:w="2640" w:type="dxa"/>
            <w:vAlign w:val="bottom"/>
          </w:tcPr>
          <w:p>
            <w:pPr>
              <w:spacing w:after="0"/>
              <w:rPr>
                <w:sz w:val="20"/>
                <w:szCs w:val="20"/>
                <w:color w:val="auto"/>
              </w:rPr>
            </w:pPr>
            <w:r>
              <w:rPr>
                <w:rFonts w:ascii="Courier New" w:cs="Courier New" w:eastAsia="Courier New" w:hAnsi="Courier New"/>
                <w:sz w:val="15"/>
                <w:szCs w:val="15"/>
                <w:color w:val="auto"/>
              </w:rPr>
              <w:t>Weighted-average Fixed rate</w:t>
            </w:r>
          </w:p>
        </w:tc>
        <w:tc>
          <w:tcPr>
            <w:tcW w:w="520" w:type="dxa"/>
            <w:vAlign w:val="bottom"/>
          </w:tcPr>
          <w:p>
            <w:pPr>
              <w:spacing w:after="0"/>
              <w:rPr>
                <w:sz w:val="21"/>
                <w:szCs w:val="21"/>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6.29%</w:t>
            </w:r>
          </w:p>
        </w:tc>
        <w:tc>
          <w:tcPr>
            <w:tcW w:w="440" w:type="dxa"/>
            <w:vAlign w:val="bottom"/>
          </w:tcPr>
          <w:p>
            <w:pPr>
              <w:spacing w:after="0"/>
              <w:rPr>
                <w:sz w:val="21"/>
                <w:szCs w:val="21"/>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6.09%</w:t>
            </w:r>
          </w:p>
        </w:tc>
        <w:tc>
          <w:tcPr>
            <w:tcW w:w="480" w:type="dxa"/>
            <w:vAlign w:val="bottom"/>
          </w:tcPr>
          <w:p>
            <w:pPr>
              <w:spacing w:after="0"/>
              <w:rPr>
                <w:sz w:val="21"/>
                <w:szCs w:val="21"/>
                <w:color w:val="auto"/>
              </w:rPr>
            </w:pP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6.57%</w:t>
            </w:r>
          </w:p>
        </w:tc>
        <w:tc>
          <w:tcPr>
            <w:tcW w:w="440" w:type="dxa"/>
            <w:vAlign w:val="bottom"/>
          </w:tcPr>
          <w:p>
            <w:pPr>
              <w:spacing w:after="0"/>
              <w:rPr>
                <w:sz w:val="21"/>
                <w:szCs w:val="21"/>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6.86%</w:t>
            </w:r>
          </w:p>
        </w:tc>
        <w:tc>
          <w:tcPr>
            <w:tcW w:w="340" w:type="dxa"/>
            <w:vAlign w:val="bottom"/>
          </w:tcPr>
          <w:p>
            <w:pPr>
              <w:spacing w:after="0"/>
              <w:rPr>
                <w:sz w:val="21"/>
                <w:szCs w:val="21"/>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6.59%</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6.58%</w:t>
            </w:r>
          </w:p>
        </w:tc>
        <w:tc>
          <w:tcPr>
            <w:tcW w:w="0" w:type="dxa"/>
            <w:vAlign w:val="bottom"/>
          </w:tcPr>
          <w:p>
            <w:pPr>
              <w:spacing w:after="0"/>
              <w:rPr>
                <w:sz w:val="1"/>
                <w:szCs w:val="1"/>
                <w:color w:val="auto"/>
              </w:rPr>
            </w:pPr>
          </w:p>
        </w:tc>
      </w:tr>
      <w:tr>
        <w:trPr>
          <w:trHeight w:val="259"/>
        </w:trPr>
        <w:tc>
          <w:tcPr>
            <w:tcW w:w="2640" w:type="dxa"/>
            <w:vAlign w:val="bottom"/>
          </w:tcPr>
          <w:p>
            <w:pPr>
              <w:spacing w:after="0"/>
              <w:rPr>
                <w:sz w:val="20"/>
                <w:szCs w:val="20"/>
                <w:color w:val="auto"/>
              </w:rPr>
            </w:pPr>
            <w:r>
              <w:rPr>
                <w:rFonts w:ascii="Courier New" w:cs="Courier New" w:eastAsia="Courier New" w:hAnsi="Courier New"/>
                <w:sz w:val="15"/>
                <w:szCs w:val="15"/>
                <w:color w:val="auto"/>
              </w:rPr>
              <w:t>Pay fixed swaps</w:t>
            </w:r>
          </w:p>
        </w:tc>
        <w:tc>
          <w:tcPr>
            <w:tcW w:w="5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w w:val="92"/>
              </w:rPr>
              <w:t>40,242</w:t>
            </w:r>
          </w:p>
        </w:tc>
        <w:tc>
          <w:tcPr>
            <w:tcW w:w="44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27,941</w:t>
            </w:r>
          </w:p>
        </w:tc>
        <w:tc>
          <w:tcPr>
            <w:tcW w:w="48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21,417</w:t>
            </w:r>
          </w:p>
        </w:tc>
        <w:tc>
          <w:tcPr>
            <w:tcW w:w="44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12,326</w:t>
            </w: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8,604</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4,967</w:t>
            </w:r>
          </w:p>
        </w:tc>
        <w:tc>
          <w:tcPr>
            <w:tcW w:w="0" w:type="dxa"/>
            <w:vAlign w:val="bottom"/>
          </w:tcPr>
          <w:p>
            <w:pPr>
              <w:spacing w:after="0"/>
              <w:rPr>
                <w:sz w:val="1"/>
                <w:szCs w:val="1"/>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Notional amount</w:t>
            </w:r>
          </w:p>
        </w:tc>
        <w:tc>
          <w:tcPr>
            <w:tcW w:w="5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640" w:type="dxa"/>
            <w:vAlign w:val="bottom"/>
          </w:tcPr>
          <w:p>
            <w:pPr>
              <w:spacing w:after="0"/>
              <w:rPr>
                <w:sz w:val="20"/>
                <w:szCs w:val="20"/>
                <w:color w:val="auto"/>
              </w:rPr>
            </w:pPr>
            <w:r>
              <w:rPr>
                <w:rFonts w:ascii="Courier New" w:cs="Courier New" w:eastAsia="Courier New" w:hAnsi="Courier New"/>
                <w:sz w:val="15"/>
                <w:szCs w:val="15"/>
                <w:color w:val="auto"/>
              </w:rPr>
              <w:t>Weighted-average Fixed rate</w:t>
            </w:r>
          </w:p>
        </w:tc>
        <w:tc>
          <w:tcPr>
            <w:tcW w:w="520" w:type="dxa"/>
            <w:vAlign w:val="bottom"/>
          </w:tcPr>
          <w:p>
            <w:pPr>
              <w:spacing w:after="0"/>
              <w:rPr>
                <w:sz w:val="21"/>
                <w:szCs w:val="21"/>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6.39%</w:t>
            </w:r>
          </w:p>
        </w:tc>
        <w:tc>
          <w:tcPr>
            <w:tcW w:w="440" w:type="dxa"/>
            <w:vAlign w:val="bottom"/>
          </w:tcPr>
          <w:p>
            <w:pPr>
              <w:spacing w:after="0"/>
              <w:rPr>
                <w:sz w:val="21"/>
                <w:szCs w:val="21"/>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6.44%</w:t>
            </w:r>
          </w:p>
        </w:tc>
        <w:tc>
          <w:tcPr>
            <w:tcW w:w="480" w:type="dxa"/>
            <w:vAlign w:val="bottom"/>
          </w:tcPr>
          <w:p>
            <w:pPr>
              <w:spacing w:after="0"/>
              <w:rPr>
                <w:sz w:val="21"/>
                <w:szCs w:val="21"/>
                <w:color w:val="auto"/>
              </w:rPr>
            </w:pP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6.50%</w:t>
            </w:r>
          </w:p>
        </w:tc>
        <w:tc>
          <w:tcPr>
            <w:tcW w:w="440" w:type="dxa"/>
            <w:vAlign w:val="bottom"/>
          </w:tcPr>
          <w:p>
            <w:pPr>
              <w:spacing w:after="0"/>
              <w:rPr>
                <w:sz w:val="21"/>
                <w:szCs w:val="21"/>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6.68%</w:t>
            </w:r>
          </w:p>
        </w:tc>
        <w:tc>
          <w:tcPr>
            <w:tcW w:w="340" w:type="dxa"/>
            <w:vAlign w:val="bottom"/>
          </w:tcPr>
          <w:p>
            <w:pPr>
              <w:spacing w:after="0"/>
              <w:rPr>
                <w:sz w:val="21"/>
                <w:szCs w:val="21"/>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6.69%</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6.86%</w:t>
            </w:r>
          </w:p>
        </w:tc>
        <w:tc>
          <w:tcPr>
            <w:tcW w:w="0" w:type="dxa"/>
            <w:vAlign w:val="bottom"/>
          </w:tcPr>
          <w:p>
            <w:pPr>
              <w:spacing w:after="0"/>
              <w:rPr>
                <w:sz w:val="1"/>
                <w:szCs w:val="1"/>
                <w:color w:val="auto"/>
              </w:rPr>
            </w:pPr>
          </w:p>
        </w:tc>
      </w:tr>
      <w:tr>
        <w:trPr>
          <w:trHeight w:val="259"/>
        </w:trPr>
        <w:tc>
          <w:tcPr>
            <w:tcW w:w="2640" w:type="dxa"/>
            <w:vAlign w:val="bottom"/>
          </w:tcPr>
          <w:p>
            <w:pPr>
              <w:spacing w:after="0"/>
              <w:rPr>
                <w:sz w:val="20"/>
                <w:szCs w:val="20"/>
                <w:color w:val="auto"/>
              </w:rPr>
            </w:pPr>
            <w:r>
              <w:rPr>
                <w:rFonts w:ascii="Courier New" w:cs="Courier New" w:eastAsia="Courier New" w:hAnsi="Courier New"/>
                <w:sz w:val="15"/>
                <w:szCs w:val="15"/>
                <w:color w:val="auto"/>
              </w:rPr>
              <w:t>Basis Swaps</w:t>
            </w:r>
          </w:p>
        </w:tc>
        <w:tc>
          <w:tcPr>
            <w:tcW w:w="5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w w:val="92"/>
              </w:rPr>
              <w:t>23,492</w:t>
            </w:r>
          </w:p>
        </w:tc>
        <w:tc>
          <w:tcPr>
            <w:tcW w:w="44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18,929</w:t>
            </w:r>
          </w:p>
        </w:tc>
        <w:tc>
          <w:tcPr>
            <w:tcW w:w="48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12,803</w:t>
            </w:r>
          </w:p>
        </w:tc>
        <w:tc>
          <w:tcPr>
            <w:tcW w:w="44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1,039</w:t>
            </w: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751</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601</w:t>
            </w:r>
          </w:p>
        </w:tc>
        <w:tc>
          <w:tcPr>
            <w:tcW w:w="0" w:type="dxa"/>
            <w:vAlign w:val="bottom"/>
          </w:tcPr>
          <w:p>
            <w:pPr>
              <w:spacing w:after="0"/>
              <w:rPr>
                <w:sz w:val="1"/>
                <w:szCs w:val="1"/>
                <w:color w:val="auto"/>
              </w:rPr>
            </w:pPr>
          </w:p>
        </w:tc>
      </w:tr>
      <w:tr>
        <w:trPr>
          <w:trHeight w:val="245"/>
        </w:trPr>
        <w:tc>
          <w:tcPr>
            <w:tcW w:w="2640" w:type="dxa"/>
            <w:vAlign w:val="bottom"/>
          </w:tcPr>
          <w:p>
            <w:pPr>
              <w:spacing w:after="0"/>
              <w:rPr>
                <w:sz w:val="20"/>
                <w:szCs w:val="20"/>
                <w:color w:val="auto"/>
              </w:rPr>
            </w:pPr>
            <w:r>
              <w:rPr>
                <w:rFonts w:ascii="Courier New" w:cs="Courier New" w:eastAsia="Courier New" w:hAnsi="Courier New"/>
                <w:sz w:val="15"/>
                <w:szCs w:val="15"/>
                <w:color w:val="auto"/>
              </w:rPr>
              <w:t>Notional amount</w:t>
            </w:r>
          </w:p>
        </w:tc>
        <w:tc>
          <w:tcPr>
            <w:tcW w:w="52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44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48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44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34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32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640" w:type="dxa"/>
            <w:vAlign w:val="bottom"/>
          </w:tcPr>
          <w:p>
            <w:pPr>
              <w:spacing w:after="0"/>
              <w:rPr>
                <w:sz w:val="20"/>
                <w:szCs w:val="20"/>
                <w:color w:val="auto"/>
              </w:rPr>
            </w:pPr>
            <w:r>
              <w:rPr>
                <w:rFonts w:ascii="Courier New" w:cs="Courier New" w:eastAsia="Courier New" w:hAnsi="Courier New"/>
                <w:sz w:val="15"/>
                <w:szCs w:val="15"/>
                <w:color w:val="auto"/>
              </w:rPr>
              <w:t>Average Three-Month Implied</w:t>
            </w:r>
          </w:p>
        </w:tc>
        <w:tc>
          <w:tcPr>
            <w:tcW w:w="520" w:type="dxa"/>
            <w:vAlign w:val="bottom"/>
          </w:tcPr>
          <w:p>
            <w:pPr>
              <w:spacing w:after="0"/>
              <w:rPr>
                <w:sz w:val="22"/>
                <w:szCs w:val="22"/>
                <w:color w:val="auto"/>
              </w:rPr>
            </w:pPr>
          </w:p>
        </w:tc>
        <w:tc>
          <w:tcPr>
            <w:tcW w:w="100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6.04%</w:t>
            </w:r>
          </w:p>
        </w:tc>
        <w:tc>
          <w:tcPr>
            <w:tcW w:w="440" w:type="dxa"/>
            <w:vAlign w:val="bottom"/>
          </w:tcPr>
          <w:p>
            <w:pPr>
              <w:spacing w:after="0"/>
              <w:rPr>
                <w:sz w:val="22"/>
                <w:szCs w:val="22"/>
                <w:color w:val="auto"/>
              </w:rPr>
            </w:pPr>
          </w:p>
        </w:tc>
        <w:tc>
          <w:tcPr>
            <w:tcW w:w="110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6.59%</w:t>
            </w:r>
          </w:p>
        </w:tc>
        <w:tc>
          <w:tcPr>
            <w:tcW w:w="480" w:type="dxa"/>
            <w:vAlign w:val="bottom"/>
          </w:tcPr>
          <w:p>
            <w:pPr>
              <w:spacing w:after="0"/>
              <w:rPr>
                <w:sz w:val="22"/>
                <w:szCs w:val="22"/>
                <w:color w:val="auto"/>
              </w:rPr>
            </w:pPr>
          </w:p>
        </w:tc>
        <w:tc>
          <w:tcPr>
            <w:tcW w:w="10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6.80%</w:t>
            </w:r>
          </w:p>
        </w:tc>
        <w:tc>
          <w:tcPr>
            <w:tcW w:w="440" w:type="dxa"/>
            <w:vAlign w:val="bottom"/>
          </w:tcPr>
          <w:p>
            <w:pPr>
              <w:spacing w:after="0"/>
              <w:rPr>
                <w:sz w:val="22"/>
                <w:szCs w:val="22"/>
                <w:color w:val="auto"/>
              </w:rPr>
            </w:pPr>
          </w:p>
        </w:tc>
        <w:tc>
          <w:tcPr>
            <w:tcW w:w="110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7.03%</w:t>
            </w:r>
          </w:p>
        </w:tc>
        <w:tc>
          <w:tcPr>
            <w:tcW w:w="340" w:type="dxa"/>
            <w:vAlign w:val="bottom"/>
          </w:tcPr>
          <w:p>
            <w:pPr>
              <w:spacing w:after="0"/>
              <w:rPr>
                <w:sz w:val="22"/>
                <w:szCs w:val="22"/>
                <w:color w:val="auto"/>
              </w:rPr>
            </w:pPr>
          </w:p>
        </w:tc>
        <w:tc>
          <w:tcPr>
            <w:tcW w:w="11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7.18%</w:t>
            </w:r>
          </w:p>
        </w:tc>
        <w:tc>
          <w:tcPr>
            <w:tcW w:w="320" w:type="dxa"/>
            <w:vAlign w:val="bottom"/>
          </w:tcPr>
          <w:p>
            <w:pPr>
              <w:spacing w:after="0"/>
              <w:rPr>
                <w:sz w:val="22"/>
                <w:szCs w:val="22"/>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7.45%</w:t>
            </w:r>
          </w:p>
        </w:tc>
        <w:tc>
          <w:tcPr>
            <w:tcW w:w="0" w:type="dxa"/>
            <w:vAlign w:val="bottom"/>
          </w:tcPr>
          <w:p>
            <w:pPr>
              <w:spacing w:after="0"/>
              <w:rPr>
                <w:sz w:val="1"/>
                <w:szCs w:val="1"/>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Forward LIBOR Rates</w:t>
            </w:r>
          </w:p>
        </w:tc>
        <w:tc>
          <w:tcPr>
            <w:tcW w:w="5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640" w:type="dxa"/>
            <w:vAlign w:val="bottom"/>
          </w:tcPr>
          <w:p>
            <w:pPr>
              <w:spacing w:after="0"/>
              <w:rPr>
                <w:sz w:val="21"/>
                <w:szCs w:val="21"/>
                <w:color w:val="auto"/>
              </w:rPr>
            </w:pPr>
          </w:p>
        </w:tc>
        <w:tc>
          <w:tcPr>
            <w:tcW w:w="15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640" w:type="dxa"/>
            <w:vAlign w:val="bottom"/>
          </w:tcPr>
          <w:p>
            <w:pPr>
              <w:spacing w:after="0"/>
              <w:rPr>
                <w:sz w:val="20"/>
                <w:szCs w:val="20"/>
                <w:color w:val="auto"/>
              </w:rPr>
            </w:pPr>
            <w:r>
              <w:rPr>
                <w:rFonts w:ascii="Courier New" w:cs="Courier New" w:eastAsia="Courier New" w:hAnsi="Courier New"/>
                <w:sz w:val="15"/>
                <w:szCs w:val="15"/>
                <w:color w:val="auto"/>
              </w:rPr>
              <w:t>Total Notional</w:t>
            </w:r>
          </w:p>
        </w:tc>
        <w:tc>
          <w:tcPr>
            <w:tcW w:w="5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w w:val="92"/>
              </w:rPr>
              <w:t>96,767</w:t>
            </w:r>
          </w:p>
        </w:tc>
        <w:tc>
          <w:tcPr>
            <w:tcW w:w="44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71,327</w:t>
            </w:r>
          </w:p>
        </w:tc>
        <w:tc>
          <w:tcPr>
            <w:tcW w:w="48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52,639</w:t>
            </w:r>
          </w:p>
        </w:tc>
        <w:tc>
          <w:tcPr>
            <w:tcW w:w="44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28,828</w:t>
            </w: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22,726</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15,165</w:t>
            </w:r>
          </w:p>
        </w:tc>
        <w:tc>
          <w:tcPr>
            <w:tcW w:w="0" w:type="dxa"/>
            <w:vAlign w:val="bottom"/>
          </w:tcPr>
          <w:p>
            <w:pPr>
              <w:spacing w:after="0"/>
              <w:rPr>
                <w:sz w:val="1"/>
                <w:szCs w:val="1"/>
                <w:color w:val="auto"/>
              </w:rPr>
            </w:pP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Amount (a)</w:t>
            </w:r>
          </w:p>
        </w:tc>
        <w:tc>
          <w:tcPr>
            <w:tcW w:w="5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640" w:type="dxa"/>
            <w:vAlign w:val="bottom"/>
          </w:tcPr>
          <w:p>
            <w:pPr>
              <w:spacing w:after="0"/>
              <w:rPr>
                <w:sz w:val="21"/>
                <w:szCs w:val="21"/>
                <w:color w:val="auto"/>
              </w:rPr>
            </w:pPr>
          </w:p>
        </w:tc>
        <w:tc>
          <w:tcPr>
            <w:tcW w:w="15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540" w:right="4460" w:hanging="530"/>
        <w:spacing w:after="0" w:line="280" w:lineRule="auto"/>
        <w:tabs>
          <w:tab w:leader="none" w:pos="54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June 30, 1996, approximately $13 billion of notional amounts are interest rate swaps that, as part of the Corporation's asset/liability management, are used in place of cash market instruments. Of this amount, $4 billion is expected to mature in the twelve month period beginning July 1, 1996, $2 billion for the twelve month period beginning July 1, 1997, with the remaining $7 billion on July 1, 1998 and thereafter.</w:t>
      </w:r>
    </w:p>
    <w:p>
      <w:pPr>
        <w:spacing w:after="0" w:line="200" w:lineRule="exact"/>
        <w:rPr>
          <w:sz w:val="20"/>
          <w:szCs w:val="20"/>
          <w:color w:val="auto"/>
        </w:rPr>
      </w:pPr>
    </w:p>
    <w:p>
      <w:pPr>
        <w:spacing w:after="0" w:line="204" w:lineRule="exact"/>
        <w:rPr>
          <w:sz w:val="20"/>
          <w:szCs w:val="20"/>
          <w:color w:val="auto"/>
        </w:rPr>
      </w:pPr>
    </w:p>
    <w:p>
      <w:pPr>
        <w:ind w:right="4460"/>
        <w:spacing w:after="0" w:line="385" w:lineRule="auto"/>
        <w:rPr>
          <w:sz w:val="20"/>
          <w:szCs w:val="20"/>
          <w:color w:val="auto"/>
        </w:rPr>
      </w:pPr>
      <w:r>
        <w:rPr>
          <w:rFonts w:ascii="Courier New" w:cs="Courier New" w:eastAsia="Courier New" w:hAnsi="Courier New"/>
          <w:sz w:val="14"/>
          <w:szCs w:val="14"/>
          <w:color w:val="auto"/>
        </w:rPr>
        <w:t>The following table summarizes the Corporation's assets and liabilities at June 30, 1996 with the notional amount of related derivatives used for ALM purposes.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gridSpan w:val="2"/>
          </w:tcPr>
          <w:p>
            <w:pPr>
              <w:spacing w:after="0"/>
              <w:rPr>
                <w:sz w:val="20"/>
                <w:szCs w:val="20"/>
                <w:color w:val="auto"/>
              </w:rPr>
            </w:pPr>
            <w:r>
              <w:rPr>
                <w:rFonts w:ascii="Courier New" w:cs="Courier New" w:eastAsia="Courier New" w:hAnsi="Courier New"/>
                <w:sz w:val="15"/>
                <w:szCs w:val="15"/>
                <w:color w:val="auto"/>
              </w:rPr>
              <w:t>Derivative Contracts and Related Balance Sheet Positions</w:t>
            </w:r>
          </w:p>
        </w:tc>
        <w:tc>
          <w:tcPr>
            <w:tcW w:w="1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0" w:type="dxa"/>
            <w:vAlign w:val="bottom"/>
            <w:gridSpan w:val="3"/>
          </w:tcPr>
          <w:p>
            <w:pPr>
              <w:jc w:val="right"/>
              <w:ind w:right="527"/>
              <w:spacing w:after="0"/>
              <w:rPr>
                <w:sz w:val="20"/>
                <w:szCs w:val="20"/>
                <w:color w:val="auto"/>
              </w:rPr>
            </w:pPr>
            <w:r>
              <w:rPr>
                <w:rFonts w:ascii="Courier New" w:cs="Courier New" w:eastAsia="Courier New" w:hAnsi="Courier New"/>
                <w:sz w:val="15"/>
                <w:szCs w:val="15"/>
                <w:color w:val="auto"/>
              </w:rPr>
              <w:t>Notional Amount (a)</w:t>
            </w:r>
          </w:p>
        </w:tc>
        <w:tc>
          <w:tcPr>
            <w:tcW w:w="0" w:type="dxa"/>
            <w:vAlign w:val="bottom"/>
          </w:tcPr>
          <w:p>
            <w:pPr>
              <w:spacing w:after="0"/>
              <w:rPr>
                <w:sz w:val="1"/>
                <w:szCs w:val="1"/>
                <w:color w:val="auto"/>
              </w:rPr>
            </w:pPr>
          </w:p>
        </w:tc>
      </w:tr>
      <w:tr>
        <w:trPr>
          <w:trHeight w:val="168"/>
        </w:trPr>
        <w:tc>
          <w:tcPr>
            <w:tcW w:w="5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144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Balance</w:t>
            </w:r>
          </w:p>
        </w:tc>
        <w:tc>
          <w:tcPr>
            <w:tcW w:w="540" w:type="dxa"/>
            <w:vAlign w:val="bottom"/>
          </w:tcPr>
          <w:p>
            <w:pPr>
              <w:spacing w:after="0"/>
              <w:rPr>
                <w:sz w:val="14"/>
                <w:szCs w:val="14"/>
                <w:color w:val="auto"/>
              </w:rPr>
            </w:pPr>
          </w:p>
        </w:tc>
        <w:tc>
          <w:tcPr>
            <w:tcW w:w="300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4820" w:type="dxa"/>
            <w:vAlign w:val="bottom"/>
            <w:vMerge w:val="restart"/>
          </w:tcPr>
          <w:p>
            <w:pPr>
              <w:spacing w:after="0"/>
              <w:rPr>
                <w:sz w:val="20"/>
                <w:szCs w:val="20"/>
                <w:color w:val="auto"/>
              </w:rPr>
            </w:pPr>
            <w:r>
              <w:rPr>
                <w:rFonts w:ascii="Courier New" w:cs="Courier New" w:eastAsia="Courier New" w:hAnsi="Courier New"/>
                <w:sz w:val="15"/>
                <w:szCs w:val="15"/>
                <w:color w:val="auto"/>
              </w:rPr>
              <w:t>(in millions)</w:t>
            </w:r>
          </w:p>
        </w:tc>
        <w:tc>
          <w:tcPr>
            <w:tcW w:w="26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Interest</w:t>
            </w:r>
          </w:p>
        </w:tc>
        <w:tc>
          <w:tcPr>
            <w:tcW w:w="48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Other ALM</w:t>
            </w:r>
          </w:p>
        </w:tc>
        <w:tc>
          <w:tcPr>
            <w:tcW w:w="0" w:type="dxa"/>
            <w:vAlign w:val="bottom"/>
          </w:tcPr>
          <w:p>
            <w:pPr>
              <w:spacing w:after="0"/>
              <w:rPr>
                <w:sz w:val="1"/>
                <w:szCs w:val="1"/>
                <w:color w:val="auto"/>
              </w:rPr>
            </w:pPr>
          </w:p>
        </w:tc>
      </w:tr>
      <w:tr>
        <w:trPr>
          <w:trHeight w:val="168"/>
        </w:trPr>
        <w:tc>
          <w:tcPr>
            <w:tcW w:w="4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6"/>
              </w:rPr>
              <w:t>Sheet Amount</w:t>
            </w:r>
          </w:p>
        </w:tc>
        <w:tc>
          <w:tcPr>
            <w:tcW w:w="540" w:type="dxa"/>
            <w:vAlign w:val="bottom"/>
          </w:tcPr>
          <w:p>
            <w:pPr>
              <w:spacing w:after="0"/>
              <w:rPr>
                <w:sz w:val="14"/>
                <w:szCs w:val="14"/>
                <w:color w:val="auto"/>
              </w:rPr>
            </w:pPr>
          </w:p>
        </w:tc>
        <w:tc>
          <w:tcPr>
            <w:tcW w:w="1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Rate Swaps</w:t>
            </w:r>
          </w:p>
        </w:tc>
        <w:tc>
          <w:tcPr>
            <w:tcW w:w="48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Contracts(b)</w:t>
            </w:r>
          </w:p>
        </w:tc>
        <w:tc>
          <w:tcPr>
            <w:tcW w:w="0" w:type="dxa"/>
            <w:vAlign w:val="bottom"/>
          </w:tcPr>
          <w:p>
            <w:pPr>
              <w:spacing w:after="0"/>
              <w:rPr>
                <w:sz w:val="1"/>
                <w:szCs w:val="1"/>
                <w:color w:val="auto"/>
              </w:rPr>
            </w:pPr>
          </w:p>
        </w:tc>
      </w:tr>
      <w:tr>
        <w:trPr>
          <w:trHeight w:val="245"/>
        </w:trPr>
        <w:tc>
          <w:tcPr>
            <w:tcW w:w="4820" w:type="dxa"/>
            <w:vAlign w:val="bottom"/>
          </w:tcPr>
          <w:p>
            <w:pPr>
              <w:spacing w:after="0"/>
              <w:rPr>
                <w:sz w:val="21"/>
                <w:szCs w:val="21"/>
                <w:color w:val="auto"/>
              </w:rPr>
            </w:pPr>
          </w:p>
        </w:tc>
        <w:tc>
          <w:tcPr>
            <w:tcW w:w="170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27"/>
        </w:trPr>
        <w:tc>
          <w:tcPr>
            <w:tcW w:w="4820" w:type="dxa"/>
            <w:vAlign w:val="bottom"/>
          </w:tcPr>
          <w:p>
            <w:pPr>
              <w:spacing w:after="0"/>
              <w:rPr>
                <w:sz w:val="20"/>
                <w:szCs w:val="20"/>
                <w:color w:val="auto"/>
              </w:rPr>
            </w:pPr>
            <w:r>
              <w:rPr>
                <w:rFonts w:ascii="Courier New" w:cs="Courier New" w:eastAsia="Courier New" w:hAnsi="Courier New"/>
                <w:sz w:val="15"/>
                <w:szCs w:val="15"/>
                <w:color w:val="auto"/>
              </w:rPr>
              <w:t>Deposits with Banks</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5,805</w:t>
            </w:r>
          </w:p>
        </w:tc>
        <w:tc>
          <w:tcPr>
            <w:tcW w:w="5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503</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129</w:t>
            </w:r>
          </w:p>
        </w:tc>
        <w:tc>
          <w:tcPr>
            <w:tcW w:w="0" w:type="dxa"/>
            <w:vAlign w:val="bottom"/>
          </w:tcPr>
          <w:p>
            <w:pPr>
              <w:spacing w:after="0"/>
              <w:rPr>
                <w:sz w:val="1"/>
                <w:szCs w:val="1"/>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 Available for Sale</w:t>
            </w:r>
          </w:p>
        </w:tc>
        <w:tc>
          <w:tcPr>
            <w:tcW w:w="26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37,855</w:t>
            </w:r>
          </w:p>
        </w:tc>
        <w:tc>
          <w:tcPr>
            <w:tcW w:w="540" w:type="dxa"/>
            <w:vAlign w:val="bottom"/>
          </w:tcPr>
          <w:p>
            <w:pPr>
              <w:spacing w:after="0"/>
              <w:rPr>
                <w:sz w:val="14"/>
                <w:szCs w:val="14"/>
                <w:color w:val="auto"/>
              </w:rPr>
            </w:pP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6,827</w:t>
            </w:r>
          </w:p>
        </w:tc>
        <w:tc>
          <w:tcPr>
            <w:tcW w:w="48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4,770</w:t>
            </w:r>
          </w:p>
        </w:tc>
        <w:tc>
          <w:tcPr>
            <w:tcW w:w="0" w:type="dxa"/>
            <w:vAlign w:val="bottom"/>
          </w:tcPr>
          <w:p>
            <w:pPr>
              <w:spacing w:after="0"/>
              <w:rPr>
                <w:sz w:val="1"/>
                <w:szCs w:val="1"/>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w:t>
            </w:r>
          </w:p>
        </w:tc>
        <w:tc>
          <w:tcPr>
            <w:tcW w:w="26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151,274</w:t>
            </w:r>
          </w:p>
        </w:tc>
        <w:tc>
          <w:tcPr>
            <w:tcW w:w="540" w:type="dxa"/>
            <w:vAlign w:val="bottom"/>
          </w:tcPr>
          <w:p>
            <w:pPr>
              <w:spacing w:after="0"/>
              <w:rPr>
                <w:sz w:val="14"/>
                <w:szCs w:val="14"/>
                <w:color w:val="auto"/>
              </w:rPr>
            </w:pP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40,949</w:t>
            </w:r>
          </w:p>
        </w:tc>
        <w:tc>
          <w:tcPr>
            <w:tcW w:w="48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68,614</w:t>
            </w:r>
          </w:p>
        </w:tc>
        <w:tc>
          <w:tcPr>
            <w:tcW w:w="0" w:type="dxa"/>
            <w:vAlign w:val="bottom"/>
          </w:tcPr>
          <w:p>
            <w:pPr>
              <w:spacing w:after="0"/>
              <w:rPr>
                <w:sz w:val="1"/>
                <w:szCs w:val="1"/>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26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19,714</w:t>
            </w:r>
          </w:p>
        </w:tc>
        <w:tc>
          <w:tcPr>
            <w:tcW w:w="540" w:type="dxa"/>
            <w:vAlign w:val="bottom"/>
          </w:tcPr>
          <w:p>
            <w:pPr>
              <w:spacing w:after="0"/>
              <w:rPr>
                <w:sz w:val="14"/>
                <w:szCs w:val="14"/>
                <w:color w:val="auto"/>
              </w:rPr>
            </w:pP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3,050</w:t>
            </w:r>
          </w:p>
        </w:tc>
        <w:tc>
          <w:tcPr>
            <w:tcW w:w="48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3,455</w:t>
            </w:r>
          </w:p>
        </w:tc>
        <w:tc>
          <w:tcPr>
            <w:tcW w:w="0" w:type="dxa"/>
            <w:vAlign w:val="bottom"/>
          </w:tcPr>
          <w:p>
            <w:pPr>
              <w:spacing w:after="0"/>
              <w:rPr>
                <w:sz w:val="1"/>
                <w:szCs w:val="1"/>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Deposits</w:t>
            </w:r>
          </w:p>
        </w:tc>
        <w:tc>
          <w:tcPr>
            <w:tcW w:w="26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168,343</w:t>
            </w:r>
          </w:p>
        </w:tc>
        <w:tc>
          <w:tcPr>
            <w:tcW w:w="540" w:type="dxa"/>
            <w:vAlign w:val="bottom"/>
          </w:tcPr>
          <w:p>
            <w:pPr>
              <w:spacing w:after="0"/>
              <w:rPr>
                <w:sz w:val="14"/>
                <w:szCs w:val="14"/>
                <w:color w:val="auto"/>
              </w:rPr>
            </w:pP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27,215</w:t>
            </w:r>
          </w:p>
        </w:tc>
        <w:tc>
          <w:tcPr>
            <w:tcW w:w="48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80,316</w:t>
            </w:r>
          </w:p>
        </w:tc>
        <w:tc>
          <w:tcPr>
            <w:tcW w:w="0" w:type="dxa"/>
            <w:vAlign w:val="bottom"/>
          </w:tcPr>
          <w:p>
            <w:pPr>
              <w:spacing w:after="0"/>
              <w:rPr>
                <w:sz w:val="1"/>
                <w:szCs w:val="1"/>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Purchased and Securities Sold</w:t>
            </w:r>
          </w:p>
        </w:tc>
        <w:tc>
          <w:tcPr>
            <w:tcW w:w="260" w:type="dxa"/>
            <w:vAlign w:val="bottom"/>
          </w:tcPr>
          <w:p>
            <w:pPr>
              <w:spacing w:after="0"/>
              <w:rPr>
                <w:sz w:val="14"/>
                <w:szCs w:val="14"/>
                <w:color w:val="auto"/>
              </w:rPr>
            </w:pPr>
          </w:p>
        </w:tc>
        <w:tc>
          <w:tcPr>
            <w:tcW w:w="144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54,584</w:t>
            </w:r>
          </w:p>
        </w:tc>
        <w:tc>
          <w:tcPr>
            <w:tcW w:w="540" w:type="dxa"/>
            <w:vAlign w:val="bottom"/>
          </w:tcPr>
          <w:p>
            <w:pPr>
              <w:spacing w:after="0"/>
              <w:rPr>
                <w:sz w:val="14"/>
                <w:szCs w:val="14"/>
                <w:color w:val="auto"/>
              </w:rPr>
            </w:pPr>
          </w:p>
        </w:tc>
        <w:tc>
          <w:tcPr>
            <w:tcW w:w="130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10,210</w:t>
            </w:r>
          </w:p>
        </w:tc>
        <w:tc>
          <w:tcPr>
            <w:tcW w:w="0" w:type="dxa"/>
            <w:vAlign w:val="bottom"/>
          </w:tcPr>
          <w:p>
            <w:pPr>
              <w:spacing w:after="0"/>
              <w:rPr>
                <w:sz w:val="1"/>
                <w:szCs w:val="1"/>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Under Repurchase Agreements</w:t>
            </w:r>
          </w:p>
        </w:tc>
        <w:tc>
          <w:tcPr>
            <w:tcW w:w="26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82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60" w:type="dxa"/>
            <w:vAlign w:val="bottom"/>
          </w:tcPr>
          <w:p>
            <w:pPr>
              <w:spacing w:after="0"/>
              <w:rPr>
                <w:sz w:val="21"/>
                <w:szCs w:val="21"/>
                <w:color w:val="auto"/>
              </w:rPr>
            </w:pPr>
          </w:p>
        </w:tc>
        <w:tc>
          <w:tcPr>
            <w:tcW w:w="14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12,770</w:t>
            </w:r>
          </w:p>
        </w:tc>
        <w:tc>
          <w:tcPr>
            <w:tcW w:w="540" w:type="dxa"/>
            <w:vAlign w:val="bottom"/>
          </w:tcPr>
          <w:p>
            <w:pPr>
              <w:spacing w:after="0"/>
              <w:rPr>
                <w:sz w:val="21"/>
                <w:szCs w:val="21"/>
                <w:color w:val="auto"/>
              </w:rPr>
            </w:pPr>
          </w:p>
        </w:tc>
        <w:tc>
          <w:tcPr>
            <w:tcW w:w="13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5,596</w:t>
            </w:r>
          </w:p>
        </w:tc>
        <w:tc>
          <w:tcPr>
            <w:tcW w:w="480" w:type="dxa"/>
            <w:vAlign w:val="bottom"/>
          </w:tcPr>
          <w:p>
            <w:pPr>
              <w:spacing w:after="0"/>
              <w:rPr>
                <w:sz w:val="21"/>
                <w:szCs w:val="21"/>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290</w:t>
            </w:r>
          </w:p>
        </w:tc>
        <w:tc>
          <w:tcPr>
            <w:tcW w:w="0" w:type="dxa"/>
            <w:vAlign w:val="bottom"/>
          </w:tcPr>
          <w:p>
            <w:pPr>
              <w:spacing w:after="0"/>
              <w:rPr>
                <w:sz w:val="1"/>
                <w:szCs w:val="1"/>
                <w:color w:val="auto"/>
              </w:rPr>
            </w:pPr>
          </w:p>
        </w:tc>
      </w:tr>
    </w:tbl>
    <w:p>
      <w:pPr>
        <w:spacing w:after="0" w:line="259" w:lineRule="exact"/>
        <w:rPr>
          <w:sz w:val="20"/>
          <w:szCs w:val="20"/>
          <w:color w:val="auto"/>
        </w:rPr>
      </w:pPr>
    </w:p>
    <w:p>
      <w:pPr>
        <w:jc w:val="both"/>
        <w:ind w:left="440" w:right="4460" w:hanging="430"/>
        <w:spacing w:after="0" w:line="246" w:lineRule="auto"/>
        <w:tabs>
          <w:tab w:leader="none" w:pos="4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June 30, 1996, notional amounts of approximately $13 billion for interest rate swaps and $1 billion for other ALM contracts, both of which are used in place of cash market instruments, have been excluded from the above table.</w:t>
      </w:r>
    </w:p>
    <w:p>
      <w:pPr>
        <w:spacing w:after="0" w:line="2"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futures, forwards, forward rate agreements and options.</w:t>
      </w: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1460"/>
          </w:cols>
          <w:pgMar w:left="220" w:top="934" w:right="219" w:bottom="1440" w:gutter="0" w:footer="0" w:header="0"/>
        </w:sectPr>
      </w:pPr>
    </w:p>
    <w:bookmarkStart w:id="40" w:name="page41"/>
    <w:bookmarkEnd w:id="40"/>
    <w:p>
      <w:pPr>
        <w:jc w:val="both"/>
        <w:ind w:right="3239"/>
        <w:spacing w:after="0" w:line="258" w:lineRule="auto"/>
        <w:rPr>
          <w:sz w:val="20"/>
          <w:szCs w:val="20"/>
          <w:color w:val="auto"/>
        </w:rPr>
      </w:pPr>
      <w:r>
        <w:rPr>
          <w:rFonts w:ascii="Courier New" w:cs="Courier New" w:eastAsia="Courier New" w:hAnsi="Courier New"/>
          <w:sz w:val="15"/>
          <w:szCs w:val="15"/>
          <w:color w:val="auto"/>
        </w:rPr>
        <w:t>Approximately $6.5 billion notional amount of derivatives related to mortgage servicing assets and approximately $15.6 billion notional amount of derivatives related to mortgage and consumer loans held for sale were outstanding at June 30, 1996. The weighted average maturity of contracts linked to mortgage servicing assets is approximately four years. Contracts related to loans held for sale generally mature within one year.</w:t>
      </w:r>
    </w:p>
    <w:p>
      <w:pPr>
        <w:spacing w:after="0" w:line="81" w:lineRule="exact"/>
        <w:rPr>
          <w:sz w:val="20"/>
          <w:szCs w:val="20"/>
          <w:color w:val="auto"/>
        </w:rPr>
      </w:pPr>
    </w:p>
    <w:p>
      <w:pPr>
        <w:ind w:right="3579"/>
        <w:spacing w:after="0" w:line="274" w:lineRule="auto"/>
        <w:rPr>
          <w:sz w:val="20"/>
          <w:szCs w:val="20"/>
          <w:color w:val="auto"/>
        </w:rPr>
      </w:pPr>
      <w:r>
        <w:rPr>
          <w:rFonts w:ascii="Courier New" w:cs="Courier New" w:eastAsia="Courier New" w:hAnsi="Courier New"/>
          <w:sz w:val="14"/>
          <w:szCs w:val="14"/>
          <w:color w:val="auto"/>
        </w:rPr>
        <w:t>The Corporation's ALM derivative activities, whereby derivative instruments alter the yield on certain of the Corporation's assets and liabilities,</w:t>
      </w:r>
    </w:p>
    <w:p>
      <w:pPr>
        <w:jc w:val="both"/>
        <w:ind w:right="3239"/>
        <w:spacing w:after="0" w:line="255" w:lineRule="auto"/>
        <w:rPr>
          <w:sz w:val="20"/>
          <w:szCs w:val="20"/>
          <w:color w:val="auto"/>
        </w:rPr>
      </w:pPr>
      <w:r>
        <w:rPr>
          <w:rFonts w:ascii="Courier New" w:cs="Courier New" w:eastAsia="Courier New" w:hAnsi="Courier New"/>
          <w:sz w:val="15"/>
          <w:szCs w:val="15"/>
          <w:color w:val="auto"/>
        </w:rPr>
        <w:t>had an unfavorable $46 million impact on the Corporation's net interest income in the second quarter of 1996, compared with a favorable impact of $27 million for the second quarter of 1995. For the first six months, the unfavorable impact on net interest income was $35 million in 1996, compared with a favorable impact of $81 million in 1995.</w:t>
      </w:r>
    </w:p>
    <w:p>
      <w:pPr>
        <w:spacing w:after="0" w:line="80" w:lineRule="exact"/>
        <w:rPr>
          <w:sz w:val="20"/>
          <w:szCs w:val="20"/>
          <w:color w:val="auto"/>
        </w:rPr>
      </w:pPr>
    </w:p>
    <w:p>
      <w:pPr>
        <w:jc w:val="both"/>
        <w:ind w:right="3239"/>
        <w:spacing w:after="0" w:line="290" w:lineRule="auto"/>
        <w:rPr>
          <w:sz w:val="20"/>
          <w:szCs w:val="20"/>
          <w:color w:val="auto"/>
        </w:rPr>
      </w:pPr>
      <w:r>
        <w:rPr>
          <w:rFonts w:ascii="Courier New" w:cs="Courier New" w:eastAsia="Courier New" w:hAnsi="Courier New"/>
          <w:sz w:val="15"/>
          <w:szCs w:val="15"/>
          <w:color w:val="auto"/>
        </w:rPr>
        <w:t>The following table reflects the deferred gains/losses and unrecognized gains/losses of the Corporation's ALM derivative contracts for June 30, 1996 and December 31, 1995.</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vMerge w:val="restart"/>
          </w:tcPr>
          <w:p>
            <w:pPr>
              <w:spacing w:after="0"/>
              <w:rPr>
                <w:sz w:val="20"/>
                <w:szCs w:val="20"/>
                <w:color w:val="auto"/>
              </w:rPr>
            </w:pPr>
            <w:r>
              <w:rPr>
                <w:rFonts w:ascii="Courier New" w:cs="Courier New" w:eastAsia="Courier New" w:hAnsi="Courier New"/>
                <w:sz w:val="15"/>
                <w:szCs w:val="15"/>
                <w:color w:val="auto"/>
              </w:rPr>
              <w:t>(in millions)</w:t>
            </w:r>
          </w:p>
        </w:tc>
        <w:tc>
          <w:tcPr>
            <w:tcW w:w="480" w:type="dxa"/>
            <w:vAlign w:val="bottom"/>
          </w:tcPr>
          <w:p>
            <w:pPr>
              <w:spacing w:after="0"/>
              <w:rPr>
                <w:sz w:val="14"/>
                <w:szCs w:val="1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June 30,</w:t>
            </w:r>
          </w:p>
        </w:tc>
        <w:tc>
          <w:tcPr>
            <w:tcW w:w="15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December 31,</w:t>
            </w:r>
          </w:p>
        </w:tc>
        <w:tc>
          <w:tcPr>
            <w:tcW w:w="36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Change</w:t>
            </w:r>
          </w:p>
        </w:tc>
        <w:tc>
          <w:tcPr>
            <w:tcW w:w="0" w:type="dxa"/>
            <w:vAlign w:val="bottom"/>
          </w:tcPr>
          <w:p>
            <w:pPr>
              <w:spacing w:after="0"/>
              <w:rPr>
                <w:sz w:val="1"/>
                <w:szCs w:val="1"/>
                <w:color w:val="auto"/>
              </w:rPr>
            </w:pPr>
          </w:p>
        </w:tc>
      </w:tr>
      <w:tr>
        <w:trPr>
          <w:trHeight w:val="168"/>
        </w:trPr>
        <w:tc>
          <w:tcPr>
            <w:tcW w:w="37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c>
          <w:tcPr>
            <w:tcW w:w="5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1995</w:t>
            </w: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780" w:type="dxa"/>
            <w:vAlign w:val="bottom"/>
          </w:tcPr>
          <w:p>
            <w:pPr>
              <w:spacing w:after="0"/>
              <w:rPr>
                <w:sz w:val="21"/>
                <w:szCs w:val="21"/>
                <w:color w:val="auto"/>
              </w:rPr>
            </w:pPr>
          </w:p>
        </w:tc>
        <w:tc>
          <w:tcPr>
            <w:tcW w:w="14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ALM Derivative Contracts:</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780" w:type="dxa"/>
            <w:vAlign w:val="bottom"/>
          </w:tcPr>
          <w:p>
            <w:pPr>
              <w:ind w:left="180"/>
              <w:spacing w:after="0"/>
              <w:rPr>
                <w:sz w:val="20"/>
                <w:szCs w:val="20"/>
                <w:color w:val="auto"/>
              </w:rPr>
            </w:pPr>
            <w:r>
              <w:rPr>
                <w:rFonts w:ascii="Courier New" w:cs="Courier New" w:eastAsia="Courier New" w:hAnsi="Courier New"/>
                <w:sz w:val="15"/>
                <w:szCs w:val="15"/>
                <w:color w:val="auto"/>
              </w:rPr>
              <w:t>Net Deferred Gains (Losses)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Unrecognized Gains (Losses)(a)</w:t>
            </w:r>
          </w:p>
        </w:tc>
        <w:tc>
          <w:tcPr>
            <w:tcW w:w="4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(577)</w:t>
            </w:r>
          </w:p>
        </w:tc>
        <w:tc>
          <w:tcPr>
            <w:tcW w:w="560" w:type="dxa"/>
            <w:vAlign w:val="bottom"/>
          </w:tcPr>
          <w:p>
            <w:pPr>
              <w:spacing w:after="0"/>
              <w:rPr>
                <w:sz w:val="14"/>
                <w:szCs w:val="14"/>
                <w:color w:val="auto"/>
              </w:rPr>
            </w:pPr>
          </w:p>
        </w:tc>
        <w:tc>
          <w:tcPr>
            <w:tcW w:w="9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184</w:t>
            </w:r>
          </w:p>
        </w:tc>
        <w:tc>
          <w:tcPr>
            <w:tcW w:w="3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(761)</w:t>
            </w:r>
          </w:p>
        </w:tc>
        <w:tc>
          <w:tcPr>
            <w:tcW w:w="0" w:type="dxa"/>
            <w:vAlign w:val="bottom"/>
          </w:tcPr>
          <w:p>
            <w:pPr>
              <w:spacing w:after="0"/>
              <w:rPr>
                <w:sz w:val="1"/>
                <w:szCs w:val="1"/>
                <w:color w:val="auto"/>
              </w:rPr>
            </w:pPr>
          </w:p>
        </w:tc>
      </w:tr>
      <w:tr>
        <w:trPr>
          <w:trHeight w:val="168"/>
        </w:trPr>
        <w:tc>
          <w:tcPr>
            <w:tcW w:w="378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Net ALM Derivative Gains (Losses)</w:t>
            </w:r>
          </w:p>
        </w:tc>
        <w:tc>
          <w:tcPr>
            <w:tcW w:w="14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780" w:type="dxa"/>
            <w:vAlign w:val="bottom"/>
            <w:vMerge w:val="continue"/>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(645)</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86</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(731)</w:t>
            </w:r>
          </w:p>
        </w:tc>
        <w:tc>
          <w:tcPr>
            <w:tcW w:w="0" w:type="dxa"/>
            <w:vAlign w:val="bottom"/>
          </w:tcPr>
          <w:p>
            <w:pPr>
              <w:spacing w:after="0"/>
              <w:rPr>
                <w:sz w:val="1"/>
                <w:szCs w:val="1"/>
                <w:color w:val="auto"/>
              </w:rPr>
            </w:pPr>
          </w:p>
        </w:tc>
      </w:tr>
      <w:tr>
        <w:trPr>
          <w:trHeight w:val="245"/>
        </w:trPr>
        <w:tc>
          <w:tcPr>
            <w:tcW w:w="3780" w:type="dxa"/>
            <w:vAlign w:val="bottom"/>
          </w:tcPr>
          <w:p>
            <w:pPr>
              <w:spacing w:after="0"/>
              <w:rPr>
                <w:sz w:val="21"/>
                <w:szCs w:val="21"/>
                <w:color w:val="auto"/>
              </w:rPr>
            </w:pPr>
          </w:p>
        </w:tc>
        <w:tc>
          <w:tcPr>
            <w:tcW w:w="14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jc w:val="both"/>
        <w:ind w:left="540" w:right="3239" w:hanging="530"/>
        <w:spacing w:after="0" w:line="255" w:lineRule="auto"/>
        <w:tabs>
          <w:tab w:leader="none" w:pos="5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June 30, 1996 amount includes $74 million in net unrecognized losses from derivatives related to mortgage servicing rights, and $2 million in net unrecognized losses from daily margin settlements on open futures contracts. At December 31, 1995, there was $69 million in net unrecognized gains from derivatives related to mortgage servicing rights and $99 million in net unrecognized losses from daily margin settlements on open future contracts.</w:t>
      </w:r>
    </w:p>
    <w:p>
      <w:pPr>
        <w:spacing w:after="0" w:line="200" w:lineRule="exact"/>
        <w:rPr>
          <w:sz w:val="20"/>
          <w:szCs w:val="20"/>
          <w:color w:val="auto"/>
        </w:rPr>
      </w:pPr>
    </w:p>
    <w:p>
      <w:pPr>
        <w:spacing w:after="0" w:line="218" w:lineRule="exact"/>
        <w:rPr>
          <w:sz w:val="20"/>
          <w:szCs w:val="20"/>
          <w:color w:val="auto"/>
        </w:rPr>
      </w:pPr>
    </w:p>
    <w:p>
      <w:pPr>
        <w:jc w:val="both"/>
        <w:ind w:right="3239"/>
        <w:spacing w:after="0" w:line="290" w:lineRule="auto"/>
        <w:rPr>
          <w:sz w:val="20"/>
          <w:szCs w:val="20"/>
          <w:color w:val="auto"/>
        </w:rPr>
      </w:pPr>
      <w:r>
        <w:rPr>
          <w:rFonts w:ascii="Courier New" w:cs="Courier New" w:eastAsia="Courier New" w:hAnsi="Courier New"/>
          <w:sz w:val="15"/>
          <w:szCs w:val="15"/>
          <w:color w:val="auto"/>
        </w:rPr>
        <w:t>The net deferred losses at June 30, 1996 are expected to be amortized as yield adjustments in interest income or interest expense, as applicable, over the periods reflected in the following table.</w:t>
      </w:r>
    </w:p>
    <w:p>
      <w:pPr>
        <w:spacing w:after="0" w:line="57" w:lineRule="exact"/>
        <w:rPr>
          <w:sz w:val="20"/>
          <w:szCs w:val="20"/>
          <w:color w:val="auto"/>
        </w:rPr>
      </w:pPr>
    </w:p>
    <w:p>
      <w:pPr>
        <w:ind w:right="4379"/>
        <w:spacing w:after="0" w:line="255" w:lineRule="auto"/>
        <w:rPr>
          <w:sz w:val="20"/>
          <w:szCs w:val="20"/>
          <w:color w:val="auto"/>
        </w:rPr>
      </w:pPr>
      <w:r>
        <w:rPr>
          <w:rFonts w:ascii="Courier New" w:cs="Courier New" w:eastAsia="Courier New" w:hAnsi="Courier New"/>
          <w:sz w:val="15"/>
          <w:szCs w:val="15"/>
          <w:color w:val="auto"/>
        </w:rPr>
        <w:t>Amortization of Net Deferred Gains (Losses) on Closed ALM Contracts (in millions)</w:t>
      </w:r>
    </w:p>
    <w:p>
      <w:pPr>
        <w:spacing w:after="0"/>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42"/>
        </w:trPr>
        <w:tc>
          <w:tcPr>
            <w:tcW w:w="400" w:type="dxa"/>
            <w:vAlign w:val="bottom"/>
          </w:tcPr>
          <w:p>
            <w:pPr>
              <w:jc w:val="right"/>
              <w:spacing w:after="0" w:line="142" w:lineRule="exact"/>
              <w:rPr>
                <w:sz w:val="20"/>
                <w:szCs w:val="20"/>
                <w:color w:val="auto"/>
              </w:rPr>
            </w:pPr>
            <w:r>
              <w:rPr>
                <w:rFonts w:ascii="Courier New" w:cs="Courier New" w:eastAsia="Courier New" w:hAnsi="Courier New"/>
                <w:sz w:val="15"/>
                <w:szCs w:val="15"/>
                <w:color w:val="auto"/>
                <w:w w:val="94"/>
              </w:rPr>
              <w:t>1996</w:t>
            </w:r>
          </w:p>
        </w:tc>
        <w:tc>
          <w:tcPr>
            <w:tcW w:w="2800" w:type="dxa"/>
            <w:vAlign w:val="bottom"/>
          </w:tcPr>
          <w:p>
            <w:pPr>
              <w:spacing w:after="0"/>
              <w:rPr>
                <w:sz w:val="12"/>
                <w:szCs w:val="12"/>
                <w:color w:val="auto"/>
              </w:rPr>
            </w:pPr>
          </w:p>
        </w:tc>
        <w:tc>
          <w:tcPr>
            <w:tcW w:w="2240" w:type="dxa"/>
            <w:vAlign w:val="bottom"/>
          </w:tcPr>
          <w:p>
            <w:pPr>
              <w:jc w:val="right"/>
              <w:ind w:right="107"/>
              <w:spacing w:after="0" w:line="142"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27"/>
              <w:spacing w:after="0" w:line="142" w:lineRule="exact"/>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168"/>
        </w:trPr>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1997</w:t>
            </w:r>
          </w:p>
        </w:tc>
        <w:tc>
          <w:tcPr>
            <w:tcW w:w="28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68"/>
        </w:trPr>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1998</w:t>
            </w:r>
          </w:p>
        </w:tc>
        <w:tc>
          <w:tcPr>
            <w:tcW w:w="28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w:t>
            </w:r>
          </w:p>
        </w:tc>
        <w:tc>
          <w:tcPr>
            <w:tcW w:w="0" w:type="dxa"/>
            <w:vAlign w:val="bottom"/>
          </w:tcPr>
          <w:p>
            <w:pPr>
              <w:spacing w:after="0"/>
              <w:rPr>
                <w:sz w:val="1"/>
                <w:szCs w:val="1"/>
                <w:color w:val="auto"/>
              </w:rPr>
            </w:pPr>
          </w:p>
        </w:tc>
      </w:tr>
      <w:tr>
        <w:trPr>
          <w:trHeight w:val="168"/>
        </w:trPr>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1999</w:t>
            </w:r>
          </w:p>
        </w:tc>
        <w:tc>
          <w:tcPr>
            <w:tcW w:w="28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c>
          <w:tcPr>
            <w:tcW w:w="0" w:type="dxa"/>
            <w:vAlign w:val="bottom"/>
          </w:tcPr>
          <w:p>
            <w:pPr>
              <w:spacing w:after="0"/>
              <w:rPr>
                <w:sz w:val="1"/>
                <w:szCs w:val="1"/>
                <w:color w:val="auto"/>
              </w:rPr>
            </w:pPr>
          </w:p>
        </w:tc>
      </w:tr>
      <w:tr>
        <w:trPr>
          <w:trHeight w:val="168"/>
        </w:trPr>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2000</w:t>
            </w:r>
          </w:p>
        </w:tc>
        <w:tc>
          <w:tcPr>
            <w:tcW w:w="28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and After</w:t>
            </w:r>
          </w:p>
        </w:tc>
        <w:tc>
          <w:tcPr>
            <w:tcW w:w="22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w:t>
            </w:r>
          </w:p>
        </w:tc>
        <w:tc>
          <w:tcPr>
            <w:tcW w:w="0" w:type="dxa"/>
            <w:vAlign w:val="bottom"/>
          </w:tcPr>
          <w:p>
            <w:pPr>
              <w:spacing w:after="0"/>
              <w:rPr>
                <w:sz w:val="1"/>
                <w:szCs w:val="1"/>
                <w:color w:val="auto"/>
              </w:rPr>
            </w:pPr>
          </w:p>
        </w:tc>
      </w:tr>
      <w:tr>
        <w:trPr>
          <w:trHeight w:val="194"/>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2001</w:t>
            </w:r>
          </w:p>
        </w:tc>
        <w:tc>
          <w:tcPr>
            <w:tcW w:w="2800" w:type="dxa"/>
            <w:vAlign w:val="bottom"/>
            <w:vMerge w:val="continue"/>
          </w:tcPr>
          <w:p>
            <w:pPr>
              <w:spacing w:after="0"/>
              <w:rPr>
                <w:sz w:val="16"/>
                <w:szCs w:val="16"/>
                <w:color w:val="auto"/>
              </w:rPr>
            </w:pPr>
          </w:p>
        </w:tc>
        <w:tc>
          <w:tcPr>
            <w:tcW w:w="2240" w:type="dxa"/>
            <w:vAlign w:val="bottom"/>
          </w:tcPr>
          <w:p>
            <w:pPr>
              <w:spacing w:after="0"/>
              <w:rPr>
                <w:sz w:val="16"/>
                <w:szCs w:val="16"/>
                <w:color w:val="auto"/>
              </w:rPr>
            </w:pPr>
          </w:p>
        </w:tc>
        <w:tc>
          <w:tcPr>
            <w:tcW w:w="5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142"/>
        </w:trPr>
        <w:tc>
          <w:tcPr>
            <w:tcW w:w="2620" w:type="dxa"/>
            <w:vAlign w:val="bottom"/>
            <w:vMerge w:val="restart"/>
          </w:tcPr>
          <w:p>
            <w:pPr>
              <w:spacing w:after="0"/>
              <w:rPr>
                <w:sz w:val="20"/>
                <w:szCs w:val="20"/>
                <w:color w:val="auto"/>
              </w:rPr>
            </w:pPr>
            <w:r>
              <w:rPr>
                <w:rFonts w:ascii="Courier New" w:cs="Courier New" w:eastAsia="Courier New" w:hAnsi="Courier New"/>
                <w:sz w:val="15"/>
                <w:szCs w:val="15"/>
                <w:color w:val="auto"/>
              </w:rPr>
              <w:t>Total</w:t>
            </w:r>
          </w:p>
        </w:tc>
        <w:tc>
          <w:tcPr>
            <w:tcW w:w="2980" w:type="dxa"/>
            <w:vAlign w:val="bottom"/>
            <w:gridSpan w:val="2"/>
          </w:tcPr>
          <w:p>
            <w:pPr>
              <w:jc w:val="right"/>
              <w:ind w:right="27"/>
              <w:spacing w:after="0" w:line="142"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620" w:type="dxa"/>
            <w:vAlign w:val="bottom"/>
            <w:vMerge w:val="continue"/>
          </w:tcPr>
          <w:p>
            <w:pPr>
              <w:spacing w:after="0"/>
              <w:rPr>
                <w:sz w:val="14"/>
                <w:szCs w:val="14"/>
                <w:color w:val="auto"/>
              </w:rPr>
            </w:pPr>
          </w:p>
        </w:tc>
        <w:tc>
          <w:tcPr>
            <w:tcW w:w="24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w:t>
            </w:r>
          </w:p>
        </w:tc>
        <w:tc>
          <w:tcPr>
            <w:tcW w:w="0" w:type="dxa"/>
            <w:vAlign w:val="bottom"/>
          </w:tcPr>
          <w:p>
            <w:pPr>
              <w:spacing w:after="0"/>
              <w:rPr>
                <w:sz w:val="1"/>
                <w:szCs w:val="1"/>
                <w:color w:val="auto"/>
              </w:rPr>
            </w:pPr>
          </w:p>
        </w:tc>
      </w:tr>
      <w:tr>
        <w:trPr>
          <w:trHeight w:val="245"/>
        </w:trPr>
        <w:tc>
          <w:tcPr>
            <w:tcW w:w="2620" w:type="dxa"/>
            <w:vAlign w:val="bottom"/>
          </w:tcPr>
          <w:p>
            <w:pPr>
              <w:spacing w:after="0"/>
              <w:rPr>
                <w:sz w:val="21"/>
                <w:szCs w:val="21"/>
                <w:color w:val="auto"/>
              </w:rPr>
            </w:pPr>
          </w:p>
        </w:tc>
        <w:tc>
          <w:tcPr>
            <w:tcW w:w="2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jc w:val="both"/>
        <w:ind w:right="3239"/>
        <w:spacing w:after="0" w:line="290" w:lineRule="auto"/>
        <w:rPr>
          <w:sz w:val="20"/>
          <w:szCs w:val="20"/>
          <w:color w:val="auto"/>
        </w:rPr>
      </w:pPr>
      <w:r>
        <w:rPr>
          <w:rFonts w:ascii="Courier New" w:cs="Courier New" w:eastAsia="Courier New" w:hAnsi="Courier New"/>
          <w:sz w:val="15"/>
          <w:szCs w:val="15"/>
          <w:color w:val="auto"/>
        </w:rPr>
        <w:t>The Consolidated Balance Sheet includes unamortized premiums on open ALM option contracts which will be amortized as a reduction to net interest income over the periods indicated in the following table.</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Amortization of Premiums on Open ALM Option Contracts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millions)</w:t>
      </w:r>
    </w:p>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43"/>
        </w:trPr>
        <w:tc>
          <w:tcPr>
            <w:tcW w:w="360" w:type="dxa"/>
            <w:vAlign w:val="bottom"/>
          </w:tcPr>
          <w:p>
            <w:pPr>
              <w:jc w:val="right"/>
              <w:spacing w:after="0" w:line="143" w:lineRule="exact"/>
              <w:rPr>
                <w:sz w:val="20"/>
                <w:szCs w:val="20"/>
                <w:color w:val="auto"/>
              </w:rPr>
            </w:pPr>
            <w:r>
              <w:rPr>
                <w:rFonts w:ascii="Courier New" w:cs="Courier New" w:eastAsia="Courier New" w:hAnsi="Courier New"/>
                <w:sz w:val="15"/>
                <w:szCs w:val="15"/>
                <w:color w:val="auto"/>
                <w:w w:val="94"/>
              </w:rPr>
              <w:t>1996</w:t>
            </w:r>
          </w:p>
        </w:tc>
        <w:tc>
          <w:tcPr>
            <w:tcW w:w="1920" w:type="dxa"/>
            <w:vAlign w:val="bottom"/>
          </w:tcPr>
          <w:p>
            <w:pPr>
              <w:spacing w:after="0"/>
              <w:rPr>
                <w:sz w:val="12"/>
                <w:szCs w:val="12"/>
                <w:color w:val="auto"/>
              </w:rPr>
            </w:pPr>
          </w:p>
        </w:tc>
        <w:tc>
          <w:tcPr>
            <w:tcW w:w="3200" w:type="dxa"/>
            <w:vAlign w:val="bottom"/>
          </w:tcPr>
          <w:p>
            <w:pPr>
              <w:jc w:val="right"/>
              <w:ind w:right="67"/>
              <w:spacing w:after="0" w:line="143"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line="143" w:lineRule="exact"/>
              <w:rPr>
                <w:sz w:val="20"/>
                <w:szCs w:val="20"/>
                <w:color w:val="auto"/>
              </w:rPr>
            </w:pPr>
            <w:r>
              <w:rPr>
                <w:rFonts w:ascii="Courier New" w:cs="Courier New" w:eastAsia="Courier New" w:hAnsi="Courier New"/>
                <w:sz w:val="15"/>
                <w:szCs w:val="15"/>
                <w:color w:val="auto"/>
              </w:rPr>
              <w:t>21</w:t>
            </w:r>
          </w:p>
        </w:tc>
        <w:tc>
          <w:tcPr>
            <w:tcW w:w="0" w:type="dxa"/>
            <w:vAlign w:val="bottom"/>
          </w:tcPr>
          <w:p>
            <w:pPr>
              <w:spacing w:after="0"/>
              <w:rPr>
                <w:sz w:val="1"/>
                <w:szCs w:val="1"/>
                <w:color w:val="auto"/>
              </w:rPr>
            </w:pPr>
          </w:p>
        </w:tc>
      </w:tr>
      <w:tr>
        <w:trPr>
          <w:trHeight w:val="168"/>
        </w:trPr>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1997</w:t>
            </w:r>
          </w:p>
        </w:tc>
        <w:tc>
          <w:tcPr>
            <w:tcW w:w="19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c>
          <w:tcPr>
            <w:tcW w:w="0" w:type="dxa"/>
            <w:vAlign w:val="bottom"/>
          </w:tcPr>
          <w:p>
            <w:pPr>
              <w:spacing w:after="0"/>
              <w:rPr>
                <w:sz w:val="1"/>
                <w:szCs w:val="1"/>
                <w:color w:val="auto"/>
              </w:rPr>
            </w:pPr>
          </w:p>
        </w:tc>
      </w:tr>
      <w:tr>
        <w:trPr>
          <w:trHeight w:val="168"/>
        </w:trPr>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1998</w:t>
            </w:r>
          </w:p>
        </w:tc>
        <w:tc>
          <w:tcPr>
            <w:tcW w:w="19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c>
          <w:tcPr>
            <w:tcW w:w="0" w:type="dxa"/>
            <w:vAlign w:val="bottom"/>
          </w:tcPr>
          <w:p>
            <w:pPr>
              <w:spacing w:after="0"/>
              <w:rPr>
                <w:sz w:val="1"/>
                <w:szCs w:val="1"/>
                <w:color w:val="auto"/>
              </w:rPr>
            </w:pPr>
          </w:p>
        </w:tc>
      </w:tr>
      <w:tr>
        <w:trPr>
          <w:trHeight w:val="168"/>
        </w:trPr>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1999</w:t>
            </w:r>
          </w:p>
        </w:tc>
        <w:tc>
          <w:tcPr>
            <w:tcW w:w="19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0" w:type="dxa"/>
            <w:vAlign w:val="bottom"/>
          </w:tcPr>
          <w:p>
            <w:pPr>
              <w:spacing w:after="0"/>
              <w:rPr>
                <w:sz w:val="1"/>
                <w:szCs w:val="1"/>
                <w:color w:val="auto"/>
              </w:rPr>
            </w:pPr>
          </w:p>
        </w:tc>
      </w:tr>
      <w:tr>
        <w:trPr>
          <w:trHeight w:val="168"/>
        </w:trPr>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2000</w:t>
            </w:r>
          </w:p>
        </w:tc>
        <w:tc>
          <w:tcPr>
            <w:tcW w:w="19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and After</w:t>
            </w:r>
          </w:p>
        </w:tc>
        <w:tc>
          <w:tcPr>
            <w:tcW w:w="320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w:t>
            </w:r>
          </w:p>
        </w:tc>
        <w:tc>
          <w:tcPr>
            <w:tcW w:w="0" w:type="dxa"/>
            <w:vAlign w:val="bottom"/>
          </w:tcPr>
          <w:p>
            <w:pPr>
              <w:spacing w:after="0"/>
              <w:rPr>
                <w:sz w:val="1"/>
                <w:szCs w:val="1"/>
                <w:color w:val="auto"/>
              </w:rPr>
            </w:pPr>
          </w:p>
        </w:tc>
      </w:tr>
      <w:tr>
        <w:trPr>
          <w:trHeight w:val="168"/>
        </w:trPr>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2001</w:t>
            </w:r>
          </w:p>
        </w:tc>
        <w:tc>
          <w:tcPr>
            <w:tcW w:w="1920" w:type="dxa"/>
            <w:vAlign w:val="bottom"/>
            <w:vMerge w:val="continue"/>
          </w:tcPr>
          <w:p>
            <w:pPr>
              <w:spacing w:after="0"/>
              <w:rPr>
                <w:sz w:val="14"/>
                <w:szCs w:val="14"/>
                <w:color w:val="auto"/>
              </w:rPr>
            </w:pPr>
          </w:p>
        </w:tc>
        <w:tc>
          <w:tcPr>
            <w:tcW w:w="320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w:t>
            </w:r>
          </w:p>
        </w:tc>
        <w:tc>
          <w:tcPr>
            <w:tcW w:w="0" w:type="dxa"/>
            <w:vAlign w:val="bottom"/>
          </w:tcPr>
          <w:p>
            <w:pPr>
              <w:spacing w:after="0"/>
              <w:rPr>
                <w:sz w:val="1"/>
                <w:szCs w:val="1"/>
                <w:color w:val="auto"/>
              </w:rPr>
            </w:pPr>
          </w:p>
        </w:tc>
      </w:tr>
      <w:tr>
        <w:trPr>
          <w:trHeight w:val="168"/>
        </w:trPr>
        <w:tc>
          <w:tcPr>
            <w:tcW w:w="360" w:type="dxa"/>
            <w:vAlign w:val="bottom"/>
          </w:tcPr>
          <w:p>
            <w:pPr>
              <w:spacing w:after="0"/>
              <w:rPr>
                <w:sz w:val="14"/>
                <w:szCs w:val="14"/>
                <w:color w:val="auto"/>
              </w:rPr>
            </w:pPr>
          </w:p>
        </w:tc>
        <w:tc>
          <w:tcPr>
            <w:tcW w:w="1920" w:type="dxa"/>
            <w:vAlign w:val="bottom"/>
            <w:vMerge w:val="restart"/>
          </w:tcPr>
          <w:p>
            <w:pPr>
              <w:spacing w:after="0"/>
              <w:rPr>
                <w:sz w:val="20"/>
                <w:szCs w:val="20"/>
                <w:color w:val="auto"/>
              </w:rPr>
            </w:pPr>
            <w:r>
              <w:rPr>
                <w:rFonts w:ascii="Courier New" w:cs="Courier New" w:eastAsia="Courier New" w:hAnsi="Courier New"/>
                <w:sz w:val="15"/>
                <w:szCs w:val="15"/>
                <w:color w:val="auto"/>
              </w:rPr>
              <w:t>Total</w:t>
            </w:r>
          </w:p>
        </w:tc>
        <w:tc>
          <w:tcPr>
            <w:tcW w:w="3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60" w:type="dxa"/>
            <w:vAlign w:val="bottom"/>
          </w:tcPr>
          <w:p>
            <w:pPr>
              <w:spacing w:after="0"/>
              <w:rPr>
                <w:sz w:val="14"/>
                <w:szCs w:val="14"/>
                <w:color w:val="auto"/>
              </w:rPr>
            </w:pPr>
          </w:p>
        </w:tc>
        <w:tc>
          <w:tcPr>
            <w:tcW w:w="1920" w:type="dxa"/>
            <w:vAlign w:val="bottom"/>
            <w:vMerge w:val="continue"/>
          </w:tcPr>
          <w:p>
            <w:pPr>
              <w:spacing w:after="0"/>
              <w:rPr>
                <w:sz w:val="14"/>
                <w:szCs w:val="14"/>
                <w:color w:val="auto"/>
              </w:rPr>
            </w:pPr>
          </w:p>
        </w:tc>
        <w:tc>
          <w:tcPr>
            <w:tcW w:w="32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w:t>
            </w:r>
          </w:p>
        </w:tc>
        <w:tc>
          <w:tcPr>
            <w:tcW w:w="0" w:type="dxa"/>
            <w:vAlign w:val="bottom"/>
          </w:tcPr>
          <w:p>
            <w:pPr>
              <w:spacing w:after="0"/>
              <w:rPr>
                <w:sz w:val="1"/>
                <w:szCs w:val="1"/>
                <w:color w:val="auto"/>
              </w:rPr>
            </w:pPr>
          </w:p>
        </w:tc>
      </w:tr>
      <w:tr>
        <w:trPr>
          <w:trHeight w:val="245"/>
        </w:trPr>
        <w:tc>
          <w:tcPr>
            <w:tcW w:w="3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00" w:type="dxa"/>
            <w:vAlign w:val="bottom"/>
          </w:tcPr>
          <w:p>
            <w:pPr>
              <w:jc w:val="right"/>
              <w:ind w:right="1727"/>
              <w:spacing w:after="0"/>
              <w:rPr>
                <w:sz w:val="20"/>
                <w:szCs w:val="20"/>
                <w:color w:val="auto"/>
              </w:rPr>
            </w:pPr>
            <w:r>
              <w:rPr>
                <w:rFonts w:ascii="Courier New" w:cs="Courier New" w:eastAsia="Courier New" w:hAnsi="Courier New"/>
                <w:sz w:val="15"/>
                <w:szCs w:val="15"/>
                <w:color w:val="auto"/>
              </w:rPr>
              <w:t>-41-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598" w:right="1440" w:bottom="1440" w:gutter="0" w:footer="0" w:header="0"/>
        </w:sectPr>
      </w:pPr>
    </w:p>
    <w:bookmarkStart w:id="41" w:name="page42"/>
    <w:bookmarkEnd w:id="41"/>
    <w:p>
      <w:pPr>
        <w:ind w:left="180" w:hanging="170"/>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OPERATING RISK MANAGEMENT</w:t>
      </w:r>
    </w:p>
    <w:p>
      <w:pPr>
        <w:ind w:left="180" w:hanging="170"/>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jc w:val="both"/>
        <w:ind w:right="3239"/>
        <w:spacing w:after="0" w:line="269" w:lineRule="auto"/>
        <w:rPr>
          <w:sz w:val="20"/>
          <w:szCs w:val="20"/>
          <w:color w:val="auto"/>
        </w:rPr>
      </w:pPr>
      <w:r>
        <w:rPr>
          <w:rFonts w:ascii="Courier New" w:cs="Courier New" w:eastAsia="Courier New" w:hAnsi="Courier New"/>
          <w:sz w:val="14"/>
          <w:szCs w:val="14"/>
          <w:color w:val="auto"/>
        </w:rPr>
        <w:t>The Corporation, like all large financial institutions, is exposed to many types of operating risk, including the risk of fraud by employees or outsiders, unauthorized transactions by employees, and errors relating to computer and telecommunications systems. The Corporation maintains a system of controls that is designed to keep operating risk at appropriate levels in view of the financial strength of the Corporation, the characteristics of the businesses and markets in which the Corporation operates, competitive circumstances and regulatory considerations. However, from time to time in the past, the Corporation has suffered losses from operating risk and there can be no assurance that the Corporation will not suffer such losses in the future.</w:t>
      </w:r>
    </w:p>
    <w:p>
      <w:pPr>
        <w:spacing w:after="0" w:line="73" w:lineRule="exact"/>
        <w:rPr>
          <w:sz w:val="20"/>
          <w:szCs w:val="20"/>
          <w:color w:val="auto"/>
        </w:rPr>
      </w:pPr>
    </w:p>
    <w:p>
      <w:pPr>
        <w:ind w:left="180" w:hanging="170"/>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CAPITAL AND LIQUIDITY RISK MANAGEMENT</w:t>
      </w:r>
    </w:p>
    <w:p>
      <w:pPr>
        <w:ind w:left="180" w:hanging="170"/>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jc w:val="both"/>
        <w:ind w:right="3239"/>
        <w:spacing w:after="0" w:line="273" w:lineRule="auto"/>
        <w:rPr>
          <w:sz w:val="20"/>
          <w:szCs w:val="20"/>
          <w:color w:val="auto"/>
        </w:rPr>
      </w:pPr>
      <w:r>
        <w:rPr>
          <w:rFonts w:ascii="Courier New" w:cs="Courier New" w:eastAsia="Courier New" w:hAnsi="Courier New"/>
          <w:sz w:val="15"/>
          <w:szCs w:val="15"/>
          <w:color w:val="auto"/>
        </w:rPr>
        <w:t>The following capital and liquidity discussion focuses primarily on developments since December 31, 1995. Accordingly, it should be read in conjunction with the Capital and Liquidity Risk Management section on pages 45-47 of the Corporation's 1995 Annual Report.</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w:t>
      </w:r>
    </w:p>
    <w:p>
      <w:pPr>
        <w:spacing w:after="0" w:line="24" w:lineRule="exact"/>
        <w:rPr>
          <w:sz w:val="20"/>
          <w:szCs w:val="20"/>
          <w:color w:val="auto"/>
        </w:rPr>
      </w:pPr>
    </w:p>
    <w:p>
      <w:pPr>
        <w:jc w:val="both"/>
        <w:ind w:right="3239"/>
        <w:spacing w:after="0" w:line="249" w:lineRule="auto"/>
        <w:rPr>
          <w:sz w:val="20"/>
          <w:szCs w:val="20"/>
          <w:color w:val="auto"/>
        </w:rPr>
      </w:pPr>
      <w:r>
        <w:rPr>
          <w:rFonts w:ascii="Courier New" w:cs="Courier New" w:eastAsia="Courier New" w:hAnsi="Courier New"/>
          <w:sz w:val="15"/>
          <w:szCs w:val="15"/>
          <w:color w:val="auto"/>
        </w:rPr>
        <w:t>The Corporation's level of capital at June 30, 1996 remained strong, with capital ratios well in excess of regulatory guidelines. The Corporation's Tier 1 and Total Capital ratios were 7.96% and 11.82%, respectively. These ratios, as well as the leverage ratio, exclude the assets and off-balance sheet financial instruments of the Corporation's securities subsidiary as well as the Corporation's investment in such subsidiary. In addition, the provisions of SFAS 115 do not apply to the calculation of these ratios.</w:t>
      </w:r>
    </w:p>
    <w:p>
      <w:pPr>
        <w:spacing w:after="0" w:line="86"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5"/>
          <w:szCs w:val="15"/>
          <w:color w:val="auto"/>
        </w:rPr>
        <w:t>Total capitalization (the sum of Tier 1 Capital and Tier 2 Capital) decreased by $176 million during the first six months of 1996 to $28.1 billion at June 30, 1996, primarily due to the impact of the merger-related restructuring charge. The Corporation manages its capital to execute its strategic business plans and support its growth and investments, including acquisition strategies in its core businesses.</w:t>
      </w:r>
    </w:p>
    <w:p>
      <w:pPr>
        <w:spacing w:after="0" w:line="81" w:lineRule="exact"/>
        <w:rPr>
          <w:sz w:val="20"/>
          <w:szCs w:val="20"/>
          <w:color w:val="auto"/>
        </w:rPr>
      </w:pPr>
    </w:p>
    <w:p>
      <w:pPr>
        <w:ind w:right="3239"/>
        <w:spacing w:after="0" w:line="243" w:lineRule="auto"/>
        <w:rPr>
          <w:sz w:val="20"/>
          <w:szCs w:val="20"/>
          <w:color w:val="auto"/>
        </w:rPr>
      </w:pPr>
      <w:r>
        <w:rPr>
          <w:rFonts w:ascii="Courier New" w:cs="Courier New" w:eastAsia="Courier New" w:hAnsi="Courier New"/>
          <w:sz w:val="15"/>
          <w:szCs w:val="15"/>
          <w:color w:val="auto"/>
        </w:rPr>
        <w:t>During the first six months of 1996, the Corporation issued 15.7 million shares of common stock and repurchased approximately 13.5 million shares of its outstanding common stock in the open market. These repurchases were largely undertaken to meet the needs of the Corporation's employee stock option and incentive plans. The Corporation has revised its previously announced buy-back program to terminate at September 30, 1996 and to provide that purchases of shares of common stock of the Corporation under the plan to such date would be in accordance with the pooling-of-interests accounting rules. As a result of calculating the number of "tainted" shares held in the Corporation's treasury after merger-consummation date in accordance with a recent clarification statement of Staff Accounting Bulletin No. 96 (SAB 96), the Corporation would have authority to repurchase during the third quarter of 1996 an additional 2.0 million shares of its common stock. The Corporation expects it will issue more than such amount of its common stock during this period as a result of exercises by its employees of options issued under the Corporation's various employee benefit programs. Accordingly, the Corporation expects the number of common shares outstanding in the third quarter of 1996 to be somewhat higher than the 1996 second quarter. For a further discussion see Note 3 of this Form 10-Q.</w:t>
      </w:r>
    </w:p>
    <w:p>
      <w:pPr>
        <w:spacing w:after="0" w:line="95" w:lineRule="exact"/>
        <w:rPr>
          <w:sz w:val="20"/>
          <w:szCs w:val="20"/>
          <w:color w:val="auto"/>
        </w:rPr>
      </w:pPr>
    </w:p>
    <w:p>
      <w:pPr>
        <w:jc w:val="both"/>
        <w:ind w:right="3239"/>
        <w:spacing w:after="0" w:line="250" w:lineRule="auto"/>
        <w:rPr>
          <w:sz w:val="20"/>
          <w:szCs w:val="20"/>
          <w:color w:val="auto"/>
        </w:rPr>
      </w:pPr>
      <w:r>
        <w:rPr>
          <w:rFonts w:ascii="Courier New" w:cs="Courier New" w:eastAsia="Courier New" w:hAnsi="Courier New"/>
          <w:sz w:val="15"/>
          <w:szCs w:val="15"/>
          <w:color w:val="auto"/>
        </w:rPr>
        <w:t>The Corporation raised the cash dividend on its common stock to $.56 per share, an increase from $.50 per share, in the first quarter of 1996. Management's current expectation is that the dividend policy of the Corporation will generally be to pay a common stock dividend equal to approximately 25-35% of the Corporation's net income (excluding restructuring charges) less preferred dividends. Future dividend policies will be determined by the Board of Directors in light of the earnings and financial condition of the Corporation and its subsidiaries and other factors, including applicable governmental regulations and policies.</w:t>
      </w:r>
    </w:p>
    <w:p>
      <w:pPr>
        <w:spacing w:after="0" w:line="89" w:lineRule="exact"/>
        <w:rPr>
          <w:sz w:val="20"/>
          <w:szCs w:val="20"/>
          <w:color w:val="auto"/>
        </w:rPr>
      </w:pPr>
    </w:p>
    <w:p>
      <w:pPr>
        <w:jc w:val="both"/>
        <w:ind w:right="3239"/>
        <w:spacing w:after="0" w:line="273" w:lineRule="auto"/>
        <w:rPr>
          <w:sz w:val="20"/>
          <w:szCs w:val="20"/>
          <w:color w:val="auto"/>
        </w:rPr>
      </w:pPr>
      <w:r>
        <w:rPr>
          <w:rFonts w:ascii="Courier New" w:cs="Courier New" w:eastAsia="Courier New" w:hAnsi="Courier New"/>
          <w:sz w:val="14"/>
          <w:szCs w:val="14"/>
          <w:color w:val="auto"/>
        </w:rPr>
        <w:t>Total stockholders' equity at June 30, 1996 was $20.3 billion, compared with $20.8 billion at December 31, 1995. The $496 million decrease from the 1995 year-end primarily reflects the after-tax impact of the merger-related restructuring charge and expenses ($1,040 million), a $403 million unfavorable impact on the fair value of available-for-sale securities accounted for under SFAS 115 and the effects of common and preferred stock dividends totaling $681 million. These declines were partially offset by $1,807 million of net income generated during the first six months of 1996 before the restructuring charge.</w:t>
      </w:r>
    </w:p>
    <w:p>
      <w:pPr>
        <w:spacing w:after="0" w:line="2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429" w:right="1440"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The tables which  follow set forth  various</w:t>
            </w:r>
          </w:p>
        </w:tc>
        <w:tc>
          <w:tcPr>
            <w:tcW w:w="2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capital  ratios and  components</w:t>
            </w:r>
          </w:p>
        </w:tc>
        <w:tc>
          <w:tcPr>
            <w:tcW w:w="202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of</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860" w:type="dxa"/>
            <w:vAlign w:val="bottom"/>
          </w:tcPr>
          <w:p>
            <w:pPr>
              <w:spacing w:after="0"/>
              <w:rPr>
                <w:sz w:val="20"/>
                <w:szCs w:val="20"/>
                <w:color w:val="auto"/>
              </w:rPr>
            </w:pPr>
            <w:r>
              <w:rPr>
                <w:rFonts w:ascii="Courier New" w:cs="Courier New" w:eastAsia="Courier New" w:hAnsi="Courier New"/>
                <w:sz w:val="15"/>
                <w:szCs w:val="15"/>
                <w:color w:val="auto"/>
              </w:rPr>
              <w:t>capital at the dates indicated.</w:t>
            </w:r>
          </w:p>
        </w:tc>
        <w:tc>
          <w:tcPr>
            <w:tcW w:w="28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3860" w:type="dxa"/>
            <w:vAlign w:val="bottom"/>
          </w:tcPr>
          <w:p>
            <w:pPr>
              <w:spacing w:after="0"/>
              <w:rPr>
                <w:sz w:val="20"/>
                <w:szCs w:val="20"/>
                <w:color w:val="auto"/>
              </w:rPr>
            </w:pPr>
            <w:r>
              <w:rPr>
                <w:rFonts w:ascii="Courier New" w:cs="Courier New" w:eastAsia="Courier New" w:hAnsi="Courier New"/>
                <w:sz w:val="15"/>
                <w:szCs w:val="15"/>
                <w:color w:val="auto"/>
              </w:rPr>
              <w:t>Capital Ratios</w:t>
            </w:r>
          </w:p>
        </w:tc>
        <w:tc>
          <w:tcPr>
            <w:tcW w:w="28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8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6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Minimum</w:t>
            </w:r>
          </w:p>
        </w:tc>
        <w:tc>
          <w:tcPr>
            <w:tcW w:w="0" w:type="dxa"/>
            <w:vAlign w:val="bottom"/>
          </w:tcPr>
          <w:p>
            <w:pPr>
              <w:spacing w:after="0"/>
              <w:rPr>
                <w:sz w:val="1"/>
                <w:szCs w:val="1"/>
                <w:color w:val="auto"/>
              </w:rPr>
            </w:pPr>
          </w:p>
        </w:tc>
      </w:tr>
      <w:tr>
        <w:trPr>
          <w:trHeight w:val="91"/>
        </w:trPr>
        <w:tc>
          <w:tcPr>
            <w:tcW w:w="3860" w:type="dxa"/>
            <w:vAlign w:val="bottom"/>
          </w:tcPr>
          <w:p>
            <w:pPr>
              <w:spacing w:after="0"/>
              <w:rPr>
                <w:sz w:val="7"/>
                <w:szCs w:val="7"/>
                <w:color w:val="auto"/>
              </w:rPr>
            </w:pPr>
          </w:p>
        </w:tc>
        <w:tc>
          <w:tcPr>
            <w:tcW w:w="2880" w:type="dxa"/>
            <w:vAlign w:val="bottom"/>
            <w:vMerge w:val="restart"/>
          </w:tcPr>
          <w:p>
            <w:pPr>
              <w:jc w:val="right"/>
              <w:ind w:right="527"/>
              <w:spacing w:after="0"/>
              <w:rPr>
                <w:sz w:val="20"/>
                <w:szCs w:val="20"/>
                <w:color w:val="auto"/>
              </w:rPr>
            </w:pPr>
            <w:r>
              <w:rPr>
                <w:rFonts w:ascii="Courier New" w:cs="Courier New" w:eastAsia="Courier New" w:hAnsi="Courier New"/>
                <w:sz w:val="15"/>
                <w:szCs w:val="15"/>
                <w:color w:val="auto"/>
              </w:rPr>
              <w:t>June 30,</w:t>
            </w:r>
          </w:p>
        </w:tc>
        <w:tc>
          <w:tcPr>
            <w:tcW w:w="20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December 31,</w:t>
            </w: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rPr>
                <w:sz w:val="14"/>
                <w:szCs w:val="14"/>
                <w:color w:val="auto"/>
              </w:rPr>
            </w:pPr>
          </w:p>
        </w:tc>
        <w:tc>
          <w:tcPr>
            <w:tcW w:w="2880" w:type="dxa"/>
            <w:vAlign w:val="bottom"/>
            <w:vMerge w:val="continue"/>
          </w:tcPr>
          <w:p>
            <w:pPr>
              <w:spacing w:after="0"/>
              <w:rPr>
                <w:sz w:val="14"/>
                <w:szCs w:val="14"/>
                <w:color w:val="auto"/>
              </w:rPr>
            </w:pPr>
          </w:p>
        </w:tc>
        <w:tc>
          <w:tcPr>
            <w:tcW w:w="2020" w:type="dxa"/>
            <w:vAlign w:val="bottom"/>
            <w:vMerge w:val="continue"/>
          </w:tcPr>
          <w:p>
            <w:pPr>
              <w:spacing w:after="0"/>
              <w:rPr>
                <w:sz w:val="14"/>
                <w:szCs w:val="14"/>
                <w:color w:val="auto"/>
              </w:rPr>
            </w:pPr>
          </w:p>
        </w:tc>
        <w:tc>
          <w:tcPr>
            <w:tcW w:w="16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Regulatory</w:t>
            </w:r>
          </w:p>
        </w:tc>
        <w:tc>
          <w:tcPr>
            <w:tcW w:w="0" w:type="dxa"/>
            <w:vAlign w:val="bottom"/>
          </w:tcPr>
          <w:p>
            <w:pPr>
              <w:spacing w:after="0"/>
              <w:rPr>
                <w:sz w:val="1"/>
                <w:szCs w:val="1"/>
                <w:color w:val="auto"/>
              </w:rPr>
            </w:pPr>
          </w:p>
        </w:tc>
      </w:tr>
      <w:tr>
        <w:trPr>
          <w:trHeight w:val="168"/>
        </w:trPr>
        <w:tc>
          <w:tcPr>
            <w:tcW w:w="3860" w:type="dxa"/>
            <w:vAlign w:val="bottom"/>
          </w:tcPr>
          <w:p>
            <w:pPr>
              <w:spacing w:after="0"/>
              <w:rPr>
                <w:sz w:val="14"/>
                <w:szCs w:val="14"/>
                <w:color w:val="auto"/>
              </w:rPr>
            </w:pPr>
          </w:p>
        </w:tc>
        <w:tc>
          <w:tcPr>
            <w:tcW w:w="28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1996</w:t>
            </w:r>
          </w:p>
        </w:tc>
        <w:tc>
          <w:tcPr>
            <w:tcW w:w="20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1995</w:t>
            </w:r>
          </w:p>
        </w:tc>
        <w:tc>
          <w:tcPr>
            <w:tcW w:w="16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4"/>
              </w:rPr>
              <w:t>Requirement</w:t>
            </w:r>
          </w:p>
        </w:tc>
        <w:tc>
          <w:tcPr>
            <w:tcW w:w="0" w:type="dxa"/>
            <w:vAlign w:val="bottom"/>
          </w:tcPr>
          <w:p>
            <w:pPr>
              <w:spacing w:after="0"/>
              <w:rPr>
                <w:sz w:val="1"/>
                <w:szCs w:val="1"/>
                <w:color w:val="auto"/>
              </w:rPr>
            </w:pPr>
          </w:p>
        </w:tc>
      </w:tr>
      <w:tr>
        <w:trPr>
          <w:trHeight w:val="245"/>
        </w:trPr>
        <w:tc>
          <w:tcPr>
            <w:tcW w:w="3860" w:type="dxa"/>
            <w:vAlign w:val="bottom"/>
          </w:tcPr>
          <w:p>
            <w:pPr>
              <w:spacing w:after="0"/>
              <w:rPr>
                <w:sz w:val="21"/>
                <w:szCs w:val="21"/>
                <w:color w:val="auto"/>
              </w:rPr>
            </w:pPr>
          </w:p>
        </w:tc>
        <w:tc>
          <w:tcPr>
            <w:tcW w:w="28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ind w:left="520"/>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259"/>
        </w:trPr>
        <w:tc>
          <w:tcPr>
            <w:tcW w:w="3860" w:type="dxa"/>
            <w:vAlign w:val="bottom"/>
          </w:tcPr>
          <w:p>
            <w:pPr>
              <w:spacing w:after="0"/>
              <w:rPr>
                <w:sz w:val="20"/>
                <w:szCs w:val="20"/>
                <w:color w:val="auto"/>
              </w:rPr>
            </w:pPr>
            <w:r>
              <w:rPr>
                <w:rFonts w:ascii="Courier New" w:cs="Courier New" w:eastAsia="Courier New" w:hAnsi="Courier New"/>
                <w:sz w:val="15"/>
                <w:szCs w:val="15"/>
                <w:color w:val="auto"/>
              </w:rPr>
              <w:t>Tier 1 Capital Ratio (a)(c)</w:t>
            </w:r>
          </w:p>
        </w:tc>
        <w:tc>
          <w:tcPr>
            <w:tcW w:w="28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7.96%</w:t>
            </w:r>
          </w:p>
        </w:tc>
        <w:tc>
          <w:tcPr>
            <w:tcW w:w="20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8.22%</w:t>
            </w:r>
          </w:p>
        </w:tc>
        <w:tc>
          <w:tcPr>
            <w:tcW w:w="1660" w:type="dxa"/>
            <w:vAlign w:val="bottom"/>
          </w:tcPr>
          <w:p>
            <w:pPr>
              <w:ind w:left="1140"/>
              <w:spacing w:after="0"/>
              <w:rPr>
                <w:sz w:val="20"/>
                <w:szCs w:val="20"/>
                <w:color w:val="auto"/>
              </w:rPr>
            </w:pPr>
            <w:r>
              <w:rPr>
                <w:rFonts w:ascii="Courier New" w:cs="Courier New" w:eastAsia="Courier New" w:hAnsi="Courier New"/>
                <w:sz w:val="15"/>
                <w:szCs w:val="15"/>
                <w:color w:val="auto"/>
              </w:rPr>
              <w:t>4.00%</w:t>
            </w: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Capital Ratio (a)(c)</w:t>
            </w:r>
          </w:p>
        </w:tc>
        <w:tc>
          <w:tcPr>
            <w:tcW w:w="2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11.82</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12.27</w:t>
            </w:r>
          </w:p>
        </w:tc>
        <w:tc>
          <w:tcPr>
            <w:tcW w:w="16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8.00</w:t>
            </w: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Tier 1 Leverage Ratio (b)(c)</w:t>
            </w:r>
          </w:p>
        </w:tc>
        <w:tc>
          <w:tcPr>
            <w:tcW w:w="2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6.56</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6.68</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3.00 -5.00</w:t>
            </w: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Common Stockholders' Equity to Total Assets</w:t>
            </w:r>
          </w:p>
        </w:tc>
        <w:tc>
          <w:tcPr>
            <w:tcW w:w="2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5.49</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5.98</w:t>
            </w:r>
          </w:p>
        </w:tc>
        <w:tc>
          <w:tcPr>
            <w:tcW w:w="16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3860" w:type="dxa"/>
            <w:vAlign w:val="bottom"/>
          </w:tcPr>
          <w:p>
            <w:pPr>
              <w:spacing w:after="0"/>
              <w:rPr>
                <w:sz w:val="20"/>
                <w:szCs w:val="20"/>
                <w:color w:val="auto"/>
              </w:rPr>
            </w:pPr>
            <w:r>
              <w:rPr>
                <w:rFonts w:ascii="Courier New" w:cs="Courier New" w:eastAsia="Courier New" w:hAnsi="Courier New"/>
                <w:sz w:val="15"/>
                <w:szCs w:val="15"/>
                <w:color w:val="auto"/>
              </w:rPr>
              <w:t>Total Stockholders' Equity to Total Assets</w:t>
            </w:r>
          </w:p>
        </w:tc>
        <w:tc>
          <w:tcPr>
            <w:tcW w:w="28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6.32</w:t>
            </w:r>
          </w:p>
        </w:tc>
        <w:tc>
          <w:tcPr>
            <w:tcW w:w="2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6.85</w:t>
            </w:r>
          </w:p>
        </w:tc>
        <w:tc>
          <w:tcPr>
            <w:tcW w:w="1660" w:type="dxa"/>
            <w:vAlign w:val="bottom"/>
          </w:tcPr>
          <w:p>
            <w:pPr>
              <w:ind w:left="11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jc w:val="both"/>
        <w:ind w:left="540" w:right="3420" w:hanging="530"/>
        <w:spacing w:after="0" w:line="246" w:lineRule="auto"/>
        <w:tabs>
          <w:tab w:leader="none" w:pos="5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Tier 1 Capital or Total Capital divided by risk-weighted assets. Risk-weighted assets include assets and off-balance sheet positions, weighted by the type of instrument and the risk weight of the counterparty, collateral or guarantor.</w:t>
      </w:r>
    </w:p>
    <w:p>
      <w:pPr>
        <w:spacing w:after="0" w:line="2" w:lineRule="exact"/>
        <w:rPr>
          <w:rFonts w:ascii="Courier New" w:cs="Courier New" w:eastAsia="Courier New" w:hAnsi="Courier New"/>
          <w:sz w:val="15"/>
          <w:szCs w:val="15"/>
          <w:color w:val="auto"/>
        </w:rPr>
      </w:pPr>
    </w:p>
    <w:p>
      <w:pPr>
        <w:ind w:left="540" w:hanging="530"/>
        <w:spacing w:after="0" w:line="237" w:lineRule="auto"/>
        <w:tabs>
          <w:tab w:leader="none" w:pos="5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Tier 1 Capital divided by adjusted average assets.</w:t>
      </w:r>
    </w:p>
    <w:p>
      <w:pPr>
        <w:ind w:left="540" w:right="3420" w:hanging="530"/>
        <w:spacing w:after="0" w:line="260" w:lineRule="auto"/>
        <w:tabs>
          <w:tab w:leader="none" w:pos="5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Including the Corporation's securities subsidiary, the June 30, 1996 Tier 1 Capital,Total Capital and Tier 1 Leverage ratios were 8.14%, 12.28% and 6.22%, respectively, compared with 8.37%, 12.67% and 6.27%, respectively, at December 31, 1995.</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60" w:type="dxa"/>
            <w:vAlign w:val="bottom"/>
          </w:tcPr>
          <w:p>
            <w:pPr>
              <w:spacing w:after="0"/>
              <w:rPr>
                <w:sz w:val="20"/>
                <w:szCs w:val="20"/>
                <w:color w:val="auto"/>
              </w:rPr>
            </w:pPr>
            <w:r>
              <w:rPr>
                <w:rFonts w:ascii="Courier New" w:cs="Courier New" w:eastAsia="Courier New" w:hAnsi="Courier New"/>
                <w:sz w:val="15"/>
                <w:szCs w:val="15"/>
                <w:color w:val="auto"/>
              </w:rPr>
              <w:t>Components of Capital</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60" w:type="dxa"/>
            <w:vAlign w:val="bottom"/>
          </w:tcPr>
          <w:p>
            <w:pPr>
              <w:spacing w:after="0"/>
              <w:rPr>
                <w:sz w:val="21"/>
                <w:szCs w:val="21"/>
                <w:color w:val="auto"/>
              </w:rPr>
            </w:pPr>
          </w:p>
        </w:tc>
        <w:tc>
          <w:tcPr>
            <w:tcW w:w="126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w w:val="94"/>
              </w:rPr>
              <w:t>June 30,</w:t>
            </w:r>
          </w:p>
        </w:tc>
        <w:tc>
          <w:tcPr>
            <w:tcW w:w="1620" w:type="dxa"/>
            <w:vAlign w:val="bottom"/>
            <w:gridSpan w:val="2"/>
            <w:vMerge w:val="restart"/>
          </w:tcPr>
          <w:p>
            <w:pPr>
              <w:ind w:left="580"/>
              <w:spacing w:after="0"/>
              <w:rPr>
                <w:sz w:val="20"/>
                <w:szCs w:val="20"/>
                <w:color w:val="auto"/>
              </w:rPr>
            </w:pPr>
            <w:r>
              <w:rPr>
                <w:rFonts w:ascii="Courier New" w:cs="Courier New" w:eastAsia="Courier New" w:hAnsi="Courier New"/>
                <w:sz w:val="15"/>
                <w:szCs w:val="15"/>
                <w:color w:val="auto"/>
                <w:w w:val="94"/>
              </w:rPr>
              <w:t>December 31,</w:t>
            </w:r>
          </w:p>
        </w:tc>
        <w:tc>
          <w:tcPr>
            <w:tcW w:w="0" w:type="dxa"/>
            <w:vAlign w:val="bottom"/>
          </w:tcPr>
          <w:p>
            <w:pPr>
              <w:spacing w:after="0"/>
              <w:rPr>
                <w:sz w:val="1"/>
                <w:szCs w:val="1"/>
                <w:color w:val="auto"/>
              </w:rPr>
            </w:pPr>
          </w:p>
        </w:tc>
      </w:tr>
      <w:tr>
        <w:trPr>
          <w:trHeight w:val="91"/>
        </w:trPr>
        <w:tc>
          <w:tcPr>
            <w:tcW w:w="566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(in millions)</w:t>
            </w:r>
          </w:p>
        </w:tc>
        <w:tc>
          <w:tcPr>
            <w:tcW w:w="126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566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1996</w:t>
            </w:r>
          </w:p>
        </w:tc>
        <w:tc>
          <w:tcPr>
            <w:tcW w:w="8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45"/>
        </w:trPr>
        <w:tc>
          <w:tcPr>
            <w:tcW w:w="5660" w:type="dxa"/>
            <w:vAlign w:val="bottom"/>
            <w:vMerge w:val="restart"/>
          </w:tcPr>
          <w:p>
            <w:pPr>
              <w:spacing w:after="0"/>
              <w:rPr>
                <w:sz w:val="20"/>
                <w:szCs w:val="20"/>
                <w:color w:val="auto"/>
              </w:rPr>
            </w:pPr>
            <w:r>
              <w:rPr>
                <w:rFonts w:ascii="Courier New" w:cs="Courier New" w:eastAsia="Courier New" w:hAnsi="Courier New"/>
                <w:sz w:val="15"/>
                <w:szCs w:val="15"/>
                <w:color w:val="auto"/>
              </w:rPr>
              <w:t>Tier 1 Capital</w:t>
            </w:r>
          </w:p>
        </w:tc>
        <w:tc>
          <w:tcPr>
            <w:tcW w:w="25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66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5660" w:type="dxa"/>
            <w:vAlign w:val="bottom"/>
          </w:tcPr>
          <w:p>
            <w:pPr>
              <w:ind w:left="280"/>
              <w:spacing w:after="0"/>
              <w:rPr>
                <w:sz w:val="20"/>
                <w:szCs w:val="20"/>
                <w:color w:val="auto"/>
              </w:rPr>
            </w:pPr>
            <w:r>
              <w:rPr>
                <w:rFonts w:ascii="Courier New" w:cs="Courier New" w:eastAsia="Courier New" w:hAnsi="Courier New"/>
                <w:sz w:val="15"/>
                <w:szCs w:val="15"/>
                <w:color w:val="auto"/>
              </w:rPr>
              <w:t>Common Stockholders' Equity</w:t>
            </w:r>
          </w:p>
        </w:tc>
        <w:tc>
          <w:tcPr>
            <w:tcW w:w="1260" w:type="dxa"/>
            <w:vAlign w:val="bottom"/>
          </w:tcPr>
          <w:p>
            <w:pPr>
              <w:ind w:left="7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18,329</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18,424</w:t>
            </w:r>
          </w:p>
        </w:tc>
        <w:tc>
          <w:tcPr>
            <w:tcW w:w="0" w:type="dxa"/>
            <w:vAlign w:val="bottom"/>
          </w:tcPr>
          <w:p>
            <w:pPr>
              <w:spacing w:after="0"/>
              <w:rPr>
                <w:sz w:val="1"/>
                <w:szCs w:val="1"/>
                <w:color w:val="auto"/>
              </w:rPr>
            </w:pP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Nonredeemable Preferred Stock</w:t>
            </w:r>
          </w:p>
        </w:tc>
        <w:tc>
          <w:tcPr>
            <w:tcW w:w="126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2,650</w:t>
            </w:r>
          </w:p>
        </w:tc>
        <w:tc>
          <w:tcPr>
            <w:tcW w:w="8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2,650</w:t>
            </w:r>
          </w:p>
        </w:tc>
        <w:tc>
          <w:tcPr>
            <w:tcW w:w="0" w:type="dxa"/>
            <w:vAlign w:val="bottom"/>
          </w:tcPr>
          <w:p>
            <w:pPr>
              <w:spacing w:after="0"/>
              <w:rPr>
                <w:sz w:val="1"/>
                <w:szCs w:val="1"/>
                <w:color w:val="auto"/>
              </w:rPr>
            </w:pP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Minority Interest</w:t>
            </w:r>
          </w:p>
        </w:tc>
        <w:tc>
          <w:tcPr>
            <w:tcW w:w="126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w:t>
            </w:r>
          </w:p>
        </w:tc>
        <w:tc>
          <w:tcPr>
            <w:tcW w:w="8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162</w:t>
            </w:r>
          </w:p>
        </w:tc>
        <w:tc>
          <w:tcPr>
            <w:tcW w:w="0" w:type="dxa"/>
            <w:vAlign w:val="bottom"/>
          </w:tcPr>
          <w:p>
            <w:pPr>
              <w:spacing w:after="0"/>
              <w:rPr>
                <w:sz w:val="1"/>
                <w:szCs w:val="1"/>
                <w:color w:val="auto"/>
              </w:rPr>
            </w:pP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Less: Goodwill</w:t>
            </w:r>
          </w:p>
        </w:tc>
        <w:tc>
          <w:tcPr>
            <w:tcW w:w="126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1,382</w:t>
            </w:r>
          </w:p>
        </w:tc>
        <w:tc>
          <w:tcPr>
            <w:tcW w:w="8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1,446</w:t>
            </w:r>
          </w:p>
        </w:tc>
        <w:tc>
          <w:tcPr>
            <w:tcW w:w="0" w:type="dxa"/>
            <w:vAlign w:val="bottom"/>
          </w:tcPr>
          <w:p>
            <w:pPr>
              <w:spacing w:after="0"/>
              <w:rPr>
                <w:sz w:val="1"/>
                <w:szCs w:val="1"/>
                <w:color w:val="auto"/>
              </w:rPr>
            </w:pPr>
          </w:p>
        </w:tc>
      </w:tr>
      <w:tr>
        <w:trPr>
          <w:trHeight w:val="168"/>
        </w:trPr>
        <w:tc>
          <w:tcPr>
            <w:tcW w:w="56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Non-Qualifying Intangible Assets</w:t>
            </w:r>
          </w:p>
        </w:tc>
        <w:tc>
          <w:tcPr>
            <w:tcW w:w="126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104</w:t>
            </w:r>
          </w:p>
        </w:tc>
        <w:tc>
          <w:tcPr>
            <w:tcW w:w="8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w:t>
            </w:r>
          </w:p>
        </w:tc>
        <w:tc>
          <w:tcPr>
            <w:tcW w:w="0" w:type="dxa"/>
            <w:vAlign w:val="bottom"/>
          </w:tcPr>
          <w:p>
            <w:pPr>
              <w:spacing w:after="0"/>
              <w:rPr>
                <w:sz w:val="1"/>
                <w:szCs w:val="1"/>
                <w:color w:val="auto"/>
              </w:rPr>
            </w:pPr>
          </w:p>
        </w:tc>
      </w:tr>
      <w:tr>
        <w:trPr>
          <w:trHeight w:val="168"/>
        </w:trPr>
        <w:tc>
          <w:tcPr>
            <w:tcW w:w="56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50% Investment in Securities and Unconsolidated</w:t>
            </w:r>
          </w:p>
        </w:tc>
        <w:tc>
          <w:tcPr>
            <w:tcW w:w="1260" w:type="dxa"/>
            <w:vAlign w:val="bottom"/>
          </w:tcPr>
          <w:p>
            <w:pPr>
              <w:spacing w:after="0"/>
              <w:rPr>
                <w:sz w:val="14"/>
                <w:szCs w:val="14"/>
                <w:color w:val="auto"/>
              </w:rPr>
            </w:pPr>
          </w:p>
        </w:tc>
        <w:tc>
          <w:tcPr>
            <w:tcW w:w="126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749</w:t>
            </w:r>
          </w:p>
        </w:tc>
        <w:tc>
          <w:tcPr>
            <w:tcW w:w="8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698</w:t>
            </w:r>
          </w:p>
        </w:tc>
        <w:tc>
          <w:tcPr>
            <w:tcW w:w="0" w:type="dxa"/>
            <w:vAlign w:val="bottom"/>
          </w:tcPr>
          <w:p>
            <w:pPr>
              <w:spacing w:after="0"/>
              <w:rPr>
                <w:sz w:val="1"/>
                <w:szCs w:val="1"/>
                <w:color w:val="auto"/>
              </w:rPr>
            </w:pPr>
          </w:p>
        </w:tc>
      </w:tr>
      <w:tr>
        <w:trPr>
          <w:trHeight w:val="168"/>
        </w:trPr>
        <w:tc>
          <w:tcPr>
            <w:tcW w:w="56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Subsidiaries</w:t>
            </w:r>
          </w:p>
        </w:tc>
        <w:tc>
          <w:tcPr>
            <w:tcW w:w="12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6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Tier 1 Capital</w:t>
            </w:r>
          </w:p>
        </w:tc>
        <w:tc>
          <w:tcPr>
            <w:tcW w:w="1260" w:type="dxa"/>
            <w:vAlign w:val="bottom"/>
            <w:vMerge w:val="restart"/>
          </w:tcPr>
          <w:p>
            <w:pPr>
              <w:ind w:left="740"/>
              <w:spacing w:after="0"/>
              <w:rPr>
                <w:sz w:val="20"/>
                <w:szCs w:val="20"/>
                <w:color w:val="auto"/>
              </w:rPr>
            </w:pPr>
            <w:r>
              <w:rPr>
                <w:rFonts w:ascii="Courier New" w:cs="Courier New" w:eastAsia="Courier New" w:hAnsi="Courier New"/>
                <w:sz w:val="10"/>
                <w:szCs w:val="10"/>
                <w:color w:val="auto"/>
                <w:w w:val="70"/>
                <w:vertAlign w:val="subscript"/>
              </w:rPr>
              <w:t>$</w:t>
            </w:r>
            <w:r>
              <w:rPr>
                <w:rFonts w:ascii="Courier New" w:cs="Courier New" w:eastAsia="Courier New" w:hAnsi="Courier New"/>
                <w:sz w:val="8"/>
                <w:szCs w:val="8"/>
                <w:color w:val="auto"/>
                <w:w w:val="70"/>
              </w:rPr>
              <w:t>--------------</w:t>
            </w:r>
          </w:p>
        </w:tc>
        <w:tc>
          <w:tcPr>
            <w:tcW w:w="126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18,944</w:t>
            </w:r>
          </w:p>
        </w:tc>
        <w:tc>
          <w:tcPr>
            <w:tcW w:w="1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6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8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18,976</w:t>
            </w:r>
          </w:p>
        </w:tc>
        <w:tc>
          <w:tcPr>
            <w:tcW w:w="0" w:type="dxa"/>
            <w:vAlign w:val="bottom"/>
          </w:tcPr>
          <w:p>
            <w:pPr>
              <w:spacing w:after="0"/>
              <w:rPr>
                <w:sz w:val="1"/>
                <w:szCs w:val="1"/>
                <w:color w:val="auto"/>
              </w:rPr>
            </w:pPr>
          </w:p>
        </w:tc>
      </w:tr>
      <w:tr>
        <w:trPr>
          <w:trHeight w:val="245"/>
        </w:trPr>
        <w:tc>
          <w:tcPr>
            <w:tcW w:w="5660" w:type="dxa"/>
            <w:vAlign w:val="bottom"/>
          </w:tcPr>
          <w:p>
            <w:pPr>
              <w:spacing w:after="0"/>
              <w:rPr>
                <w:sz w:val="21"/>
                <w:szCs w:val="21"/>
                <w:color w:val="auto"/>
              </w:rPr>
            </w:pPr>
          </w:p>
        </w:tc>
        <w:tc>
          <w:tcPr>
            <w:tcW w:w="25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660" w:type="dxa"/>
            <w:vAlign w:val="bottom"/>
          </w:tcPr>
          <w:p>
            <w:pPr>
              <w:ind w:left="180"/>
              <w:spacing w:after="0"/>
              <w:rPr>
                <w:sz w:val="20"/>
                <w:szCs w:val="20"/>
                <w:color w:val="auto"/>
              </w:rPr>
            </w:pPr>
            <w:r>
              <w:rPr>
                <w:rFonts w:ascii="Courier New" w:cs="Courier New" w:eastAsia="Courier New" w:hAnsi="Courier New"/>
                <w:sz w:val="15"/>
                <w:szCs w:val="15"/>
                <w:color w:val="auto"/>
              </w:rPr>
              <w:t>Tier 2 Capital</w:t>
            </w:r>
          </w:p>
        </w:tc>
        <w:tc>
          <w:tcPr>
            <w:tcW w:w="1260" w:type="dxa"/>
            <w:vAlign w:val="bottom"/>
            <w:vMerge w:val="restart"/>
          </w:tcPr>
          <w:p>
            <w:pPr>
              <w:ind w:left="740"/>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6,968</w:t>
            </w:r>
          </w:p>
        </w:tc>
        <w:tc>
          <w:tcPr>
            <w:tcW w:w="8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7,139</w:t>
            </w:r>
          </w:p>
        </w:tc>
        <w:tc>
          <w:tcPr>
            <w:tcW w:w="0" w:type="dxa"/>
            <w:vAlign w:val="bottom"/>
          </w:tcPr>
          <w:p>
            <w:pPr>
              <w:spacing w:after="0"/>
              <w:rPr>
                <w:sz w:val="1"/>
                <w:szCs w:val="1"/>
                <w:color w:val="auto"/>
              </w:rPr>
            </w:pP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Long-Term Debt Qualifying as Tier 2</w:t>
            </w:r>
          </w:p>
        </w:tc>
        <w:tc>
          <w:tcPr>
            <w:tcW w:w="12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Qualifying Allowance for Credit Losses</w:t>
            </w:r>
          </w:p>
        </w:tc>
        <w:tc>
          <w:tcPr>
            <w:tcW w:w="126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2,985</w:t>
            </w:r>
          </w:p>
        </w:tc>
        <w:tc>
          <w:tcPr>
            <w:tcW w:w="8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2,907</w:t>
            </w:r>
          </w:p>
        </w:tc>
        <w:tc>
          <w:tcPr>
            <w:tcW w:w="0" w:type="dxa"/>
            <w:vAlign w:val="bottom"/>
          </w:tcPr>
          <w:p>
            <w:pPr>
              <w:spacing w:after="0"/>
              <w:rPr>
                <w:sz w:val="1"/>
                <w:szCs w:val="1"/>
                <w:color w:val="auto"/>
              </w:rPr>
            </w:pP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Less: 50% Investment in Securities and Unconsolidated</w:t>
            </w:r>
          </w:p>
        </w:tc>
        <w:tc>
          <w:tcPr>
            <w:tcW w:w="1260" w:type="dxa"/>
            <w:vAlign w:val="bottom"/>
          </w:tcPr>
          <w:p>
            <w:pPr>
              <w:spacing w:after="0"/>
              <w:rPr>
                <w:sz w:val="14"/>
                <w:szCs w:val="14"/>
                <w:color w:val="auto"/>
              </w:rPr>
            </w:pPr>
          </w:p>
        </w:tc>
        <w:tc>
          <w:tcPr>
            <w:tcW w:w="126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749</w:t>
            </w:r>
          </w:p>
        </w:tc>
        <w:tc>
          <w:tcPr>
            <w:tcW w:w="8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698</w:t>
            </w:r>
          </w:p>
        </w:tc>
        <w:tc>
          <w:tcPr>
            <w:tcW w:w="0" w:type="dxa"/>
            <w:vAlign w:val="bottom"/>
          </w:tcPr>
          <w:p>
            <w:pPr>
              <w:spacing w:after="0"/>
              <w:rPr>
                <w:sz w:val="1"/>
                <w:szCs w:val="1"/>
                <w:color w:val="auto"/>
              </w:rPr>
            </w:pPr>
          </w:p>
        </w:tc>
      </w:tr>
      <w:tr>
        <w:trPr>
          <w:trHeight w:val="168"/>
        </w:trPr>
        <w:tc>
          <w:tcPr>
            <w:tcW w:w="56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Subsidiaries</w:t>
            </w:r>
          </w:p>
        </w:tc>
        <w:tc>
          <w:tcPr>
            <w:tcW w:w="12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6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Tier 2 Capital</w:t>
            </w:r>
          </w:p>
        </w:tc>
        <w:tc>
          <w:tcPr>
            <w:tcW w:w="1260" w:type="dxa"/>
            <w:vAlign w:val="bottom"/>
            <w:vMerge w:val="restart"/>
          </w:tcPr>
          <w:p>
            <w:pPr>
              <w:ind w:left="740"/>
              <w:spacing w:after="0"/>
              <w:rPr>
                <w:sz w:val="20"/>
                <w:szCs w:val="20"/>
                <w:color w:val="auto"/>
              </w:rPr>
            </w:pPr>
            <w:r>
              <w:rPr>
                <w:rFonts w:ascii="Courier New" w:cs="Courier New" w:eastAsia="Courier New" w:hAnsi="Courier New"/>
                <w:sz w:val="10"/>
                <w:szCs w:val="10"/>
                <w:color w:val="auto"/>
                <w:w w:val="70"/>
                <w:vertAlign w:val="subscript"/>
              </w:rPr>
              <w:t>$</w:t>
            </w:r>
            <w:r>
              <w:rPr>
                <w:rFonts w:ascii="Courier New" w:cs="Courier New" w:eastAsia="Courier New" w:hAnsi="Courier New"/>
                <w:sz w:val="8"/>
                <w:szCs w:val="8"/>
                <w:color w:val="auto"/>
                <w:w w:val="70"/>
              </w:rPr>
              <w:t>--------------</w:t>
            </w:r>
          </w:p>
        </w:tc>
        <w:tc>
          <w:tcPr>
            <w:tcW w:w="126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9,204</w:t>
            </w:r>
          </w:p>
        </w:tc>
        <w:tc>
          <w:tcPr>
            <w:tcW w:w="1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6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9,348</w:t>
            </w:r>
          </w:p>
        </w:tc>
        <w:tc>
          <w:tcPr>
            <w:tcW w:w="0" w:type="dxa"/>
            <w:vAlign w:val="bottom"/>
          </w:tcPr>
          <w:p>
            <w:pPr>
              <w:spacing w:after="0"/>
              <w:rPr>
                <w:sz w:val="1"/>
                <w:szCs w:val="1"/>
                <w:color w:val="auto"/>
              </w:rPr>
            </w:pPr>
          </w:p>
        </w:tc>
      </w:tr>
      <w:tr>
        <w:trPr>
          <w:trHeight w:val="168"/>
        </w:trPr>
        <w:tc>
          <w:tcPr>
            <w:tcW w:w="566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Total Qualifying Capital</w:t>
            </w:r>
          </w:p>
        </w:tc>
        <w:tc>
          <w:tcPr>
            <w:tcW w:w="1260" w:type="dxa"/>
            <w:vAlign w:val="bottom"/>
            <w:vMerge w:val="restart"/>
          </w:tcPr>
          <w:p>
            <w:pPr>
              <w:ind w:left="740"/>
              <w:spacing w:after="0"/>
              <w:rPr>
                <w:sz w:val="20"/>
                <w:szCs w:val="20"/>
                <w:color w:val="auto"/>
              </w:rPr>
            </w:pPr>
            <w:r>
              <w:rPr>
                <w:rFonts w:ascii="Courier New" w:cs="Courier New" w:eastAsia="Courier New" w:hAnsi="Courier New"/>
                <w:sz w:val="10"/>
                <w:szCs w:val="10"/>
                <w:color w:val="auto"/>
                <w:w w:val="70"/>
                <w:vertAlign w:val="subscript"/>
              </w:rPr>
              <w:t>$</w:t>
            </w:r>
            <w:r>
              <w:rPr>
                <w:rFonts w:ascii="Courier New" w:cs="Courier New" w:eastAsia="Courier New" w:hAnsi="Courier New"/>
                <w:sz w:val="8"/>
                <w:szCs w:val="8"/>
                <w:color w:val="auto"/>
                <w:w w:val="70"/>
              </w:rPr>
              <w:t>--------------</w:t>
            </w:r>
          </w:p>
        </w:tc>
        <w:tc>
          <w:tcPr>
            <w:tcW w:w="126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28,148</w:t>
            </w:r>
          </w:p>
        </w:tc>
        <w:tc>
          <w:tcPr>
            <w:tcW w:w="1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6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28,324</w:t>
            </w:r>
          </w:p>
        </w:tc>
        <w:tc>
          <w:tcPr>
            <w:tcW w:w="0" w:type="dxa"/>
            <w:vAlign w:val="bottom"/>
          </w:tcPr>
          <w:p>
            <w:pPr>
              <w:spacing w:after="0"/>
              <w:rPr>
                <w:sz w:val="1"/>
                <w:szCs w:val="1"/>
                <w:color w:val="auto"/>
              </w:rPr>
            </w:pPr>
          </w:p>
        </w:tc>
      </w:tr>
      <w:tr>
        <w:trPr>
          <w:trHeight w:val="168"/>
        </w:trPr>
        <w:tc>
          <w:tcPr>
            <w:tcW w:w="566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Risk-Weighted Assets (a)</w:t>
            </w:r>
          </w:p>
        </w:tc>
        <w:tc>
          <w:tcPr>
            <w:tcW w:w="25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660" w:type="dxa"/>
            <w:vAlign w:val="bottom"/>
            <w:vMerge w:val="continue"/>
          </w:tcPr>
          <w:p>
            <w:pPr>
              <w:spacing w:after="0"/>
              <w:rPr>
                <w:sz w:val="14"/>
                <w:szCs w:val="14"/>
                <w:color w:val="auto"/>
              </w:rPr>
            </w:pPr>
          </w:p>
        </w:tc>
        <w:tc>
          <w:tcPr>
            <w:tcW w:w="126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238,092</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230,887</w:t>
            </w:r>
          </w:p>
        </w:tc>
        <w:tc>
          <w:tcPr>
            <w:tcW w:w="0" w:type="dxa"/>
            <w:vAlign w:val="bottom"/>
          </w:tcPr>
          <w:p>
            <w:pPr>
              <w:spacing w:after="0"/>
              <w:rPr>
                <w:sz w:val="1"/>
                <w:szCs w:val="1"/>
                <w:color w:val="auto"/>
              </w:rPr>
            </w:pPr>
          </w:p>
        </w:tc>
      </w:tr>
      <w:tr>
        <w:trPr>
          <w:trHeight w:val="245"/>
        </w:trPr>
        <w:tc>
          <w:tcPr>
            <w:tcW w:w="5660" w:type="dxa"/>
            <w:vAlign w:val="bottom"/>
          </w:tcPr>
          <w:p>
            <w:pPr>
              <w:spacing w:after="0"/>
              <w:rPr>
                <w:sz w:val="21"/>
                <w:szCs w:val="21"/>
                <w:color w:val="auto"/>
              </w:rPr>
            </w:pPr>
          </w:p>
        </w:tc>
        <w:tc>
          <w:tcPr>
            <w:tcW w:w="25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540" w:right="3580" w:hanging="530"/>
        <w:spacing w:after="0" w:line="290" w:lineRule="auto"/>
        <w:tabs>
          <w:tab w:leader="none" w:pos="5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off-balance sheet risk-weighted assets in the amount of $72,382 million and $68,153 million, respectively, at June 30, 1996 and December 31, 1995.</w:t>
      </w:r>
    </w:p>
    <w:p>
      <w:pPr>
        <w:spacing w:after="0" w:line="393" w:lineRule="exact"/>
        <w:rPr>
          <w:sz w:val="20"/>
          <w:szCs w:val="20"/>
          <w:color w:val="auto"/>
        </w:rPr>
      </w:pPr>
    </w:p>
    <w:p>
      <w:pPr>
        <w:ind w:right="3580"/>
        <w:spacing w:after="0" w:line="290" w:lineRule="auto"/>
        <w:rPr>
          <w:sz w:val="20"/>
          <w:szCs w:val="20"/>
          <w:color w:val="auto"/>
        </w:rPr>
      </w:pPr>
      <w:r>
        <w:rPr>
          <w:rFonts w:ascii="Courier New" w:cs="Courier New" w:eastAsia="Courier New" w:hAnsi="Courier New"/>
          <w:sz w:val="15"/>
          <w:szCs w:val="15"/>
          <w:color w:val="auto"/>
        </w:rPr>
        <w:t>As part of the Corporation's commitment to a disciplined capital policy, management has targeted a Tier 1 capital ratio for the Corporation of 8 to 8.25%.</w:t>
      </w:r>
    </w:p>
    <w:p>
      <w:pPr>
        <w:spacing w:after="0" w:line="2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420"/>
          </w:cols>
          <w:pgMar w:left="220" w:top="596" w:right="1259"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Liquidity</w:t>
      </w:r>
    </w:p>
    <w:p>
      <w:pPr>
        <w:spacing w:after="0" w:line="24" w:lineRule="exact"/>
        <w:rPr>
          <w:sz w:val="20"/>
          <w:szCs w:val="20"/>
          <w:color w:val="auto"/>
        </w:rPr>
      </w:pPr>
    </w:p>
    <w:p>
      <w:pPr>
        <w:jc w:val="both"/>
        <w:ind w:right="3239"/>
        <w:spacing w:after="0" w:line="262" w:lineRule="auto"/>
        <w:rPr>
          <w:sz w:val="20"/>
          <w:szCs w:val="20"/>
          <w:color w:val="auto"/>
        </w:rPr>
      </w:pPr>
      <w:r>
        <w:rPr>
          <w:rFonts w:ascii="Courier New" w:cs="Courier New" w:eastAsia="Courier New" w:hAnsi="Courier New"/>
          <w:sz w:val="14"/>
          <w:szCs w:val="14"/>
          <w:color w:val="auto"/>
        </w:rPr>
        <w:t>The primary source of liquidity for the bank subsidiaries of the Corporation derives from their ability to generate core deposits (which includes all deposits except noninterest-bearing time deposits, foreign deposits and certificates of deposit of $100,000 or more). The Corporation considers funds from such sources to comprise its subsidiary banks' "core" deposit base because of the historical stability of such sources of funds. These deposits fund a portion of the Corporation's asset base, thereby reducing the Corporation's reliance on other, more volatile, sources of funds. The average core deposits at the Corporation's bank subsidiaries for the first half of 1996 were $83 billion and represented 55% of average loans for the period. Foreign deposits generated in the Corporation's global wholesale and retail businesses are also considered to be an additional source of liquidity for the Corporation.</w:t>
      </w:r>
    </w:p>
    <w:p>
      <w:pPr>
        <w:spacing w:after="0" w:line="83" w:lineRule="exact"/>
        <w:rPr>
          <w:sz w:val="20"/>
          <w:szCs w:val="20"/>
          <w:color w:val="auto"/>
        </w:rPr>
      </w:pPr>
    </w:p>
    <w:p>
      <w:pPr>
        <w:jc w:val="both"/>
        <w:ind w:right="3239"/>
        <w:spacing w:after="0" w:line="264" w:lineRule="auto"/>
        <w:rPr>
          <w:sz w:val="20"/>
          <w:szCs w:val="20"/>
          <w:color w:val="auto"/>
        </w:rPr>
      </w:pPr>
      <w:r>
        <w:rPr>
          <w:rFonts w:ascii="Courier New" w:cs="Courier New" w:eastAsia="Courier New" w:hAnsi="Courier New"/>
          <w:sz w:val="14"/>
          <w:szCs w:val="14"/>
          <w:color w:val="auto"/>
        </w:rPr>
        <w:t>The Corporation is an active participant in the capital markets. In addition to issuing commercial paper and medium-term notes, the Corporation raises funds through the issuance of long-term debt, common stock and preferred stock. The Corporation's long-term debt at June 30, 1996 was $12,770 million, a decrease of $55 million from the 1995 year-end. The decrease resulted largely from maturities of the Corporation's long-term debt of $897 million (including $532 million of senior medium-term notes, $115 million of other senior notes, and $250 million of subordinated notes) and the redemption of $20 million of senior medium-term notes. These decreases were partially offset by issuances of $820 million of the Corporation's long-term debt (including $250 million of senior medium-term notes, $75 million of subordinated medium-term notes, $295 million of other senior notes and $200 million of other subordinated notes). The Corporation will continue to evaluate the opportunity for future redemptions of its outstanding debt in light of current market conditions.</w:t>
      </w:r>
    </w:p>
    <w:p>
      <w:pPr>
        <w:spacing w:after="0" w:line="81" w:lineRule="exact"/>
        <w:rPr>
          <w:sz w:val="20"/>
          <w:szCs w:val="20"/>
          <w:color w:val="auto"/>
        </w:rPr>
      </w:pPr>
    </w:p>
    <w:p>
      <w:pPr>
        <w:jc w:val="both"/>
        <w:ind w:right="3239"/>
        <w:spacing w:after="0" w:line="269" w:lineRule="auto"/>
        <w:rPr>
          <w:sz w:val="20"/>
          <w:szCs w:val="20"/>
          <w:color w:val="auto"/>
        </w:rPr>
      </w:pPr>
      <w:r>
        <w:rPr>
          <w:rFonts w:ascii="Courier New" w:cs="Courier New" w:eastAsia="Courier New" w:hAnsi="Courier New"/>
          <w:sz w:val="14"/>
          <w:szCs w:val="14"/>
          <w:color w:val="auto"/>
        </w:rPr>
        <w:t>The Corporation is evaluating the opportunity for future redemptions of its outstanding preferred stock in light of the fact that it currently has approximately $1.1 billion of fixed-rate preferred stock that becomes callable in 1997. In that regard, a subsidiary of the Corporation, organized as a real estate investment trust (REIT), has recently filed a registration statement covering $500 million of preferred stock intended to be issued to pre-fund some of the Corporation's preferred stock that may be redeemed. The Corporation expects that, given the tax deductible features of the REIT preferred stock, the cost to the Corporation of issuing the REIT preferred would be approximately 150-200 basis points lower than traditional preferred stock.</w:t>
      </w:r>
    </w:p>
    <w:p>
      <w:pPr>
        <w:spacing w:after="0" w:line="241" w:lineRule="exact"/>
        <w:rPr>
          <w:sz w:val="20"/>
          <w:szCs w:val="20"/>
          <w:color w:val="auto"/>
        </w:rPr>
      </w:pPr>
    </w:p>
    <w:p>
      <w:pPr>
        <w:ind w:left="180" w:hanging="170"/>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SUPERVISION AND REGULATION</w:t>
      </w:r>
    </w:p>
    <w:p>
      <w:pPr>
        <w:ind w:left="180" w:hanging="170"/>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jc w:val="both"/>
        <w:ind w:right="3239"/>
        <w:spacing w:after="0" w:line="298" w:lineRule="auto"/>
        <w:rPr>
          <w:sz w:val="20"/>
          <w:szCs w:val="20"/>
          <w:color w:val="auto"/>
        </w:rPr>
      </w:pPr>
      <w:r>
        <w:rPr>
          <w:rFonts w:ascii="Courier New" w:cs="Courier New" w:eastAsia="Courier New" w:hAnsi="Courier New"/>
          <w:sz w:val="14"/>
          <w:szCs w:val="14"/>
          <w:color w:val="auto"/>
        </w:rPr>
        <w:t>The following supervision and regulation discussion focuses primarily on developments since December 31, 1995; accordingly, it should be read in conjunction with Supervision and Regulation of The Chase Manhattan Corporation, filed as Exhibit 99.3 of the Corporation's Form 8-K dated April 16, 1996.</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24" w:lineRule="exact"/>
        <w:rPr>
          <w:sz w:val="20"/>
          <w:szCs w:val="20"/>
          <w:color w:val="auto"/>
        </w:rPr>
      </w:pPr>
    </w:p>
    <w:p>
      <w:pPr>
        <w:jc w:val="both"/>
        <w:ind w:right="3239"/>
        <w:spacing w:after="0" w:line="251" w:lineRule="auto"/>
        <w:rPr>
          <w:sz w:val="20"/>
          <w:szCs w:val="20"/>
          <w:color w:val="auto"/>
        </w:rPr>
      </w:pPr>
      <w:r>
        <w:rPr>
          <w:rFonts w:ascii="Courier New" w:cs="Courier New" w:eastAsia="Courier New" w:hAnsi="Courier New"/>
          <w:sz w:val="15"/>
          <w:szCs w:val="15"/>
          <w:color w:val="auto"/>
        </w:rPr>
        <w:t>At June 30, 1996, in accordance with the dividend restrictions applicable to them, the Corporation's bank subsidiaries could, during 1996, without the approval of their relevant banking regulators, pay dividends in the aggregate of approximately $2.9 billion to their respective bank holding companies, plus an additional amount equal to their net income from July 1, 1996 through the date in 1996 of any such dividend payment.</w:t>
      </w:r>
    </w:p>
    <w:p>
      <w:pPr>
        <w:spacing w:after="0" w:line="85" w:lineRule="exact"/>
        <w:rPr>
          <w:sz w:val="20"/>
          <w:szCs w:val="20"/>
          <w:color w:val="auto"/>
        </w:rPr>
      </w:pPr>
    </w:p>
    <w:p>
      <w:pPr>
        <w:jc w:val="both"/>
        <w:ind w:right="3239"/>
        <w:spacing w:after="0" w:line="273" w:lineRule="auto"/>
        <w:rPr>
          <w:sz w:val="20"/>
          <w:szCs w:val="20"/>
          <w:color w:val="auto"/>
        </w:rPr>
      </w:pPr>
      <w:r>
        <w:rPr>
          <w:rFonts w:ascii="Courier New" w:cs="Courier New" w:eastAsia="Courier New" w:hAnsi="Courier New"/>
          <w:sz w:val="14"/>
          <w:szCs w:val="14"/>
          <w:color w:val="auto"/>
        </w:rPr>
        <w:t>In addition to the dividend restrictions set forth in statutes and regulations, the Federal Reserve Board, the Office of the Comptroller of the Currency and the FDIC have authority under the Financial Institutions Supervisory Act to prohibit or to limit the payment of dividends by the banking organizations they supervise, including the Corporation and its subsidiaries that are banks or bank holding companies, if, in the banking regulator's opinion, payment of a dividend would constitute an unsafe or unsound practice in light of the financial condition of the banking organization.</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FDICIA</w:t>
      </w:r>
    </w:p>
    <w:p>
      <w:pPr>
        <w:spacing w:after="0" w:line="24" w:lineRule="exact"/>
        <w:rPr>
          <w:sz w:val="20"/>
          <w:szCs w:val="20"/>
          <w:color w:val="auto"/>
        </w:rPr>
      </w:pPr>
    </w:p>
    <w:p>
      <w:pPr>
        <w:jc w:val="both"/>
        <w:ind w:right="3239"/>
        <w:spacing w:after="0" w:line="264" w:lineRule="auto"/>
        <w:rPr>
          <w:sz w:val="20"/>
          <w:szCs w:val="20"/>
          <w:color w:val="auto"/>
        </w:rPr>
      </w:pPr>
      <w:r>
        <w:rPr>
          <w:rFonts w:ascii="Courier New" w:cs="Courier New" w:eastAsia="Courier New" w:hAnsi="Courier New"/>
          <w:sz w:val="14"/>
          <w:szCs w:val="14"/>
          <w:color w:val="auto"/>
        </w:rPr>
        <w:t>The Federal Deposit Insurance Corporation Improvement Act of 1991 ("FDICIA") required the FDIC to establish a risk-based assessment system for FDIC deposit insurance. FDICIA also contained provisions limiting certain activities and business methods of depository institutions. Finally, FDICIA provided for expanded regulation of depository institutions and their affiliates, including parent holding companies, by such institutions' appropriate Federal banking regulator. Each of the Corporation's banking institutions were "well capitalized" as that term is defined under the various regulations promulgated under FDICIA and, therefore, the Corporation does not expect such regulations to have a material adverse impact on their business operations.</w:t>
      </w:r>
    </w:p>
    <w:p>
      <w:pPr>
        <w:spacing w:after="0" w:line="80" w:lineRule="exact"/>
        <w:rPr>
          <w:sz w:val="20"/>
          <w:szCs w:val="20"/>
          <w:color w:val="auto"/>
        </w:rPr>
      </w:pPr>
    </w:p>
    <w:p>
      <w:pPr>
        <w:ind w:left="180" w:hanging="170"/>
        <w:spacing w:after="0"/>
        <w:tabs>
          <w:tab w:leader="none" w:pos="1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ACCOUNTING DEVELOPMENTS</w:t>
      </w:r>
    </w:p>
    <w:p>
      <w:pPr>
        <w:ind w:left="180" w:hanging="170"/>
        <w:spacing w:after="0"/>
        <w:tabs>
          <w:tab w:leader="none" w:pos="1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for Stock-Based Compensation</w:t>
      </w:r>
    </w:p>
    <w:p>
      <w:pPr>
        <w:spacing w:after="0" w:line="24" w:lineRule="exact"/>
        <w:rPr>
          <w:sz w:val="20"/>
          <w:szCs w:val="20"/>
          <w:color w:val="auto"/>
        </w:rPr>
      </w:pPr>
    </w:p>
    <w:p>
      <w:pPr>
        <w:jc w:val="both"/>
        <w:ind w:right="3239"/>
        <w:spacing w:after="0" w:line="277" w:lineRule="auto"/>
        <w:rPr>
          <w:sz w:val="20"/>
          <w:szCs w:val="20"/>
          <w:color w:val="auto"/>
        </w:rPr>
      </w:pPr>
      <w:r>
        <w:rPr>
          <w:rFonts w:ascii="Courier New" w:cs="Courier New" w:eastAsia="Courier New" w:hAnsi="Courier New"/>
          <w:sz w:val="14"/>
          <w:szCs w:val="14"/>
          <w:color w:val="auto"/>
        </w:rPr>
        <w:t>For a discussion of Statement of Financial Accounting Standards No. 123, "Accounting for Stock-Based Compensation" ("SFAS 123"), see page 47 of the Corporation's 1995 Annual Report. The Corporation intends to continue accounting for its employee stock compensation plans under its current method (APB 25), and will adopt the disclosure requirements of SFAS 123 at year-end 1996.</w:t>
      </w:r>
    </w:p>
    <w:p>
      <w:pPr>
        <w:spacing w:after="0" w:line="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598" w:right="1440" w:bottom="368" w:gutter="0" w:footer="0" w:header="0"/>
        </w:sectPr>
      </w:pPr>
    </w:p>
    <w:bookmarkStart w:id="44" w:name="page45"/>
    <w:bookmarkEnd w:id="44"/>
    <w:p>
      <w:pPr>
        <w:jc w:val="center"/>
        <w:ind w:left="1160"/>
        <w:spacing w:after="0"/>
        <w:rPr>
          <w:sz w:val="20"/>
          <w:szCs w:val="20"/>
          <w:color w:val="auto"/>
        </w:rPr>
      </w:pPr>
      <w:r>
        <w:rPr>
          <w:rFonts w:ascii="Courier New" w:cs="Courier New" w:eastAsia="Courier New" w:hAnsi="Courier New"/>
          <w:sz w:val="15"/>
          <w:szCs w:val="15"/>
          <w:color w:val="auto"/>
        </w:rPr>
        <w:t>The Chase Manhattan Corporation and Subsidiaries</w:t>
      </w:r>
    </w:p>
    <w:p>
      <w:pPr>
        <w:spacing w:after="0" w:line="23" w:lineRule="exact"/>
        <w:rPr>
          <w:sz w:val="20"/>
          <w:szCs w:val="20"/>
          <w:color w:val="auto"/>
        </w:rPr>
      </w:pPr>
    </w:p>
    <w:p>
      <w:pPr>
        <w:jc w:val="center"/>
        <w:ind w:left="1160"/>
        <w:spacing w:after="0"/>
        <w:rPr>
          <w:sz w:val="20"/>
          <w:szCs w:val="20"/>
          <w:color w:val="auto"/>
        </w:rPr>
      </w:pPr>
      <w:r>
        <w:rPr>
          <w:rFonts w:ascii="Courier New" w:cs="Courier New" w:eastAsia="Courier New" w:hAnsi="Courier New"/>
          <w:sz w:val="15"/>
          <w:szCs w:val="15"/>
          <w:color w:val="auto"/>
        </w:rPr>
        <w:t>Average Consolidated Balance Sheet, Interest and Rates</w:t>
      </w:r>
    </w:p>
    <w:p>
      <w:pPr>
        <w:jc w:val="center"/>
        <w:ind w:left="1160"/>
        <w:spacing w:after="0"/>
        <w:rPr>
          <w:sz w:val="20"/>
          <w:szCs w:val="20"/>
          <w:color w:val="auto"/>
        </w:rPr>
      </w:pPr>
      <w:r>
        <w:rPr>
          <w:rFonts w:ascii="Courier New" w:cs="Courier New" w:eastAsia="Courier New" w:hAnsi="Courier New"/>
          <w:sz w:val="15"/>
          <w:szCs w:val="15"/>
          <w:color w:val="auto"/>
        </w:rPr>
        <w:t>(Taxable-Equivalent Interest and Rates;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8"/>
              </w:rPr>
              <w:t>Three Months Ended</w:t>
            </w: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Three Months Ended</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June 30, 1996</w:t>
            </w: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June 30, 1995</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70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w w:val="97"/>
              </w:rPr>
              <w:t>-----------------------------------------</w:t>
            </w:r>
          </w:p>
        </w:tc>
        <w:tc>
          <w:tcPr>
            <w:tcW w:w="280" w:type="dxa"/>
            <w:vAlign w:val="bottom"/>
          </w:tcPr>
          <w:p>
            <w:pPr>
              <w:spacing w:after="0"/>
              <w:rPr>
                <w:sz w:val="14"/>
                <w:szCs w:val="14"/>
                <w:color w:val="auto"/>
              </w:rPr>
            </w:pPr>
          </w:p>
        </w:tc>
        <w:tc>
          <w:tcPr>
            <w:tcW w:w="378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68"/>
        </w:trPr>
        <w:tc>
          <w:tcPr>
            <w:tcW w:w="3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Average</w:t>
            </w:r>
          </w:p>
        </w:tc>
        <w:tc>
          <w:tcPr>
            <w:tcW w:w="440" w:type="dxa"/>
            <w:vAlign w:val="bottom"/>
          </w:tcPr>
          <w:p>
            <w:pPr>
              <w:spacing w:after="0"/>
              <w:rPr>
                <w:sz w:val="14"/>
                <w:szCs w:val="14"/>
                <w:color w:val="auto"/>
              </w:rPr>
            </w:pPr>
          </w:p>
        </w:tc>
        <w:tc>
          <w:tcPr>
            <w:tcW w:w="126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w w:val="99"/>
              </w:rPr>
              <w:t>Interest</w:t>
            </w:r>
          </w:p>
        </w:tc>
        <w:tc>
          <w:tcPr>
            <w:tcW w:w="1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Rate</w:t>
            </w:r>
          </w:p>
        </w:tc>
        <w:tc>
          <w:tcPr>
            <w:tcW w:w="280" w:type="dxa"/>
            <w:vAlign w:val="bottom"/>
          </w:tcPr>
          <w:p>
            <w:pPr>
              <w:spacing w:after="0"/>
              <w:rPr>
                <w:sz w:val="14"/>
                <w:szCs w:val="14"/>
                <w:color w:val="auto"/>
              </w:rPr>
            </w:pPr>
          </w:p>
        </w:tc>
        <w:tc>
          <w:tcPr>
            <w:tcW w:w="9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Average</w:t>
            </w:r>
          </w:p>
        </w:tc>
        <w:tc>
          <w:tcPr>
            <w:tcW w:w="170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Interest</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Rate</w:t>
            </w:r>
          </w:p>
        </w:tc>
        <w:tc>
          <w:tcPr>
            <w:tcW w:w="0" w:type="dxa"/>
            <w:vAlign w:val="bottom"/>
          </w:tcPr>
          <w:p>
            <w:pPr>
              <w:spacing w:after="0"/>
              <w:rPr>
                <w:sz w:val="1"/>
                <w:szCs w:val="1"/>
                <w:color w:val="auto"/>
              </w:rPr>
            </w:pPr>
          </w:p>
        </w:tc>
      </w:tr>
      <w:tr>
        <w:trPr>
          <w:trHeight w:val="245"/>
        </w:trPr>
        <w:tc>
          <w:tcPr>
            <w:tcW w:w="3380" w:type="dxa"/>
            <w:vAlign w:val="bottom"/>
            <w:vMerge w:val="restart"/>
          </w:tcPr>
          <w:p>
            <w:pPr>
              <w:spacing w:after="0"/>
              <w:rPr>
                <w:sz w:val="20"/>
                <w:szCs w:val="20"/>
                <w:color w:val="auto"/>
              </w:rPr>
            </w:pPr>
            <w:r>
              <w:rPr>
                <w:rFonts w:ascii="Courier New" w:cs="Courier New" w:eastAsia="Courier New" w:hAnsi="Courier New"/>
                <w:sz w:val="15"/>
                <w:szCs w:val="15"/>
                <w:color w:val="auto"/>
              </w:rPr>
              <w:t>ASSETS</w:t>
            </w:r>
          </w:p>
        </w:tc>
        <w:tc>
          <w:tcPr>
            <w:tcW w:w="40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Balance</w:t>
            </w:r>
          </w:p>
        </w:tc>
        <w:tc>
          <w:tcPr>
            <w:tcW w:w="44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w w:val="98"/>
              </w:rPr>
              <w:t>(Annualized)</w:t>
            </w:r>
          </w:p>
        </w:tc>
        <w:tc>
          <w:tcPr>
            <w:tcW w:w="280" w:type="dxa"/>
            <w:vAlign w:val="bottom"/>
          </w:tcPr>
          <w:p>
            <w:pPr>
              <w:spacing w:after="0"/>
              <w:rPr>
                <w:sz w:val="21"/>
                <w:szCs w:val="21"/>
                <w:color w:val="auto"/>
              </w:rPr>
            </w:pPr>
          </w:p>
        </w:tc>
        <w:tc>
          <w:tcPr>
            <w:tcW w:w="960" w:type="dxa"/>
            <w:vAlign w:val="bottom"/>
          </w:tcPr>
          <w:p>
            <w:pPr>
              <w:ind w:left="120"/>
              <w:spacing w:after="0"/>
              <w:rPr>
                <w:sz w:val="20"/>
                <w:szCs w:val="20"/>
                <w:color w:val="auto"/>
              </w:rPr>
            </w:pPr>
            <w:r>
              <w:rPr>
                <w:rFonts w:ascii="Courier New" w:cs="Courier New" w:eastAsia="Courier New" w:hAnsi="Courier New"/>
                <w:sz w:val="15"/>
                <w:szCs w:val="15"/>
                <w:color w:val="auto"/>
              </w:rPr>
              <w:t>Balance</w:t>
            </w:r>
          </w:p>
        </w:tc>
        <w:tc>
          <w:tcPr>
            <w:tcW w:w="1700" w:type="dxa"/>
            <w:vAlign w:val="bottom"/>
            <w:vMerge w:val="continue"/>
          </w:tcPr>
          <w:p>
            <w:pPr>
              <w:spacing w:after="0"/>
              <w:rPr>
                <w:sz w:val="21"/>
                <w:szCs w:val="21"/>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(Annualized)</w:t>
            </w:r>
          </w:p>
        </w:tc>
        <w:tc>
          <w:tcPr>
            <w:tcW w:w="0" w:type="dxa"/>
            <w:vAlign w:val="bottom"/>
          </w:tcPr>
          <w:p>
            <w:pPr>
              <w:spacing w:after="0"/>
              <w:rPr>
                <w:sz w:val="1"/>
                <w:szCs w:val="1"/>
                <w:color w:val="auto"/>
              </w:rPr>
            </w:pPr>
          </w:p>
        </w:tc>
      </w:tr>
      <w:tr>
        <w:trPr>
          <w:trHeight w:val="168"/>
        </w:trPr>
        <w:tc>
          <w:tcPr>
            <w:tcW w:w="33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3380" w:type="dxa"/>
            <w:vAlign w:val="bottom"/>
          </w:tcPr>
          <w:p>
            <w:pPr>
              <w:spacing w:after="0"/>
              <w:rPr>
                <w:sz w:val="20"/>
                <w:szCs w:val="20"/>
                <w:color w:val="auto"/>
              </w:rPr>
            </w:pPr>
            <w:r>
              <w:rPr>
                <w:rFonts w:ascii="Courier New" w:cs="Courier New" w:eastAsia="Courier New" w:hAnsi="Courier New"/>
                <w:sz w:val="15"/>
                <w:szCs w:val="15"/>
                <w:color w:val="auto"/>
              </w:rPr>
              <w:t>Deposits with Banks</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7,307</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156</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8.58%</w:t>
            </w:r>
          </w:p>
        </w:tc>
        <w:tc>
          <w:tcPr>
            <w:tcW w:w="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10,757</w:t>
            </w:r>
          </w:p>
        </w:tc>
        <w:tc>
          <w:tcPr>
            <w:tcW w:w="17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   218</w:t>
            </w: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8.12%</w:t>
            </w:r>
          </w:p>
        </w:tc>
        <w:tc>
          <w:tcPr>
            <w:tcW w:w="0" w:type="dxa"/>
            <w:vAlign w:val="bottom"/>
          </w:tcPr>
          <w:p>
            <w:pPr>
              <w:spacing w:after="0"/>
              <w:rPr>
                <w:sz w:val="1"/>
                <w:szCs w:val="1"/>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Sold and</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Securities Purchased Under</w:t>
            </w:r>
          </w:p>
        </w:tc>
        <w:tc>
          <w:tcPr>
            <w:tcW w:w="400" w:type="dxa"/>
            <w:vAlign w:val="bottom"/>
          </w:tcPr>
          <w:p>
            <w:pPr>
              <w:spacing w:after="0"/>
              <w:rPr>
                <w:sz w:val="14"/>
                <w:szCs w:val="14"/>
                <w:color w:val="auto"/>
              </w:rPr>
            </w:pPr>
          </w:p>
        </w:tc>
        <w:tc>
          <w:tcPr>
            <w:tcW w:w="8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29,354</w:t>
            </w:r>
          </w:p>
        </w:tc>
        <w:tc>
          <w:tcPr>
            <w:tcW w:w="440" w:type="dxa"/>
            <w:vAlign w:val="bottom"/>
          </w:tcPr>
          <w:p>
            <w:pPr>
              <w:spacing w:after="0"/>
              <w:rPr>
                <w:sz w:val="14"/>
                <w:szCs w:val="14"/>
                <w:color w:val="auto"/>
              </w:rPr>
            </w:pPr>
          </w:p>
        </w:tc>
        <w:tc>
          <w:tcPr>
            <w:tcW w:w="126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514</w:t>
            </w:r>
          </w:p>
        </w:tc>
        <w:tc>
          <w:tcPr>
            <w:tcW w:w="11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7.05%</w:t>
            </w:r>
          </w:p>
        </w:tc>
        <w:tc>
          <w:tcPr>
            <w:tcW w:w="280" w:type="dxa"/>
            <w:vAlign w:val="bottom"/>
          </w:tcPr>
          <w:p>
            <w:pPr>
              <w:spacing w:after="0"/>
              <w:rPr>
                <w:sz w:val="14"/>
                <w:szCs w:val="14"/>
                <w:color w:val="auto"/>
              </w:rPr>
            </w:pPr>
          </w:p>
        </w:tc>
        <w:tc>
          <w:tcPr>
            <w:tcW w:w="9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30,114</w:t>
            </w:r>
          </w:p>
        </w:tc>
        <w:tc>
          <w:tcPr>
            <w:tcW w:w="170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482</w:t>
            </w:r>
          </w:p>
        </w:tc>
        <w:tc>
          <w:tcPr>
            <w:tcW w:w="1120" w:type="dxa"/>
            <w:vAlign w:val="bottom"/>
            <w:vMerge w:val="restart"/>
          </w:tcPr>
          <w:p>
            <w:pPr>
              <w:jc w:val="right"/>
              <w:ind w:right="167"/>
              <w:spacing w:after="0"/>
              <w:rPr>
                <w:sz w:val="20"/>
                <w:szCs w:val="20"/>
                <w:color w:val="auto"/>
              </w:rPr>
            </w:pPr>
            <w:r>
              <w:rPr>
                <w:rFonts w:ascii="Courier New" w:cs="Courier New" w:eastAsia="Courier New" w:hAnsi="Courier New"/>
                <w:sz w:val="15"/>
                <w:szCs w:val="15"/>
                <w:color w:val="auto"/>
              </w:rPr>
              <w:t>6.41%</w:t>
            </w:r>
          </w:p>
        </w:tc>
        <w:tc>
          <w:tcPr>
            <w:tcW w:w="0" w:type="dxa"/>
            <w:vAlign w:val="bottom"/>
          </w:tcPr>
          <w:p>
            <w:pPr>
              <w:spacing w:after="0"/>
              <w:rPr>
                <w:sz w:val="1"/>
                <w:szCs w:val="1"/>
                <w:color w:val="auto"/>
              </w:rPr>
            </w:pPr>
          </w:p>
        </w:tc>
      </w:tr>
      <w:tr>
        <w:trPr>
          <w:trHeight w:val="168"/>
        </w:trPr>
        <w:tc>
          <w:tcPr>
            <w:tcW w:w="3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Resale Agreements</w:t>
            </w:r>
          </w:p>
        </w:tc>
        <w:tc>
          <w:tcPr>
            <w:tcW w:w="4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 Assets-Debt and Equity</w:t>
            </w:r>
          </w:p>
        </w:tc>
        <w:tc>
          <w:tcPr>
            <w:tcW w:w="400" w:type="dxa"/>
            <w:vAlign w:val="bottom"/>
          </w:tcPr>
          <w:p>
            <w:pPr>
              <w:spacing w:after="0"/>
              <w:rPr>
                <w:sz w:val="14"/>
                <w:szCs w:val="14"/>
                <w:color w:val="auto"/>
              </w:rPr>
            </w:pPr>
          </w:p>
        </w:tc>
        <w:tc>
          <w:tcPr>
            <w:tcW w:w="8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27,293</w:t>
            </w:r>
          </w:p>
        </w:tc>
        <w:tc>
          <w:tcPr>
            <w:tcW w:w="440" w:type="dxa"/>
            <w:vAlign w:val="bottom"/>
          </w:tcPr>
          <w:p>
            <w:pPr>
              <w:spacing w:after="0"/>
              <w:rPr>
                <w:sz w:val="14"/>
                <w:szCs w:val="14"/>
                <w:color w:val="auto"/>
              </w:rPr>
            </w:pPr>
          </w:p>
        </w:tc>
        <w:tc>
          <w:tcPr>
            <w:tcW w:w="126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406</w:t>
            </w:r>
          </w:p>
        </w:tc>
        <w:tc>
          <w:tcPr>
            <w:tcW w:w="11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5.98%</w:t>
            </w:r>
          </w:p>
        </w:tc>
        <w:tc>
          <w:tcPr>
            <w:tcW w:w="280" w:type="dxa"/>
            <w:vAlign w:val="bottom"/>
          </w:tcPr>
          <w:p>
            <w:pPr>
              <w:spacing w:after="0"/>
              <w:rPr>
                <w:sz w:val="14"/>
                <w:szCs w:val="14"/>
                <w:color w:val="auto"/>
              </w:rPr>
            </w:pPr>
          </w:p>
        </w:tc>
        <w:tc>
          <w:tcPr>
            <w:tcW w:w="9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18,529</w:t>
            </w:r>
          </w:p>
        </w:tc>
        <w:tc>
          <w:tcPr>
            <w:tcW w:w="170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343</w:t>
            </w:r>
          </w:p>
        </w:tc>
        <w:tc>
          <w:tcPr>
            <w:tcW w:w="1120" w:type="dxa"/>
            <w:vAlign w:val="bottom"/>
            <w:vMerge w:val="restart"/>
          </w:tcPr>
          <w:p>
            <w:pPr>
              <w:jc w:val="right"/>
              <w:ind w:right="167"/>
              <w:spacing w:after="0"/>
              <w:rPr>
                <w:sz w:val="20"/>
                <w:szCs w:val="20"/>
                <w:color w:val="auto"/>
              </w:rPr>
            </w:pPr>
            <w:r>
              <w:rPr>
                <w:rFonts w:ascii="Courier New" w:cs="Courier New" w:eastAsia="Courier New" w:hAnsi="Courier New"/>
                <w:sz w:val="15"/>
                <w:szCs w:val="15"/>
                <w:color w:val="auto"/>
              </w:rPr>
              <w:t>7.40%</w:t>
            </w:r>
          </w:p>
        </w:tc>
        <w:tc>
          <w:tcPr>
            <w:tcW w:w="0" w:type="dxa"/>
            <w:vAlign w:val="bottom"/>
          </w:tcPr>
          <w:p>
            <w:pPr>
              <w:spacing w:after="0"/>
              <w:rPr>
                <w:sz w:val="1"/>
                <w:szCs w:val="1"/>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Instruments</w:t>
            </w:r>
          </w:p>
        </w:tc>
        <w:tc>
          <w:tcPr>
            <w:tcW w:w="4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w:t>
            </w:r>
          </w:p>
        </w:tc>
        <w:tc>
          <w:tcPr>
            <w:tcW w:w="400" w:type="dxa"/>
            <w:vAlign w:val="bottom"/>
          </w:tcPr>
          <w:p>
            <w:pPr>
              <w:spacing w:after="0"/>
              <w:rPr>
                <w:sz w:val="14"/>
                <w:szCs w:val="14"/>
                <w:color w:val="auto"/>
              </w:rPr>
            </w:pPr>
          </w:p>
        </w:tc>
        <w:tc>
          <w:tcPr>
            <w:tcW w:w="8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38,295</w:t>
            </w:r>
          </w:p>
        </w:tc>
        <w:tc>
          <w:tcPr>
            <w:tcW w:w="440" w:type="dxa"/>
            <w:vAlign w:val="bottom"/>
          </w:tcPr>
          <w:p>
            <w:pPr>
              <w:spacing w:after="0"/>
              <w:rPr>
                <w:sz w:val="14"/>
                <w:szCs w:val="14"/>
                <w:color w:val="auto"/>
              </w:rPr>
            </w:pPr>
          </w:p>
        </w:tc>
        <w:tc>
          <w:tcPr>
            <w:tcW w:w="126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610</w:t>
            </w:r>
          </w:p>
        </w:tc>
        <w:tc>
          <w:tcPr>
            <w:tcW w:w="11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6.41%(b)</w:t>
            </w:r>
          </w:p>
        </w:tc>
        <w:tc>
          <w:tcPr>
            <w:tcW w:w="280" w:type="dxa"/>
            <w:vAlign w:val="bottom"/>
          </w:tcPr>
          <w:p>
            <w:pPr>
              <w:spacing w:after="0"/>
              <w:rPr>
                <w:sz w:val="14"/>
                <w:szCs w:val="14"/>
                <w:color w:val="auto"/>
              </w:rPr>
            </w:pPr>
          </w:p>
        </w:tc>
        <w:tc>
          <w:tcPr>
            <w:tcW w:w="9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24,293</w:t>
            </w:r>
          </w:p>
        </w:tc>
        <w:tc>
          <w:tcPr>
            <w:tcW w:w="170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448</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7.37%(b)</w:t>
            </w:r>
          </w:p>
        </w:tc>
        <w:tc>
          <w:tcPr>
            <w:tcW w:w="0" w:type="dxa"/>
            <w:vAlign w:val="bottom"/>
          </w:tcPr>
          <w:p>
            <w:pPr>
              <w:spacing w:after="0"/>
              <w:rPr>
                <w:sz w:val="1"/>
                <w:szCs w:val="1"/>
                <w:color w:val="auto"/>
              </w:rPr>
            </w:pPr>
          </w:p>
        </w:tc>
      </w:tr>
      <w:tr>
        <w:trPr>
          <w:trHeight w:val="168"/>
        </w:trPr>
        <w:tc>
          <w:tcPr>
            <w:tcW w:w="3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Available-for-Sale</w:t>
            </w:r>
          </w:p>
        </w:tc>
        <w:tc>
          <w:tcPr>
            <w:tcW w:w="4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Held-to-Maturity</w:t>
            </w:r>
          </w:p>
        </w:tc>
        <w:tc>
          <w:tcPr>
            <w:tcW w:w="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4,245</w:t>
            </w:r>
          </w:p>
        </w:tc>
        <w:tc>
          <w:tcPr>
            <w:tcW w:w="440" w:type="dxa"/>
            <w:vAlign w:val="bottom"/>
          </w:tcPr>
          <w:p>
            <w:pPr>
              <w:spacing w:after="0"/>
              <w:rPr>
                <w:sz w:val="14"/>
                <w:szCs w:val="14"/>
                <w:color w:val="auto"/>
              </w:rPr>
            </w:pPr>
          </w:p>
        </w:tc>
        <w:tc>
          <w:tcPr>
            <w:tcW w:w="12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81</w:t>
            </w:r>
          </w:p>
        </w:tc>
        <w:tc>
          <w:tcPr>
            <w:tcW w:w="1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7.61%</w:t>
            </w:r>
          </w:p>
        </w:tc>
        <w:tc>
          <w:tcPr>
            <w:tcW w:w="2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10,374</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174</w:t>
            </w:r>
          </w:p>
        </w:tc>
        <w:tc>
          <w:tcPr>
            <w:tcW w:w="11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6.74%</w:t>
            </w:r>
          </w:p>
        </w:tc>
        <w:tc>
          <w:tcPr>
            <w:tcW w:w="0" w:type="dxa"/>
            <w:vAlign w:val="bottom"/>
          </w:tcPr>
          <w:p>
            <w:pPr>
              <w:spacing w:after="0"/>
              <w:rPr>
                <w:sz w:val="1"/>
                <w:szCs w:val="1"/>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w:t>
            </w:r>
          </w:p>
        </w:tc>
        <w:tc>
          <w:tcPr>
            <w:tcW w:w="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150,612</w:t>
            </w:r>
          </w:p>
        </w:tc>
        <w:tc>
          <w:tcPr>
            <w:tcW w:w="440" w:type="dxa"/>
            <w:vAlign w:val="bottom"/>
          </w:tcPr>
          <w:p>
            <w:pPr>
              <w:spacing w:after="0"/>
              <w:rPr>
                <w:sz w:val="14"/>
                <w:szCs w:val="14"/>
                <w:color w:val="auto"/>
              </w:rPr>
            </w:pPr>
          </w:p>
        </w:tc>
        <w:tc>
          <w:tcPr>
            <w:tcW w:w="12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3,034</w:t>
            </w:r>
          </w:p>
        </w:tc>
        <w:tc>
          <w:tcPr>
            <w:tcW w:w="1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8.09%</w:t>
            </w:r>
          </w:p>
        </w:tc>
        <w:tc>
          <w:tcPr>
            <w:tcW w:w="2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146,757</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3,247</w:t>
            </w:r>
          </w:p>
        </w:tc>
        <w:tc>
          <w:tcPr>
            <w:tcW w:w="11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8.86%</w:t>
            </w:r>
          </w:p>
        </w:tc>
        <w:tc>
          <w:tcPr>
            <w:tcW w:w="0" w:type="dxa"/>
            <w:vAlign w:val="bottom"/>
          </w:tcPr>
          <w:p>
            <w:pPr>
              <w:spacing w:after="0"/>
              <w:rPr>
                <w:sz w:val="1"/>
                <w:szCs w:val="1"/>
                <w:color w:val="auto"/>
              </w:rPr>
            </w:pPr>
          </w:p>
        </w:tc>
      </w:tr>
      <w:tr>
        <w:trPr>
          <w:trHeight w:val="168"/>
        </w:trPr>
        <w:tc>
          <w:tcPr>
            <w:tcW w:w="33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Total Interest-Earning Assets</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7.51%</w:t>
            </w: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vMerge w:val="restart"/>
          </w:tcPr>
          <w:p>
            <w:pPr>
              <w:jc w:val="right"/>
              <w:ind w:right="167"/>
              <w:spacing w:after="0"/>
              <w:rPr>
                <w:sz w:val="20"/>
                <w:szCs w:val="20"/>
                <w:color w:val="auto"/>
              </w:rPr>
            </w:pPr>
            <w:r>
              <w:rPr>
                <w:rFonts w:ascii="Courier New" w:cs="Courier New" w:eastAsia="Courier New" w:hAnsi="Courier New"/>
                <w:sz w:val="15"/>
                <w:szCs w:val="15"/>
                <w:color w:val="auto"/>
              </w:rPr>
              <w:t>8.17%</w:t>
            </w:r>
          </w:p>
        </w:tc>
        <w:tc>
          <w:tcPr>
            <w:tcW w:w="0" w:type="dxa"/>
            <w:vAlign w:val="bottom"/>
          </w:tcPr>
          <w:p>
            <w:pPr>
              <w:spacing w:after="0"/>
              <w:rPr>
                <w:sz w:val="1"/>
                <w:szCs w:val="1"/>
                <w:color w:val="auto"/>
              </w:rPr>
            </w:pPr>
          </w:p>
        </w:tc>
      </w:tr>
      <w:tr>
        <w:trPr>
          <w:trHeight w:val="168"/>
        </w:trPr>
        <w:tc>
          <w:tcPr>
            <w:tcW w:w="33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257,106</w:t>
            </w:r>
          </w:p>
        </w:tc>
        <w:tc>
          <w:tcPr>
            <w:tcW w:w="440" w:type="dxa"/>
            <w:vAlign w:val="bottom"/>
          </w:tcPr>
          <w:p>
            <w:pPr>
              <w:spacing w:after="0"/>
              <w:rPr>
                <w:sz w:val="14"/>
                <w:szCs w:val="14"/>
                <w:color w:val="auto"/>
              </w:rPr>
            </w:pPr>
          </w:p>
        </w:tc>
        <w:tc>
          <w:tcPr>
            <w:tcW w:w="12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4,801</w:t>
            </w:r>
          </w:p>
        </w:tc>
        <w:tc>
          <w:tcPr>
            <w:tcW w:w="11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240,824</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4,912</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Allowance for Credit Losses</w:t>
            </w:r>
          </w:p>
        </w:tc>
        <w:tc>
          <w:tcPr>
            <w:tcW w:w="4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(3,681)</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(3,877)</w:t>
            </w:r>
          </w:p>
        </w:tc>
        <w:tc>
          <w:tcPr>
            <w:tcW w:w="1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Due from Banks</w:t>
            </w:r>
          </w:p>
        </w:tc>
        <w:tc>
          <w:tcPr>
            <w:tcW w:w="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11,849</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13,097</w:t>
            </w:r>
          </w:p>
        </w:tc>
        <w:tc>
          <w:tcPr>
            <w:tcW w:w="1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Risk Management Instruments</w:t>
            </w:r>
          </w:p>
        </w:tc>
        <w:tc>
          <w:tcPr>
            <w:tcW w:w="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26,280</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35,877</w:t>
            </w:r>
          </w:p>
        </w:tc>
        <w:tc>
          <w:tcPr>
            <w:tcW w:w="1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26,025</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22,425</w:t>
            </w:r>
          </w:p>
        </w:tc>
        <w:tc>
          <w:tcPr>
            <w:tcW w:w="1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Total Assets</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vMerge w:val="continue"/>
          </w:tcPr>
          <w:p>
            <w:pPr>
              <w:spacing w:after="0"/>
              <w:rPr>
                <w:sz w:val="14"/>
                <w:szCs w:val="14"/>
                <w:color w:val="auto"/>
              </w:rPr>
            </w:pP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317,579</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308,346</w:t>
            </w:r>
          </w:p>
        </w:tc>
        <w:tc>
          <w:tcPr>
            <w:tcW w:w="1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380" w:type="dxa"/>
            <w:vAlign w:val="bottom"/>
            <w:vMerge w:val="restart"/>
          </w:tcPr>
          <w:p>
            <w:pPr>
              <w:spacing w:after="0"/>
              <w:rPr>
                <w:sz w:val="20"/>
                <w:szCs w:val="20"/>
                <w:color w:val="auto"/>
              </w:rPr>
            </w:pPr>
            <w:r>
              <w:rPr>
                <w:rFonts w:ascii="Courier New" w:cs="Courier New" w:eastAsia="Courier New" w:hAnsi="Courier New"/>
                <w:sz w:val="15"/>
                <w:szCs w:val="15"/>
                <w:color w:val="auto"/>
              </w:rPr>
              <w:t>LIABILITIES</w:t>
            </w:r>
          </w:p>
        </w:tc>
        <w:tc>
          <w:tcPr>
            <w:tcW w:w="12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3380" w:type="dxa"/>
            <w:vAlign w:val="bottom"/>
            <w:vMerge w:val="continue"/>
          </w:tcPr>
          <w:p>
            <w:pPr>
              <w:spacing w:after="0"/>
              <w:rPr>
                <w:sz w:val="7"/>
                <w:szCs w:val="7"/>
                <w:color w:val="auto"/>
              </w:rPr>
            </w:pPr>
          </w:p>
        </w:tc>
        <w:tc>
          <w:tcPr>
            <w:tcW w:w="4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52,589</w:t>
            </w:r>
          </w:p>
        </w:tc>
        <w:tc>
          <w:tcPr>
            <w:tcW w:w="440" w:type="dxa"/>
            <w:vAlign w:val="bottom"/>
          </w:tcPr>
          <w:p>
            <w:pPr>
              <w:spacing w:after="0"/>
              <w:rPr>
                <w:sz w:val="7"/>
                <w:szCs w:val="7"/>
                <w:color w:val="auto"/>
              </w:rPr>
            </w:pPr>
          </w:p>
        </w:tc>
        <w:tc>
          <w:tcPr>
            <w:tcW w:w="126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479</w:t>
            </w:r>
          </w:p>
        </w:tc>
        <w:tc>
          <w:tcPr>
            <w:tcW w:w="11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3.67%</w:t>
            </w:r>
          </w:p>
        </w:tc>
        <w:tc>
          <w:tcPr>
            <w:tcW w:w="2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55,694</w:t>
            </w:r>
          </w:p>
        </w:tc>
        <w:tc>
          <w:tcPr>
            <w:tcW w:w="170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533</w:t>
            </w:r>
          </w:p>
        </w:tc>
        <w:tc>
          <w:tcPr>
            <w:tcW w:w="1120" w:type="dxa"/>
            <w:vAlign w:val="bottom"/>
            <w:vMerge w:val="restart"/>
          </w:tcPr>
          <w:p>
            <w:pPr>
              <w:jc w:val="right"/>
              <w:ind w:right="167"/>
              <w:spacing w:after="0"/>
              <w:rPr>
                <w:sz w:val="20"/>
                <w:szCs w:val="20"/>
                <w:color w:val="auto"/>
              </w:rPr>
            </w:pPr>
            <w:r>
              <w:rPr>
                <w:rFonts w:ascii="Courier New" w:cs="Courier New" w:eastAsia="Courier New" w:hAnsi="Courier New"/>
                <w:sz w:val="15"/>
                <w:szCs w:val="15"/>
                <w:color w:val="auto"/>
              </w:rPr>
              <w:t>3.85%</w:t>
            </w:r>
          </w:p>
        </w:tc>
        <w:tc>
          <w:tcPr>
            <w:tcW w:w="0" w:type="dxa"/>
            <w:vAlign w:val="bottom"/>
          </w:tcPr>
          <w:p>
            <w:pPr>
              <w:spacing w:after="0"/>
              <w:rPr>
                <w:sz w:val="1"/>
                <w:szCs w:val="1"/>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Domestic Retail Deposits</w:t>
            </w:r>
          </w:p>
        </w:tc>
        <w:tc>
          <w:tcPr>
            <w:tcW w:w="4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Domestic Negotiable</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Certificates of Deposit</w:t>
            </w:r>
          </w:p>
        </w:tc>
        <w:tc>
          <w:tcPr>
            <w:tcW w:w="400" w:type="dxa"/>
            <w:vAlign w:val="bottom"/>
          </w:tcPr>
          <w:p>
            <w:pPr>
              <w:spacing w:after="0"/>
              <w:rPr>
                <w:sz w:val="14"/>
                <w:szCs w:val="14"/>
                <w:color w:val="auto"/>
              </w:rPr>
            </w:pPr>
          </w:p>
        </w:tc>
        <w:tc>
          <w:tcPr>
            <w:tcW w:w="8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10,671</w:t>
            </w:r>
          </w:p>
        </w:tc>
        <w:tc>
          <w:tcPr>
            <w:tcW w:w="440" w:type="dxa"/>
            <w:vAlign w:val="bottom"/>
          </w:tcPr>
          <w:p>
            <w:pPr>
              <w:spacing w:after="0"/>
              <w:rPr>
                <w:sz w:val="14"/>
                <w:szCs w:val="14"/>
                <w:color w:val="auto"/>
              </w:rPr>
            </w:pPr>
          </w:p>
        </w:tc>
        <w:tc>
          <w:tcPr>
            <w:tcW w:w="126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142</w:t>
            </w:r>
          </w:p>
        </w:tc>
        <w:tc>
          <w:tcPr>
            <w:tcW w:w="11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5.34%</w:t>
            </w:r>
          </w:p>
        </w:tc>
        <w:tc>
          <w:tcPr>
            <w:tcW w:w="280" w:type="dxa"/>
            <w:vAlign w:val="bottom"/>
          </w:tcPr>
          <w:p>
            <w:pPr>
              <w:spacing w:after="0"/>
              <w:rPr>
                <w:sz w:val="14"/>
                <w:szCs w:val="14"/>
                <w:color w:val="auto"/>
              </w:rPr>
            </w:pPr>
          </w:p>
        </w:tc>
        <w:tc>
          <w:tcPr>
            <w:tcW w:w="9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12,574</w:t>
            </w:r>
          </w:p>
        </w:tc>
        <w:tc>
          <w:tcPr>
            <w:tcW w:w="170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142</w:t>
            </w:r>
          </w:p>
        </w:tc>
        <w:tc>
          <w:tcPr>
            <w:tcW w:w="1120" w:type="dxa"/>
            <w:vAlign w:val="bottom"/>
            <w:vMerge w:val="restart"/>
          </w:tcPr>
          <w:p>
            <w:pPr>
              <w:jc w:val="right"/>
              <w:ind w:right="167"/>
              <w:spacing w:after="0"/>
              <w:rPr>
                <w:sz w:val="20"/>
                <w:szCs w:val="20"/>
                <w:color w:val="auto"/>
              </w:rPr>
            </w:pPr>
            <w:r>
              <w:rPr>
                <w:rFonts w:ascii="Courier New" w:cs="Courier New" w:eastAsia="Courier New" w:hAnsi="Courier New"/>
                <w:sz w:val="15"/>
                <w:szCs w:val="15"/>
                <w:color w:val="auto"/>
              </w:rPr>
              <w:t>4.51%</w:t>
            </w:r>
          </w:p>
        </w:tc>
        <w:tc>
          <w:tcPr>
            <w:tcW w:w="0" w:type="dxa"/>
            <w:vAlign w:val="bottom"/>
          </w:tcPr>
          <w:p>
            <w:pPr>
              <w:spacing w:after="0"/>
              <w:rPr>
                <w:sz w:val="1"/>
                <w:szCs w:val="1"/>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Other Deposits</w:t>
            </w:r>
          </w:p>
        </w:tc>
        <w:tc>
          <w:tcPr>
            <w:tcW w:w="4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Deposits in Foreign Offices</w:t>
            </w:r>
          </w:p>
        </w:tc>
        <w:tc>
          <w:tcPr>
            <w:tcW w:w="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61,119</w:t>
            </w:r>
          </w:p>
        </w:tc>
        <w:tc>
          <w:tcPr>
            <w:tcW w:w="440" w:type="dxa"/>
            <w:vAlign w:val="bottom"/>
          </w:tcPr>
          <w:p>
            <w:pPr>
              <w:spacing w:after="0"/>
              <w:rPr>
                <w:sz w:val="14"/>
                <w:szCs w:val="14"/>
                <w:color w:val="auto"/>
              </w:rPr>
            </w:pPr>
          </w:p>
        </w:tc>
        <w:tc>
          <w:tcPr>
            <w:tcW w:w="12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837</w:t>
            </w:r>
          </w:p>
        </w:tc>
        <w:tc>
          <w:tcPr>
            <w:tcW w:w="1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5.50%</w:t>
            </w:r>
          </w:p>
        </w:tc>
        <w:tc>
          <w:tcPr>
            <w:tcW w:w="2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64,067</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921</w:t>
            </w:r>
          </w:p>
        </w:tc>
        <w:tc>
          <w:tcPr>
            <w:tcW w:w="11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5.74%</w:t>
            </w:r>
          </w:p>
        </w:tc>
        <w:tc>
          <w:tcPr>
            <w:tcW w:w="0" w:type="dxa"/>
            <w:vAlign w:val="bottom"/>
          </w:tcPr>
          <w:p>
            <w:pPr>
              <w:spacing w:after="0"/>
              <w:rPr>
                <w:sz w:val="1"/>
                <w:szCs w:val="1"/>
                <w:color w:val="auto"/>
              </w:rPr>
            </w:pPr>
          </w:p>
        </w:tc>
      </w:tr>
      <w:tr>
        <w:trPr>
          <w:trHeight w:val="245"/>
        </w:trPr>
        <w:tc>
          <w:tcPr>
            <w:tcW w:w="33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Time and Savings</w:t>
            </w:r>
          </w:p>
        </w:tc>
        <w:tc>
          <w:tcPr>
            <w:tcW w:w="12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21"/>
                <w:szCs w:val="21"/>
                <w:color w:val="auto"/>
              </w:rPr>
            </w:pPr>
          </w:p>
        </w:tc>
        <w:tc>
          <w:tcPr>
            <w:tcW w:w="12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7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338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124,379</w:t>
            </w:r>
          </w:p>
        </w:tc>
        <w:tc>
          <w:tcPr>
            <w:tcW w:w="440" w:type="dxa"/>
            <w:vAlign w:val="bottom"/>
          </w:tcPr>
          <w:p>
            <w:pPr>
              <w:spacing w:after="0"/>
              <w:rPr>
                <w:sz w:val="7"/>
                <w:szCs w:val="7"/>
                <w:color w:val="auto"/>
              </w:rPr>
            </w:pPr>
          </w:p>
        </w:tc>
        <w:tc>
          <w:tcPr>
            <w:tcW w:w="126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1,458</w:t>
            </w:r>
          </w:p>
        </w:tc>
        <w:tc>
          <w:tcPr>
            <w:tcW w:w="11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4.72%</w:t>
            </w:r>
          </w:p>
        </w:tc>
        <w:tc>
          <w:tcPr>
            <w:tcW w:w="280" w:type="dxa"/>
            <w:vAlign w:val="bottom"/>
          </w:tcPr>
          <w:p>
            <w:pPr>
              <w:spacing w:after="0"/>
              <w:rPr>
                <w:sz w:val="7"/>
                <w:szCs w:val="7"/>
                <w:color w:val="auto"/>
              </w:rPr>
            </w:pPr>
          </w:p>
        </w:tc>
        <w:tc>
          <w:tcPr>
            <w:tcW w:w="9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132,335</w:t>
            </w:r>
          </w:p>
        </w:tc>
        <w:tc>
          <w:tcPr>
            <w:tcW w:w="170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1,596</w:t>
            </w:r>
          </w:p>
        </w:tc>
        <w:tc>
          <w:tcPr>
            <w:tcW w:w="1120" w:type="dxa"/>
            <w:vAlign w:val="bottom"/>
            <w:vMerge w:val="restart"/>
          </w:tcPr>
          <w:p>
            <w:pPr>
              <w:jc w:val="right"/>
              <w:ind w:right="167"/>
              <w:spacing w:after="0"/>
              <w:rPr>
                <w:sz w:val="20"/>
                <w:szCs w:val="20"/>
                <w:color w:val="auto"/>
              </w:rPr>
            </w:pPr>
            <w:r>
              <w:rPr>
                <w:rFonts w:ascii="Courier New" w:cs="Courier New" w:eastAsia="Courier New" w:hAnsi="Courier New"/>
                <w:sz w:val="15"/>
                <w:szCs w:val="15"/>
                <w:color w:val="auto"/>
              </w:rPr>
              <w:t>4.82%</w:t>
            </w:r>
          </w:p>
        </w:tc>
        <w:tc>
          <w:tcPr>
            <w:tcW w:w="0" w:type="dxa"/>
            <w:vAlign w:val="bottom"/>
          </w:tcPr>
          <w:p>
            <w:pPr>
              <w:spacing w:after="0"/>
              <w:rPr>
                <w:sz w:val="1"/>
                <w:szCs w:val="1"/>
                <w:color w:val="auto"/>
              </w:rPr>
            </w:pP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Deposits</w:t>
            </w:r>
          </w:p>
        </w:tc>
        <w:tc>
          <w:tcPr>
            <w:tcW w:w="4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380" w:type="dxa"/>
            <w:vAlign w:val="bottom"/>
            <w:vMerge w:val="restart"/>
          </w:tcPr>
          <w:p>
            <w:pPr>
              <w:spacing w:after="0"/>
              <w:rPr>
                <w:sz w:val="20"/>
                <w:szCs w:val="20"/>
                <w:color w:val="auto"/>
              </w:rPr>
            </w:pPr>
            <w:r>
              <w:rPr>
                <w:rFonts w:ascii="Courier New" w:cs="Courier New" w:eastAsia="Courier New" w:hAnsi="Courier New"/>
                <w:sz w:val="15"/>
                <w:szCs w:val="15"/>
                <w:color w:val="auto"/>
              </w:rPr>
              <w:t>Short-Term and Other Borrowings:</w:t>
            </w:r>
          </w:p>
        </w:tc>
        <w:tc>
          <w:tcPr>
            <w:tcW w:w="12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21"/>
                <w:szCs w:val="21"/>
                <w:color w:val="auto"/>
              </w:rPr>
            </w:pPr>
          </w:p>
        </w:tc>
        <w:tc>
          <w:tcPr>
            <w:tcW w:w="12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7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338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Federal Funds Purchased and</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Securities Sold Under</w:t>
            </w:r>
          </w:p>
        </w:tc>
        <w:tc>
          <w:tcPr>
            <w:tcW w:w="400" w:type="dxa"/>
            <w:vAlign w:val="bottom"/>
          </w:tcPr>
          <w:p>
            <w:pPr>
              <w:spacing w:after="0"/>
              <w:rPr>
                <w:sz w:val="14"/>
                <w:szCs w:val="14"/>
                <w:color w:val="auto"/>
              </w:rPr>
            </w:pPr>
          </w:p>
        </w:tc>
        <w:tc>
          <w:tcPr>
            <w:tcW w:w="8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52,222</w:t>
            </w:r>
          </w:p>
        </w:tc>
        <w:tc>
          <w:tcPr>
            <w:tcW w:w="440" w:type="dxa"/>
            <w:vAlign w:val="bottom"/>
          </w:tcPr>
          <w:p>
            <w:pPr>
              <w:spacing w:after="0"/>
              <w:rPr>
                <w:sz w:val="14"/>
                <w:szCs w:val="14"/>
                <w:color w:val="auto"/>
              </w:rPr>
            </w:pPr>
          </w:p>
        </w:tc>
        <w:tc>
          <w:tcPr>
            <w:tcW w:w="126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665</w:t>
            </w:r>
          </w:p>
        </w:tc>
        <w:tc>
          <w:tcPr>
            <w:tcW w:w="11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5.13%</w:t>
            </w:r>
          </w:p>
        </w:tc>
        <w:tc>
          <w:tcPr>
            <w:tcW w:w="280" w:type="dxa"/>
            <w:vAlign w:val="bottom"/>
          </w:tcPr>
          <w:p>
            <w:pPr>
              <w:spacing w:after="0"/>
              <w:rPr>
                <w:sz w:val="14"/>
                <w:szCs w:val="14"/>
                <w:color w:val="auto"/>
              </w:rPr>
            </w:pPr>
          </w:p>
        </w:tc>
        <w:tc>
          <w:tcPr>
            <w:tcW w:w="9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43,578</w:t>
            </w:r>
          </w:p>
        </w:tc>
        <w:tc>
          <w:tcPr>
            <w:tcW w:w="170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647</w:t>
            </w:r>
          </w:p>
        </w:tc>
        <w:tc>
          <w:tcPr>
            <w:tcW w:w="1120" w:type="dxa"/>
            <w:vAlign w:val="bottom"/>
            <w:vMerge w:val="restart"/>
          </w:tcPr>
          <w:p>
            <w:pPr>
              <w:jc w:val="right"/>
              <w:ind w:right="167"/>
              <w:spacing w:after="0"/>
              <w:rPr>
                <w:sz w:val="20"/>
                <w:szCs w:val="20"/>
                <w:color w:val="auto"/>
              </w:rPr>
            </w:pPr>
            <w:r>
              <w:rPr>
                <w:rFonts w:ascii="Courier New" w:cs="Courier New" w:eastAsia="Courier New" w:hAnsi="Courier New"/>
                <w:sz w:val="15"/>
                <w:szCs w:val="15"/>
                <w:color w:val="auto"/>
              </w:rPr>
              <w:t>5.95%</w:t>
            </w:r>
          </w:p>
        </w:tc>
        <w:tc>
          <w:tcPr>
            <w:tcW w:w="0" w:type="dxa"/>
            <w:vAlign w:val="bottom"/>
          </w:tcPr>
          <w:p>
            <w:pPr>
              <w:spacing w:after="0"/>
              <w:rPr>
                <w:sz w:val="1"/>
                <w:szCs w:val="1"/>
                <w:color w:val="auto"/>
              </w:rPr>
            </w:pP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Repurchase Agreements</w:t>
            </w:r>
          </w:p>
        </w:tc>
        <w:tc>
          <w:tcPr>
            <w:tcW w:w="4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Commercial Paper</w:t>
            </w:r>
          </w:p>
        </w:tc>
        <w:tc>
          <w:tcPr>
            <w:tcW w:w="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4,714</w:t>
            </w:r>
          </w:p>
        </w:tc>
        <w:tc>
          <w:tcPr>
            <w:tcW w:w="440" w:type="dxa"/>
            <w:vAlign w:val="bottom"/>
          </w:tcPr>
          <w:p>
            <w:pPr>
              <w:spacing w:after="0"/>
              <w:rPr>
                <w:sz w:val="14"/>
                <w:szCs w:val="14"/>
                <w:color w:val="auto"/>
              </w:rPr>
            </w:pPr>
          </w:p>
        </w:tc>
        <w:tc>
          <w:tcPr>
            <w:tcW w:w="12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59</w:t>
            </w:r>
          </w:p>
        </w:tc>
        <w:tc>
          <w:tcPr>
            <w:tcW w:w="1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5.09%</w:t>
            </w:r>
          </w:p>
        </w:tc>
        <w:tc>
          <w:tcPr>
            <w:tcW w:w="2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5,577</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83</w:t>
            </w:r>
          </w:p>
        </w:tc>
        <w:tc>
          <w:tcPr>
            <w:tcW w:w="11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5.98%</w:t>
            </w:r>
          </w:p>
        </w:tc>
        <w:tc>
          <w:tcPr>
            <w:tcW w:w="0" w:type="dxa"/>
            <w:vAlign w:val="bottom"/>
          </w:tcPr>
          <w:p>
            <w:pPr>
              <w:spacing w:after="0"/>
              <w:rPr>
                <w:sz w:val="1"/>
                <w:szCs w:val="1"/>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Borrowings (c)</w:t>
            </w:r>
          </w:p>
        </w:tc>
        <w:tc>
          <w:tcPr>
            <w:tcW w:w="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16,437</w:t>
            </w:r>
          </w:p>
        </w:tc>
        <w:tc>
          <w:tcPr>
            <w:tcW w:w="440" w:type="dxa"/>
            <w:vAlign w:val="bottom"/>
          </w:tcPr>
          <w:p>
            <w:pPr>
              <w:spacing w:after="0"/>
              <w:rPr>
                <w:sz w:val="14"/>
                <w:szCs w:val="14"/>
                <w:color w:val="auto"/>
              </w:rPr>
            </w:pPr>
          </w:p>
        </w:tc>
        <w:tc>
          <w:tcPr>
            <w:tcW w:w="12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363</w:t>
            </w:r>
          </w:p>
        </w:tc>
        <w:tc>
          <w:tcPr>
            <w:tcW w:w="1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8.85%</w:t>
            </w:r>
          </w:p>
        </w:tc>
        <w:tc>
          <w:tcPr>
            <w:tcW w:w="2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12,051</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308</w:t>
            </w:r>
          </w:p>
        </w:tc>
        <w:tc>
          <w:tcPr>
            <w:tcW w:w="11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10.25%</w:t>
            </w:r>
          </w:p>
        </w:tc>
        <w:tc>
          <w:tcPr>
            <w:tcW w:w="0" w:type="dxa"/>
            <w:vAlign w:val="bottom"/>
          </w:tcPr>
          <w:p>
            <w:pPr>
              <w:spacing w:after="0"/>
              <w:rPr>
                <w:sz w:val="1"/>
                <w:szCs w:val="1"/>
                <w:color w:val="auto"/>
              </w:rPr>
            </w:pPr>
          </w:p>
        </w:tc>
      </w:tr>
      <w:tr>
        <w:trPr>
          <w:trHeight w:val="245"/>
        </w:trPr>
        <w:tc>
          <w:tcPr>
            <w:tcW w:w="338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Total Short-Term and</w:t>
            </w:r>
          </w:p>
        </w:tc>
        <w:tc>
          <w:tcPr>
            <w:tcW w:w="12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21"/>
                <w:szCs w:val="21"/>
                <w:color w:val="auto"/>
              </w:rPr>
            </w:pPr>
          </w:p>
        </w:tc>
        <w:tc>
          <w:tcPr>
            <w:tcW w:w="12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7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338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73,373</w:t>
            </w:r>
          </w:p>
        </w:tc>
        <w:tc>
          <w:tcPr>
            <w:tcW w:w="440" w:type="dxa"/>
            <w:vAlign w:val="bottom"/>
          </w:tcPr>
          <w:p>
            <w:pPr>
              <w:spacing w:after="0"/>
              <w:rPr>
                <w:sz w:val="7"/>
                <w:szCs w:val="7"/>
                <w:color w:val="auto"/>
              </w:rPr>
            </w:pPr>
          </w:p>
        </w:tc>
        <w:tc>
          <w:tcPr>
            <w:tcW w:w="126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1,087</w:t>
            </w:r>
          </w:p>
        </w:tc>
        <w:tc>
          <w:tcPr>
            <w:tcW w:w="11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5.96%</w:t>
            </w:r>
          </w:p>
        </w:tc>
        <w:tc>
          <w:tcPr>
            <w:tcW w:w="280" w:type="dxa"/>
            <w:vAlign w:val="bottom"/>
          </w:tcPr>
          <w:p>
            <w:pPr>
              <w:spacing w:after="0"/>
              <w:rPr>
                <w:sz w:val="7"/>
                <w:szCs w:val="7"/>
                <w:color w:val="auto"/>
              </w:rPr>
            </w:pPr>
          </w:p>
        </w:tc>
        <w:tc>
          <w:tcPr>
            <w:tcW w:w="9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61,206</w:t>
            </w:r>
          </w:p>
        </w:tc>
        <w:tc>
          <w:tcPr>
            <w:tcW w:w="170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1,038</w:t>
            </w:r>
          </w:p>
        </w:tc>
        <w:tc>
          <w:tcPr>
            <w:tcW w:w="1120" w:type="dxa"/>
            <w:vAlign w:val="bottom"/>
            <w:vMerge w:val="restart"/>
          </w:tcPr>
          <w:p>
            <w:pPr>
              <w:jc w:val="right"/>
              <w:ind w:right="167"/>
              <w:spacing w:after="0"/>
              <w:rPr>
                <w:sz w:val="20"/>
                <w:szCs w:val="20"/>
                <w:color w:val="auto"/>
              </w:rPr>
            </w:pPr>
            <w:r>
              <w:rPr>
                <w:rFonts w:ascii="Courier New" w:cs="Courier New" w:eastAsia="Courier New" w:hAnsi="Courier New"/>
                <w:sz w:val="15"/>
                <w:szCs w:val="15"/>
                <w:color w:val="auto"/>
              </w:rPr>
              <w:t>6.79%</w:t>
            </w:r>
          </w:p>
        </w:tc>
        <w:tc>
          <w:tcPr>
            <w:tcW w:w="0" w:type="dxa"/>
            <w:vAlign w:val="bottom"/>
          </w:tcPr>
          <w:p>
            <w:pPr>
              <w:spacing w:after="0"/>
              <w:rPr>
                <w:sz w:val="1"/>
                <w:szCs w:val="1"/>
                <w:color w:val="auto"/>
              </w:rPr>
            </w:pPr>
          </w:p>
        </w:tc>
      </w:tr>
      <w:tr>
        <w:trPr>
          <w:trHeight w:val="168"/>
        </w:trPr>
        <w:tc>
          <w:tcPr>
            <w:tcW w:w="3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Borrowings</w:t>
            </w:r>
          </w:p>
        </w:tc>
        <w:tc>
          <w:tcPr>
            <w:tcW w:w="4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12,916</w:t>
            </w:r>
          </w:p>
        </w:tc>
        <w:tc>
          <w:tcPr>
            <w:tcW w:w="440" w:type="dxa"/>
            <w:vAlign w:val="bottom"/>
          </w:tcPr>
          <w:p>
            <w:pPr>
              <w:spacing w:after="0"/>
              <w:rPr>
                <w:sz w:val="14"/>
                <w:szCs w:val="14"/>
                <w:color w:val="auto"/>
              </w:rPr>
            </w:pPr>
          </w:p>
        </w:tc>
        <w:tc>
          <w:tcPr>
            <w:tcW w:w="12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221</w:t>
            </w:r>
          </w:p>
        </w:tc>
        <w:tc>
          <w:tcPr>
            <w:tcW w:w="1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6.86%</w:t>
            </w:r>
          </w:p>
        </w:tc>
        <w:tc>
          <w:tcPr>
            <w:tcW w:w="2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13,018</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238</w:t>
            </w:r>
          </w:p>
        </w:tc>
        <w:tc>
          <w:tcPr>
            <w:tcW w:w="11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7.33%</w:t>
            </w:r>
          </w:p>
        </w:tc>
        <w:tc>
          <w:tcPr>
            <w:tcW w:w="0" w:type="dxa"/>
            <w:vAlign w:val="bottom"/>
          </w:tcPr>
          <w:p>
            <w:pPr>
              <w:spacing w:after="0"/>
              <w:rPr>
                <w:sz w:val="1"/>
                <w:szCs w:val="1"/>
                <w:color w:val="auto"/>
              </w:rPr>
            </w:pPr>
          </w:p>
        </w:tc>
      </w:tr>
      <w:tr>
        <w:trPr>
          <w:trHeight w:val="168"/>
        </w:trPr>
        <w:tc>
          <w:tcPr>
            <w:tcW w:w="33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Interest-Bearing Liabilities</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5.28%</w:t>
            </w: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vMerge w:val="restart"/>
          </w:tcPr>
          <w:p>
            <w:pPr>
              <w:jc w:val="right"/>
              <w:ind w:right="167"/>
              <w:spacing w:after="0"/>
              <w:rPr>
                <w:sz w:val="20"/>
                <w:szCs w:val="20"/>
                <w:color w:val="auto"/>
              </w:rPr>
            </w:pPr>
            <w:r>
              <w:rPr>
                <w:rFonts w:ascii="Courier New" w:cs="Courier New" w:eastAsia="Courier New" w:hAnsi="Courier New"/>
                <w:sz w:val="15"/>
                <w:szCs w:val="15"/>
                <w:color w:val="auto"/>
              </w:rPr>
              <w:t>5.57%</w:t>
            </w:r>
          </w:p>
        </w:tc>
        <w:tc>
          <w:tcPr>
            <w:tcW w:w="0" w:type="dxa"/>
            <w:vAlign w:val="bottom"/>
          </w:tcPr>
          <w:p>
            <w:pPr>
              <w:spacing w:after="0"/>
              <w:rPr>
                <w:sz w:val="1"/>
                <w:szCs w:val="1"/>
                <w:color w:val="auto"/>
              </w:rPr>
            </w:pPr>
          </w:p>
        </w:tc>
      </w:tr>
      <w:tr>
        <w:trPr>
          <w:trHeight w:val="168"/>
        </w:trPr>
        <w:tc>
          <w:tcPr>
            <w:tcW w:w="33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210,668</w:t>
            </w:r>
          </w:p>
        </w:tc>
        <w:tc>
          <w:tcPr>
            <w:tcW w:w="440" w:type="dxa"/>
            <w:vAlign w:val="bottom"/>
          </w:tcPr>
          <w:p>
            <w:pPr>
              <w:spacing w:after="0"/>
              <w:rPr>
                <w:sz w:val="14"/>
                <w:szCs w:val="14"/>
                <w:color w:val="auto"/>
              </w:rPr>
            </w:pPr>
          </w:p>
        </w:tc>
        <w:tc>
          <w:tcPr>
            <w:tcW w:w="12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2,766</w:t>
            </w:r>
          </w:p>
        </w:tc>
        <w:tc>
          <w:tcPr>
            <w:tcW w:w="11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206,559</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2,872</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vMerge w:val="restart"/>
          </w:tcPr>
          <w:p>
            <w:pPr>
              <w:spacing w:after="0"/>
              <w:rPr>
                <w:sz w:val="20"/>
                <w:szCs w:val="20"/>
                <w:color w:val="auto"/>
              </w:rPr>
            </w:pPr>
            <w:r>
              <w:rPr>
                <w:rFonts w:ascii="Courier New" w:cs="Courier New" w:eastAsia="Courier New" w:hAnsi="Courier New"/>
                <w:sz w:val="15"/>
                <w:szCs w:val="15"/>
                <w:color w:val="auto"/>
              </w:rPr>
              <w:t>Demand Deposits</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43,396</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34,660</w:t>
            </w:r>
          </w:p>
        </w:tc>
        <w:tc>
          <w:tcPr>
            <w:tcW w:w="1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Risk Management Instruments</w:t>
            </w:r>
          </w:p>
        </w:tc>
        <w:tc>
          <w:tcPr>
            <w:tcW w:w="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28,518</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36,807</w:t>
            </w:r>
          </w:p>
        </w:tc>
        <w:tc>
          <w:tcPr>
            <w:tcW w:w="1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15,095</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10,999</w:t>
            </w:r>
          </w:p>
        </w:tc>
        <w:tc>
          <w:tcPr>
            <w:tcW w:w="1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vMerge w:val="restart"/>
          </w:tcPr>
          <w:p>
            <w:pPr>
              <w:spacing w:after="0"/>
              <w:rPr>
                <w:sz w:val="20"/>
                <w:szCs w:val="20"/>
                <w:color w:val="auto"/>
              </w:rPr>
            </w:pPr>
            <w:r>
              <w:rPr>
                <w:rFonts w:ascii="Courier New" w:cs="Courier New" w:eastAsia="Courier New" w:hAnsi="Courier New"/>
                <w:sz w:val="15"/>
                <w:szCs w:val="15"/>
                <w:color w:val="auto"/>
              </w:rPr>
              <w:t>Total Liabilities</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297,677</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289,025</w:t>
            </w:r>
          </w:p>
        </w:tc>
        <w:tc>
          <w:tcPr>
            <w:tcW w:w="1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380" w:type="dxa"/>
            <w:vAlign w:val="bottom"/>
            <w:vMerge w:val="restart"/>
          </w:tcPr>
          <w:p>
            <w:pPr>
              <w:spacing w:after="0"/>
              <w:rPr>
                <w:sz w:val="20"/>
                <w:szCs w:val="20"/>
                <w:color w:val="auto"/>
              </w:rPr>
            </w:pPr>
            <w:r>
              <w:rPr>
                <w:rFonts w:ascii="Courier New" w:cs="Courier New" w:eastAsia="Courier New" w:hAnsi="Courier New"/>
                <w:sz w:val="15"/>
                <w:szCs w:val="15"/>
                <w:color w:val="auto"/>
              </w:rPr>
              <w:t>STOCKHOLDERS' EQUITY</w:t>
            </w:r>
          </w:p>
        </w:tc>
        <w:tc>
          <w:tcPr>
            <w:tcW w:w="12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338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2,650</w:t>
            </w:r>
          </w:p>
        </w:tc>
        <w:tc>
          <w:tcPr>
            <w:tcW w:w="4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2,773</w:t>
            </w:r>
          </w:p>
        </w:tc>
        <w:tc>
          <w:tcPr>
            <w:tcW w:w="17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w:t>
            </w:r>
          </w:p>
        </w:tc>
        <w:tc>
          <w:tcPr>
            <w:tcW w:w="4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Stockholders' Equity</w:t>
            </w:r>
          </w:p>
        </w:tc>
        <w:tc>
          <w:tcPr>
            <w:tcW w:w="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17,252</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16,548</w:t>
            </w:r>
          </w:p>
        </w:tc>
        <w:tc>
          <w:tcPr>
            <w:tcW w:w="1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Stockholders' Equity</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19,902</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19,321</w:t>
            </w:r>
          </w:p>
        </w:tc>
        <w:tc>
          <w:tcPr>
            <w:tcW w:w="1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38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Total Liabilities and</w:t>
            </w:r>
          </w:p>
        </w:tc>
        <w:tc>
          <w:tcPr>
            <w:tcW w:w="12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3380" w:type="dxa"/>
            <w:vAlign w:val="bottom"/>
            <w:vMerge w:val="continue"/>
          </w:tcPr>
          <w:p>
            <w:pPr>
              <w:spacing w:after="0"/>
              <w:rPr>
                <w:sz w:val="7"/>
                <w:szCs w:val="7"/>
                <w:color w:val="auto"/>
              </w:rPr>
            </w:pPr>
          </w:p>
        </w:tc>
        <w:tc>
          <w:tcPr>
            <w:tcW w:w="4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317,579</w:t>
            </w:r>
          </w:p>
        </w:tc>
        <w:tc>
          <w:tcPr>
            <w:tcW w:w="4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308,346</w:t>
            </w:r>
          </w:p>
        </w:tc>
        <w:tc>
          <w:tcPr>
            <w:tcW w:w="17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3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4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380" w:type="dxa"/>
            <w:vAlign w:val="bottom"/>
            <w:vMerge w:val="restart"/>
          </w:tcPr>
          <w:p>
            <w:pPr>
              <w:spacing w:after="0"/>
              <w:rPr>
                <w:sz w:val="20"/>
                <w:szCs w:val="20"/>
                <w:color w:val="auto"/>
              </w:rPr>
            </w:pPr>
            <w:r>
              <w:rPr>
                <w:rFonts w:ascii="Courier New" w:cs="Courier New" w:eastAsia="Courier New" w:hAnsi="Courier New"/>
                <w:sz w:val="15"/>
                <w:szCs w:val="15"/>
                <w:color w:val="auto"/>
              </w:rPr>
              <w:t>INTEREST RATE SPREAD</w:t>
            </w:r>
          </w:p>
        </w:tc>
        <w:tc>
          <w:tcPr>
            <w:tcW w:w="12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2.23%</w:t>
            </w:r>
          </w:p>
        </w:tc>
        <w:tc>
          <w:tcPr>
            <w:tcW w:w="12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700" w:type="dxa"/>
            <w:vAlign w:val="bottom"/>
          </w:tcPr>
          <w:p>
            <w:pPr>
              <w:spacing w:after="0"/>
              <w:rPr>
                <w:sz w:val="21"/>
                <w:szCs w:val="21"/>
                <w:color w:val="auto"/>
              </w:rPr>
            </w:pPr>
          </w:p>
        </w:tc>
        <w:tc>
          <w:tcPr>
            <w:tcW w:w="1120" w:type="dxa"/>
            <w:vAlign w:val="bottom"/>
            <w:vMerge w:val="restart"/>
          </w:tcPr>
          <w:p>
            <w:pPr>
              <w:jc w:val="right"/>
              <w:ind w:right="167"/>
              <w:spacing w:after="0"/>
              <w:rPr>
                <w:sz w:val="20"/>
                <w:szCs w:val="20"/>
                <w:color w:val="auto"/>
              </w:rPr>
            </w:pPr>
            <w:r>
              <w:rPr>
                <w:rFonts w:ascii="Courier New" w:cs="Courier New" w:eastAsia="Courier New" w:hAnsi="Courier New"/>
                <w:sz w:val="15"/>
                <w:szCs w:val="15"/>
                <w:color w:val="auto"/>
              </w:rPr>
              <w:t>2.60%</w:t>
            </w:r>
          </w:p>
        </w:tc>
        <w:tc>
          <w:tcPr>
            <w:tcW w:w="0" w:type="dxa"/>
            <w:vAlign w:val="bottom"/>
          </w:tcPr>
          <w:p>
            <w:pPr>
              <w:spacing w:after="0"/>
              <w:rPr>
                <w:sz w:val="1"/>
                <w:szCs w:val="1"/>
                <w:color w:val="auto"/>
              </w:rPr>
            </w:pPr>
          </w:p>
        </w:tc>
      </w:tr>
      <w:tr>
        <w:trPr>
          <w:trHeight w:val="91"/>
        </w:trPr>
        <w:tc>
          <w:tcPr>
            <w:tcW w:w="338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3380" w:type="dxa"/>
            <w:vAlign w:val="bottom"/>
            <w:vMerge w:val="restart"/>
          </w:tcPr>
          <w:p>
            <w:pPr>
              <w:spacing w:after="0"/>
              <w:rPr>
                <w:sz w:val="20"/>
                <w:szCs w:val="20"/>
                <w:color w:val="auto"/>
              </w:rPr>
            </w:pPr>
            <w:r>
              <w:rPr>
                <w:rFonts w:ascii="Courier New" w:cs="Courier New" w:eastAsia="Courier New" w:hAnsi="Courier New"/>
                <w:sz w:val="15"/>
                <w:szCs w:val="15"/>
                <w:color w:val="auto"/>
              </w:rPr>
              <w:t>NET INTEREST INCOME AND NET</w:t>
            </w: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38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YIELD ON INTEREST-EARNING</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2,035(a)</w:t>
            </w:r>
          </w:p>
        </w:tc>
        <w:tc>
          <w:tcPr>
            <w:tcW w:w="11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3.18%</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$ 2,040(a)</w:t>
            </w:r>
          </w:p>
        </w:tc>
        <w:tc>
          <w:tcPr>
            <w:tcW w:w="1120" w:type="dxa"/>
            <w:vAlign w:val="bottom"/>
            <w:vMerge w:val="restart"/>
          </w:tcPr>
          <w:p>
            <w:pPr>
              <w:jc w:val="right"/>
              <w:ind w:right="167"/>
              <w:spacing w:after="0"/>
              <w:rPr>
                <w:sz w:val="20"/>
                <w:szCs w:val="20"/>
                <w:color w:val="auto"/>
              </w:rPr>
            </w:pPr>
            <w:r>
              <w:rPr>
                <w:rFonts w:ascii="Courier New" w:cs="Courier New" w:eastAsia="Courier New" w:hAnsi="Courier New"/>
                <w:sz w:val="15"/>
                <w:szCs w:val="15"/>
                <w:color w:val="auto"/>
              </w:rPr>
              <w:t>3.39%</w:t>
            </w:r>
          </w:p>
        </w:tc>
        <w:tc>
          <w:tcPr>
            <w:tcW w:w="0" w:type="dxa"/>
            <w:vAlign w:val="bottom"/>
          </w:tcPr>
          <w:p>
            <w:pPr>
              <w:spacing w:after="0"/>
              <w:rPr>
                <w:sz w:val="1"/>
                <w:szCs w:val="1"/>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ASSETS</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0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7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jc w:val="both"/>
        <w:ind w:left="540" w:right="4540" w:hanging="530"/>
        <w:spacing w:after="0" w:line="249" w:lineRule="auto"/>
        <w:tabs>
          <w:tab w:leader="none" w:pos="5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 pro forma adjustment to the net interest income amount included in the Statement of Income to permit comparisons of yields on tax-exempt and taxable assets.</w:t>
      </w:r>
    </w:p>
    <w:p>
      <w:pPr>
        <w:spacing w:after="0" w:line="1" w:lineRule="exact"/>
        <w:rPr>
          <w:rFonts w:ascii="Courier New" w:cs="Courier New" w:eastAsia="Courier New" w:hAnsi="Courier New"/>
          <w:sz w:val="15"/>
          <w:szCs w:val="15"/>
          <w:color w:val="auto"/>
        </w:rPr>
      </w:pPr>
    </w:p>
    <w:p>
      <w:pPr>
        <w:jc w:val="both"/>
        <w:ind w:left="540" w:right="4540" w:hanging="530"/>
        <w:spacing w:after="0" w:line="237" w:lineRule="auto"/>
        <w:tabs>
          <w:tab w:leader="none" w:pos="5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three months ended June 30, 1996 and June 30, 1995, the annualized rate for securities available-for-sale based on historical cost was 6.32% and 7.36%, respectively.</w:t>
      </w:r>
    </w:p>
    <w:p>
      <w:pPr>
        <w:spacing w:after="0" w:line="1" w:lineRule="exact"/>
        <w:rPr>
          <w:rFonts w:ascii="Courier New" w:cs="Courier New" w:eastAsia="Courier New" w:hAnsi="Courier New"/>
          <w:sz w:val="15"/>
          <w:szCs w:val="15"/>
          <w:color w:val="auto"/>
        </w:rPr>
      </w:pPr>
    </w:p>
    <w:p>
      <w:pPr>
        <w:ind w:left="540" w:hanging="530"/>
        <w:spacing w:after="0"/>
        <w:tabs>
          <w:tab w:leader="none" w:pos="5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securities sold but not yet purchased.</w:t>
      </w: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1540"/>
          </w:cols>
          <w:pgMar w:left="220" w:top="1102" w:right="139" w:bottom="705" w:gutter="0" w:footer="0" w:header="0"/>
        </w:sectPr>
      </w:pPr>
    </w:p>
    <w:bookmarkStart w:id="45" w:name="page46"/>
    <w:bookmarkEnd w:id="45"/>
    <w:p>
      <w:pPr>
        <w:jc w:val="center"/>
        <w:ind w:right="4520"/>
        <w:spacing w:after="0"/>
        <w:rPr>
          <w:sz w:val="20"/>
          <w:szCs w:val="20"/>
          <w:color w:val="auto"/>
        </w:rPr>
      </w:pPr>
      <w:r>
        <w:rPr>
          <w:rFonts w:ascii="Courier New" w:cs="Courier New" w:eastAsia="Courier New" w:hAnsi="Courier New"/>
          <w:sz w:val="15"/>
          <w:szCs w:val="15"/>
          <w:color w:val="auto"/>
        </w:rPr>
        <w:t>The Chase Manhattan Corporation and Subsidiaries</w:t>
      </w:r>
    </w:p>
    <w:p>
      <w:pPr>
        <w:spacing w:after="0" w:line="23"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color w:val="auto"/>
        </w:rPr>
        <w:t>Average Consolidated Balance Sheet, Interest and Rates</w:t>
      </w:r>
    </w:p>
    <w:p>
      <w:pPr>
        <w:jc w:val="center"/>
        <w:ind w:right="4520"/>
        <w:spacing w:after="0"/>
        <w:rPr>
          <w:sz w:val="20"/>
          <w:szCs w:val="20"/>
          <w:color w:val="auto"/>
        </w:rPr>
      </w:pPr>
      <w:r>
        <w:rPr>
          <w:rFonts w:ascii="Courier New" w:cs="Courier New" w:eastAsia="Courier New" w:hAnsi="Courier New"/>
          <w:sz w:val="15"/>
          <w:szCs w:val="15"/>
          <w:color w:val="auto"/>
        </w:rPr>
        <w:t>(Taxable-Equivalent Interest and Rates;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rPr>
              <w:t>Ended</w:t>
            </w: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Six Months</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Ended</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June 30,</w:t>
            </w:r>
          </w:p>
        </w:tc>
        <w:tc>
          <w:tcPr>
            <w:tcW w:w="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1996</w:t>
            </w: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June 30,</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1995</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70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w w:val="97"/>
              </w:rPr>
              <w:t>-----------------------------------------</w:t>
            </w:r>
          </w:p>
        </w:tc>
        <w:tc>
          <w:tcPr>
            <w:tcW w:w="280" w:type="dxa"/>
            <w:vAlign w:val="bottom"/>
          </w:tcPr>
          <w:p>
            <w:pPr>
              <w:spacing w:after="0"/>
              <w:rPr>
                <w:sz w:val="14"/>
                <w:szCs w:val="14"/>
                <w:color w:val="auto"/>
              </w:rPr>
            </w:pPr>
          </w:p>
        </w:tc>
        <w:tc>
          <w:tcPr>
            <w:tcW w:w="378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68"/>
        </w:trPr>
        <w:tc>
          <w:tcPr>
            <w:tcW w:w="3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Average</w:t>
            </w:r>
          </w:p>
        </w:tc>
        <w:tc>
          <w:tcPr>
            <w:tcW w:w="400" w:type="dxa"/>
            <w:vAlign w:val="bottom"/>
          </w:tcPr>
          <w:p>
            <w:pPr>
              <w:spacing w:after="0"/>
              <w:rPr>
                <w:sz w:val="14"/>
                <w:szCs w:val="14"/>
                <w:color w:val="auto"/>
              </w:rPr>
            </w:pPr>
          </w:p>
        </w:tc>
        <w:tc>
          <w:tcPr>
            <w:tcW w:w="1220" w:type="dxa"/>
            <w:vAlign w:val="bottom"/>
            <w:gridSpan w:val="2"/>
            <w:vMerge w:val="restart"/>
          </w:tcPr>
          <w:p>
            <w:pPr>
              <w:jc w:val="right"/>
              <w:ind w:right="407"/>
              <w:spacing w:after="0"/>
              <w:rPr>
                <w:sz w:val="20"/>
                <w:szCs w:val="20"/>
                <w:color w:val="auto"/>
              </w:rPr>
            </w:pPr>
            <w:r>
              <w:rPr>
                <w:rFonts w:ascii="Courier New" w:cs="Courier New" w:eastAsia="Courier New" w:hAnsi="Courier New"/>
                <w:sz w:val="15"/>
                <w:szCs w:val="15"/>
                <w:color w:val="auto"/>
                <w:w w:val="99"/>
              </w:rPr>
              <w:t>Interest</w:t>
            </w:r>
          </w:p>
        </w:tc>
        <w:tc>
          <w:tcPr>
            <w:tcW w:w="12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Rate</w:t>
            </w:r>
          </w:p>
        </w:tc>
        <w:tc>
          <w:tcPr>
            <w:tcW w:w="280" w:type="dxa"/>
            <w:vAlign w:val="bottom"/>
          </w:tcPr>
          <w:p>
            <w:pPr>
              <w:spacing w:after="0"/>
              <w:rPr>
                <w:sz w:val="14"/>
                <w:szCs w:val="14"/>
                <w:color w:val="auto"/>
              </w:rPr>
            </w:pP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Average</w:t>
            </w:r>
          </w:p>
        </w:tc>
        <w:tc>
          <w:tcPr>
            <w:tcW w:w="1620" w:type="dxa"/>
            <w:vAlign w:val="bottom"/>
            <w:gridSpan w:val="2"/>
            <w:vMerge w:val="restart"/>
          </w:tcPr>
          <w:p>
            <w:pPr>
              <w:ind w:left="440"/>
              <w:spacing w:after="0"/>
              <w:rPr>
                <w:sz w:val="20"/>
                <w:szCs w:val="20"/>
                <w:color w:val="auto"/>
              </w:rPr>
            </w:pPr>
            <w:r>
              <w:rPr>
                <w:rFonts w:ascii="Courier New" w:cs="Courier New" w:eastAsia="Courier New" w:hAnsi="Courier New"/>
                <w:sz w:val="15"/>
                <w:szCs w:val="15"/>
                <w:color w:val="auto"/>
              </w:rPr>
              <w:t>Interest</w:t>
            </w:r>
          </w:p>
        </w:tc>
        <w:tc>
          <w:tcPr>
            <w:tcW w:w="11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Rate</w:t>
            </w:r>
          </w:p>
        </w:tc>
        <w:tc>
          <w:tcPr>
            <w:tcW w:w="0" w:type="dxa"/>
            <w:vAlign w:val="bottom"/>
          </w:tcPr>
          <w:p>
            <w:pPr>
              <w:spacing w:after="0"/>
              <w:rPr>
                <w:sz w:val="1"/>
                <w:szCs w:val="1"/>
                <w:color w:val="auto"/>
              </w:rPr>
            </w:pPr>
          </w:p>
        </w:tc>
      </w:tr>
      <w:tr>
        <w:trPr>
          <w:trHeight w:val="245"/>
        </w:trPr>
        <w:tc>
          <w:tcPr>
            <w:tcW w:w="3380" w:type="dxa"/>
            <w:vAlign w:val="bottom"/>
            <w:vMerge w:val="restart"/>
          </w:tcPr>
          <w:p>
            <w:pPr>
              <w:spacing w:after="0"/>
              <w:rPr>
                <w:sz w:val="20"/>
                <w:szCs w:val="20"/>
                <w:color w:val="auto"/>
              </w:rPr>
            </w:pPr>
            <w:r>
              <w:rPr>
                <w:rFonts w:ascii="Courier New" w:cs="Courier New" w:eastAsia="Courier New" w:hAnsi="Courier New"/>
                <w:sz w:val="15"/>
                <w:szCs w:val="15"/>
                <w:color w:val="auto"/>
              </w:rPr>
              <w:t>ASSETS</w:t>
            </w:r>
          </w:p>
        </w:tc>
        <w:tc>
          <w:tcPr>
            <w:tcW w:w="400" w:type="dxa"/>
            <w:vAlign w:val="bottom"/>
          </w:tcPr>
          <w:p>
            <w:pPr>
              <w:spacing w:after="0"/>
              <w:rPr>
                <w:sz w:val="21"/>
                <w:szCs w:val="21"/>
                <w:color w:val="auto"/>
              </w:rPr>
            </w:pPr>
          </w:p>
        </w:tc>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Balance</w:t>
            </w:r>
          </w:p>
        </w:tc>
        <w:tc>
          <w:tcPr>
            <w:tcW w:w="40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w w:val="98"/>
              </w:rPr>
              <w:t>(Annualized)</w:t>
            </w:r>
          </w:p>
        </w:tc>
        <w:tc>
          <w:tcPr>
            <w:tcW w:w="280" w:type="dxa"/>
            <w:vAlign w:val="bottom"/>
          </w:tcPr>
          <w:p>
            <w:pPr>
              <w:spacing w:after="0"/>
              <w:rPr>
                <w:sz w:val="21"/>
                <w:szCs w:val="21"/>
                <w:color w:val="auto"/>
              </w:rPr>
            </w:pP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rPr>
              <w:t>Balance</w:t>
            </w:r>
          </w:p>
        </w:tc>
        <w:tc>
          <w:tcPr>
            <w:tcW w:w="1620" w:type="dxa"/>
            <w:vAlign w:val="bottom"/>
            <w:gridSpan w:val="2"/>
            <w:vMerge w:val="continue"/>
          </w:tcPr>
          <w:p>
            <w:pPr>
              <w:spacing w:after="0"/>
              <w:rPr>
                <w:sz w:val="21"/>
                <w:szCs w:val="21"/>
                <w:color w:val="auto"/>
              </w:rPr>
            </w:pPr>
          </w:p>
        </w:tc>
        <w:tc>
          <w:tcPr>
            <w:tcW w:w="1160" w:type="dxa"/>
            <w:vAlign w:val="bottom"/>
          </w:tcPr>
          <w:p>
            <w:pPr>
              <w:ind w:left="120"/>
              <w:spacing w:after="0"/>
              <w:rPr>
                <w:sz w:val="20"/>
                <w:szCs w:val="20"/>
                <w:color w:val="auto"/>
              </w:rPr>
            </w:pPr>
            <w:r>
              <w:rPr>
                <w:rFonts w:ascii="Courier New" w:cs="Courier New" w:eastAsia="Courier New" w:hAnsi="Courier New"/>
                <w:sz w:val="15"/>
                <w:szCs w:val="15"/>
                <w:color w:val="auto"/>
                <w:w w:val="94"/>
              </w:rPr>
              <w:t>(Annualized)</w:t>
            </w:r>
          </w:p>
        </w:tc>
        <w:tc>
          <w:tcPr>
            <w:tcW w:w="0" w:type="dxa"/>
            <w:vAlign w:val="bottom"/>
          </w:tcPr>
          <w:p>
            <w:pPr>
              <w:spacing w:after="0"/>
              <w:rPr>
                <w:sz w:val="1"/>
                <w:szCs w:val="1"/>
                <w:color w:val="auto"/>
              </w:rPr>
            </w:pPr>
          </w:p>
        </w:tc>
      </w:tr>
      <w:tr>
        <w:trPr>
          <w:trHeight w:val="168"/>
        </w:trPr>
        <w:tc>
          <w:tcPr>
            <w:tcW w:w="33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3380" w:type="dxa"/>
            <w:vAlign w:val="bottom"/>
          </w:tcPr>
          <w:p>
            <w:pPr>
              <w:spacing w:after="0"/>
              <w:rPr>
                <w:sz w:val="20"/>
                <w:szCs w:val="20"/>
                <w:color w:val="auto"/>
              </w:rPr>
            </w:pPr>
            <w:r>
              <w:rPr>
                <w:rFonts w:ascii="Courier New" w:cs="Courier New" w:eastAsia="Courier New" w:hAnsi="Courier New"/>
                <w:sz w:val="15"/>
                <w:szCs w:val="15"/>
                <w:color w:val="auto"/>
              </w:rPr>
              <w:t>Deposits with Banks</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7,772</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328</w:t>
            </w:r>
          </w:p>
        </w:tc>
        <w:tc>
          <w:tcPr>
            <w:tcW w:w="600" w:type="dxa"/>
            <w:vAlign w:val="bottom"/>
          </w:tcPr>
          <w:p>
            <w:pPr>
              <w:spacing w:after="0"/>
              <w:rPr>
                <w:sz w:val="22"/>
                <w:szCs w:val="22"/>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8.48%</w:t>
            </w:r>
          </w:p>
        </w:tc>
        <w:tc>
          <w:tcPr>
            <w:tcW w:w="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11,884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443</w:t>
            </w:r>
          </w:p>
        </w:tc>
        <w:tc>
          <w:tcPr>
            <w:tcW w:w="620" w:type="dxa"/>
            <w:vAlign w:val="bottom"/>
          </w:tcPr>
          <w:p>
            <w:pPr>
              <w:spacing w:after="0"/>
              <w:rPr>
                <w:sz w:val="22"/>
                <w:szCs w:val="22"/>
                <w:color w:val="auto"/>
              </w:rPr>
            </w:pPr>
          </w:p>
        </w:tc>
        <w:tc>
          <w:tcPr>
            <w:tcW w:w="1160" w:type="dxa"/>
            <w:vAlign w:val="bottom"/>
          </w:tcPr>
          <w:p>
            <w:pPr>
              <w:ind w:left="480"/>
              <w:spacing w:after="0"/>
              <w:rPr>
                <w:sz w:val="20"/>
                <w:szCs w:val="20"/>
                <w:color w:val="auto"/>
              </w:rPr>
            </w:pPr>
            <w:r>
              <w:rPr>
                <w:rFonts w:ascii="Courier New" w:cs="Courier New" w:eastAsia="Courier New" w:hAnsi="Courier New"/>
                <w:sz w:val="15"/>
                <w:szCs w:val="15"/>
                <w:color w:val="auto"/>
              </w:rPr>
              <w:t>7.51%</w:t>
            </w:r>
          </w:p>
        </w:tc>
        <w:tc>
          <w:tcPr>
            <w:tcW w:w="0" w:type="dxa"/>
            <w:vAlign w:val="bottom"/>
          </w:tcPr>
          <w:p>
            <w:pPr>
              <w:spacing w:after="0"/>
              <w:rPr>
                <w:sz w:val="1"/>
                <w:szCs w:val="1"/>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Sold and</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Securities Purchased Under</w:t>
            </w:r>
          </w:p>
        </w:tc>
        <w:tc>
          <w:tcPr>
            <w:tcW w:w="400" w:type="dxa"/>
            <w:vAlign w:val="bottom"/>
          </w:tcPr>
          <w:p>
            <w:pPr>
              <w:spacing w:after="0"/>
              <w:rPr>
                <w:sz w:val="14"/>
                <w:szCs w:val="14"/>
                <w:color w:val="auto"/>
              </w:rPr>
            </w:pPr>
          </w:p>
        </w:tc>
        <w:tc>
          <w:tcPr>
            <w:tcW w:w="8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28,075</w:t>
            </w:r>
          </w:p>
        </w:tc>
        <w:tc>
          <w:tcPr>
            <w:tcW w:w="4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1,015</w:t>
            </w:r>
          </w:p>
        </w:tc>
        <w:tc>
          <w:tcPr>
            <w:tcW w:w="600" w:type="dxa"/>
            <w:vAlign w:val="bottom"/>
          </w:tcPr>
          <w:p>
            <w:pPr>
              <w:spacing w:after="0"/>
              <w:rPr>
                <w:sz w:val="14"/>
                <w:szCs w:val="14"/>
                <w:color w:val="auto"/>
              </w:rPr>
            </w:pPr>
          </w:p>
        </w:tc>
        <w:tc>
          <w:tcPr>
            <w:tcW w:w="12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7.27%</w:t>
            </w:r>
          </w:p>
        </w:tc>
        <w:tc>
          <w:tcPr>
            <w:tcW w:w="280" w:type="dxa"/>
            <w:vAlign w:val="bottom"/>
          </w:tcPr>
          <w:p>
            <w:pPr>
              <w:spacing w:after="0"/>
              <w:rPr>
                <w:sz w:val="14"/>
                <w:szCs w:val="14"/>
                <w:color w:val="auto"/>
              </w:rPr>
            </w:pPr>
          </w:p>
        </w:tc>
        <w:tc>
          <w:tcPr>
            <w:tcW w:w="10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29,694</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950</w:t>
            </w:r>
          </w:p>
        </w:tc>
        <w:tc>
          <w:tcPr>
            <w:tcW w:w="620" w:type="dxa"/>
            <w:vAlign w:val="bottom"/>
          </w:tcPr>
          <w:p>
            <w:pPr>
              <w:spacing w:after="0"/>
              <w:rPr>
                <w:sz w:val="14"/>
                <w:szCs w:val="14"/>
                <w:color w:val="auto"/>
              </w:rPr>
            </w:pPr>
          </w:p>
        </w:tc>
        <w:tc>
          <w:tcPr>
            <w:tcW w:w="1160" w:type="dxa"/>
            <w:vAlign w:val="bottom"/>
            <w:vMerge w:val="restart"/>
          </w:tcPr>
          <w:p>
            <w:pPr>
              <w:ind w:left="480"/>
              <w:spacing w:after="0"/>
              <w:rPr>
                <w:sz w:val="20"/>
                <w:szCs w:val="20"/>
                <w:color w:val="auto"/>
              </w:rPr>
            </w:pPr>
            <w:r>
              <w:rPr>
                <w:rFonts w:ascii="Courier New" w:cs="Courier New" w:eastAsia="Courier New" w:hAnsi="Courier New"/>
                <w:sz w:val="15"/>
                <w:szCs w:val="15"/>
                <w:color w:val="auto"/>
              </w:rPr>
              <w:t>6.45%</w:t>
            </w:r>
          </w:p>
        </w:tc>
        <w:tc>
          <w:tcPr>
            <w:tcW w:w="0" w:type="dxa"/>
            <w:vAlign w:val="bottom"/>
          </w:tcPr>
          <w:p>
            <w:pPr>
              <w:spacing w:after="0"/>
              <w:rPr>
                <w:sz w:val="1"/>
                <w:szCs w:val="1"/>
                <w:color w:val="auto"/>
              </w:rPr>
            </w:pPr>
          </w:p>
        </w:tc>
      </w:tr>
      <w:tr>
        <w:trPr>
          <w:trHeight w:val="168"/>
        </w:trPr>
        <w:tc>
          <w:tcPr>
            <w:tcW w:w="3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Resale Agreements</w:t>
            </w:r>
          </w:p>
        </w:tc>
        <w:tc>
          <w:tcPr>
            <w:tcW w:w="4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 Assets-Debt and Equity</w:t>
            </w:r>
          </w:p>
        </w:tc>
        <w:tc>
          <w:tcPr>
            <w:tcW w:w="400" w:type="dxa"/>
            <w:vAlign w:val="bottom"/>
          </w:tcPr>
          <w:p>
            <w:pPr>
              <w:spacing w:after="0"/>
              <w:rPr>
                <w:sz w:val="14"/>
                <w:szCs w:val="14"/>
                <w:color w:val="auto"/>
              </w:rPr>
            </w:pPr>
          </w:p>
        </w:tc>
        <w:tc>
          <w:tcPr>
            <w:tcW w:w="8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27,291</w:t>
            </w:r>
          </w:p>
        </w:tc>
        <w:tc>
          <w:tcPr>
            <w:tcW w:w="4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835</w:t>
            </w:r>
          </w:p>
        </w:tc>
        <w:tc>
          <w:tcPr>
            <w:tcW w:w="600" w:type="dxa"/>
            <w:vAlign w:val="bottom"/>
          </w:tcPr>
          <w:p>
            <w:pPr>
              <w:spacing w:after="0"/>
              <w:rPr>
                <w:sz w:val="14"/>
                <w:szCs w:val="14"/>
                <w:color w:val="auto"/>
              </w:rPr>
            </w:pPr>
          </w:p>
        </w:tc>
        <w:tc>
          <w:tcPr>
            <w:tcW w:w="12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6.15%</w:t>
            </w:r>
          </w:p>
        </w:tc>
        <w:tc>
          <w:tcPr>
            <w:tcW w:w="280" w:type="dxa"/>
            <w:vAlign w:val="bottom"/>
          </w:tcPr>
          <w:p>
            <w:pPr>
              <w:spacing w:after="0"/>
              <w:rPr>
                <w:sz w:val="14"/>
                <w:szCs w:val="14"/>
                <w:color w:val="auto"/>
              </w:rPr>
            </w:pPr>
          </w:p>
        </w:tc>
        <w:tc>
          <w:tcPr>
            <w:tcW w:w="10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19,153</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702</w:t>
            </w:r>
          </w:p>
        </w:tc>
        <w:tc>
          <w:tcPr>
            <w:tcW w:w="620" w:type="dxa"/>
            <w:vAlign w:val="bottom"/>
          </w:tcPr>
          <w:p>
            <w:pPr>
              <w:spacing w:after="0"/>
              <w:rPr>
                <w:sz w:val="14"/>
                <w:szCs w:val="14"/>
                <w:color w:val="auto"/>
              </w:rPr>
            </w:pPr>
          </w:p>
        </w:tc>
        <w:tc>
          <w:tcPr>
            <w:tcW w:w="1160" w:type="dxa"/>
            <w:vAlign w:val="bottom"/>
            <w:vMerge w:val="restart"/>
          </w:tcPr>
          <w:p>
            <w:pPr>
              <w:ind w:left="480"/>
              <w:spacing w:after="0"/>
              <w:rPr>
                <w:sz w:val="20"/>
                <w:szCs w:val="20"/>
                <w:color w:val="auto"/>
              </w:rPr>
            </w:pPr>
            <w:r>
              <w:rPr>
                <w:rFonts w:ascii="Courier New" w:cs="Courier New" w:eastAsia="Courier New" w:hAnsi="Courier New"/>
                <w:sz w:val="15"/>
                <w:szCs w:val="15"/>
                <w:color w:val="auto"/>
              </w:rPr>
              <w:t>7.38%</w:t>
            </w:r>
          </w:p>
        </w:tc>
        <w:tc>
          <w:tcPr>
            <w:tcW w:w="0" w:type="dxa"/>
            <w:vAlign w:val="bottom"/>
          </w:tcPr>
          <w:p>
            <w:pPr>
              <w:spacing w:after="0"/>
              <w:rPr>
                <w:sz w:val="1"/>
                <w:szCs w:val="1"/>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Instruments</w:t>
            </w:r>
          </w:p>
        </w:tc>
        <w:tc>
          <w:tcPr>
            <w:tcW w:w="4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w:t>
            </w:r>
          </w:p>
        </w:tc>
        <w:tc>
          <w:tcPr>
            <w:tcW w:w="400" w:type="dxa"/>
            <w:vAlign w:val="bottom"/>
          </w:tcPr>
          <w:p>
            <w:pPr>
              <w:spacing w:after="0"/>
              <w:rPr>
                <w:sz w:val="14"/>
                <w:szCs w:val="14"/>
                <w:color w:val="auto"/>
              </w:rPr>
            </w:pPr>
          </w:p>
        </w:tc>
        <w:tc>
          <w:tcPr>
            <w:tcW w:w="8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38,242</w:t>
            </w:r>
          </w:p>
        </w:tc>
        <w:tc>
          <w:tcPr>
            <w:tcW w:w="4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1,255</w:t>
            </w:r>
          </w:p>
        </w:tc>
        <w:tc>
          <w:tcPr>
            <w:tcW w:w="600" w:type="dxa"/>
            <w:vAlign w:val="bottom"/>
          </w:tcPr>
          <w:p>
            <w:pPr>
              <w:spacing w:after="0"/>
              <w:rPr>
                <w:sz w:val="14"/>
                <w:szCs w:val="14"/>
                <w:color w:val="auto"/>
              </w:rPr>
            </w:pPr>
          </w:p>
        </w:tc>
        <w:tc>
          <w:tcPr>
            <w:tcW w:w="12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6.60%(b)</w:t>
            </w:r>
          </w:p>
        </w:tc>
        <w:tc>
          <w:tcPr>
            <w:tcW w:w="280" w:type="dxa"/>
            <w:vAlign w:val="bottom"/>
          </w:tcPr>
          <w:p>
            <w:pPr>
              <w:spacing w:after="0"/>
              <w:rPr>
                <w:sz w:val="14"/>
                <w:szCs w:val="14"/>
                <w:color w:val="auto"/>
              </w:rPr>
            </w:pPr>
          </w:p>
        </w:tc>
        <w:tc>
          <w:tcPr>
            <w:tcW w:w="10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24,167</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890</w:t>
            </w:r>
          </w:p>
        </w:tc>
        <w:tc>
          <w:tcPr>
            <w:tcW w:w="620" w:type="dxa"/>
            <w:vAlign w:val="bottom"/>
          </w:tcPr>
          <w:p>
            <w:pPr>
              <w:spacing w:after="0"/>
              <w:rPr>
                <w:sz w:val="14"/>
                <w:szCs w:val="14"/>
                <w:color w:val="auto"/>
              </w:rPr>
            </w:pPr>
          </w:p>
        </w:tc>
        <w:tc>
          <w:tcPr>
            <w:tcW w:w="1160" w:type="dxa"/>
            <w:vAlign w:val="bottom"/>
            <w:vMerge w:val="restart"/>
          </w:tcPr>
          <w:p>
            <w:pPr>
              <w:ind w:left="480"/>
              <w:spacing w:after="0"/>
              <w:rPr>
                <w:sz w:val="20"/>
                <w:szCs w:val="20"/>
                <w:color w:val="auto"/>
              </w:rPr>
            </w:pPr>
            <w:r>
              <w:rPr>
                <w:rFonts w:ascii="Courier New" w:cs="Courier New" w:eastAsia="Courier New" w:hAnsi="Courier New"/>
                <w:sz w:val="15"/>
                <w:szCs w:val="15"/>
                <w:color w:val="auto"/>
                <w:w w:val="91"/>
              </w:rPr>
              <w:t>7.42%(b)</w:t>
            </w:r>
          </w:p>
        </w:tc>
        <w:tc>
          <w:tcPr>
            <w:tcW w:w="0" w:type="dxa"/>
            <w:vAlign w:val="bottom"/>
          </w:tcPr>
          <w:p>
            <w:pPr>
              <w:spacing w:after="0"/>
              <w:rPr>
                <w:sz w:val="1"/>
                <w:szCs w:val="1"/>
                <w:color w:val="auto"/>
              </w:rPr>
            </w:pPr>
          </w:p>
        </w:tc>
      </w:tr>
      <w:tr>
        <w:trPr>
          <w:trHeight w:val="168"/>
        </w:trPr>
        <w:tc>
          <w:tcPr>
            <w:tcW w:w="3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Available-for-Sale</w:t>
            </w:r>
          </w:p>
        </w:tc>
        <w:tc>
          <w:tcPr>
            <w:tcW w:w="4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Held-to-Maturity</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4,381</w:t>
            </w:r>
          </w:p>
        </w:tc>
        <w:tc>
          <w:tcPr>
            <w:tcW w:w="4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w:t>
            </w:r>
          </w:p>
        </w:tc>
        <w:tc>
          <w:tcPr>
            <w:tcW w:w="600" w:type="dxa"/>
            <w:vAlign w:val="bottom"/>
          </w:tcPr>
          <w:p>
            <w:pPr>
              <w:spacing w:after="0"/>
              <w:rPr>
                <w:sz w:val="14"/>
                <w:szCs w:val="14"/>
                <w:color w:val="auto"/>
              </w:rPr>
            </w:pP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7.38%</w:t>
            </w:r>
          </w:p>
        </w:tc>
        <w:tc>
          <w:tcPr>
            <w:tcW w:w="2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10,477</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358</w:t>
            </w:r>
          </w:p>
        </w:tc>
        <w:tc>
          <w:tcPr>
            <w:tcW w:w="620" w:type="dxa"/>
            <w:vAlign w:val="bottom"/>
          </w:tcPr>
          <w:p>
            <w:pPr>
              <w:spacing w:after="0"/>
              <w:rPr>
                <w:sz w:val="14"/>
                <w:szCs w:val="14"/>
                <w:color w:val="auto"/>
              </w:rPr>
            </w:pPr>
          </w:p>
        </w:tc>
        <w:tc>
          <w:tcPr>
            <w:tcW w:w="11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6.90%</w:t>
            </w:r>
          </w:p>
        </w:tc>
        <w:tc>
          <w:tcPr>
            <w:tcW w:w="0" w:type="dxa"/>
            <w:vAlign w:val="bottom"/>
          </w:tcPr>
          <w:p>
            <w:pPr>
              <w:spacing w:after="0"/>
              <w:rPr>
                <w:sz w:val="1"/>
                <w:szCs w:val="1"/>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150,123</w:t>
            </w:r>
          </w:p>
        </w:tc>
        <w:tc>
          <w:tcPr>
            <w:tcW w:w="4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6,275</w:t>
            </w:r>
          </w:p>
        </w:tc>
        <w:tc>
          <w:tcPr>
            <w:tcW w:w="600" w:type="dxa"/>
            <w:vAlign w:val="bottom"/>
          </w:tcPr>
          <w:p>
            <w:pPr>
              <w:spacing w:after="0"/>
              <w:rPr>
                <w:sz w:val="14"/>
                <w:szCs w:val="14"/>
                <w:color w:val="auto"/>
              </w:rPr>
            </w:pP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8.41%</w:t>
            </w:r>
          </w:p>
        </w:tc>
        <w:tc>
          <w:tcPr>
            <w:tcW w:w="2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143,978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6,322</w:t>
            </w:r>
          </w:p>
        </w:tc>
        <w:tc>
          <w:tcPr>
            <w:tcW w:w="620" w:type="dxa"/>
            <w:vAlign w:val="bottom"/>
          </w:tcPr>
          <w:p>
            <w:pPr>
              <w:spacing w:after="0"/>
              <w:rPr>
                <w:sz w:val="14"/>
                <w:szCs w:val="14"/>
                <w:color w:val="auto"/>
              </w:rPr>
            </w:pPr>
          </w:p>
        </w:tc>
        <w:tc>
          <w:tcPr>
            <w:tcW w:w="11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8.85%</w:t>
            </w:r>
          </w:p>
        </w:tc>
        <w:tc>
          <w:tcPr>
            <w:tcW w:w="0" w:type="dxa"/>
            <w:vAlign w:val="bottom"/>
          </w:tcPr>
          <w:p>
            <w:pPr>
              <w:spacing w:after="0"/>
              <w:rPr>
                <w:sz w:val="1"/>
                <w:szCs w:val="1"/>
                <w:color w:val="auto"/>
              </w:rPr>
            </w:pPr>
          </w:p>
        </w:tc>
      </w:tr>
      <w:tr>
        <w:trPr>
          <w:trHeight w:val="168"/>
        </w:trPr>
        <w:tc>
          <w:tcPr>
            <w:tcW w:w="33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Total Interest-Earning Assets</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12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7.76%</w:t>
            </w: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160" w:type="dxa"/>
            <w:vAlign w:val="bottom"/>
            <w:vMerge w:val="restart"/>
          </w:tcPr>
          <w:p>
            <w:pPr>
              <w:ind w:left="480"/>
              <w:spacing w:after="0"/>
              <w:rPr>
                <w:sz w:val="20"/>
                <w:szCs w:val="20"/>
                <w:color w:val="auto"/>
              </w:rPr>
            </w:pPr>
            <w:r>
              <w:rPr>
                <w:rFonts w:ascii="Courier New" w:cs="Courier New" w:eastAsia="Courier New" w:hAnsi="Courier New"/>
                <w:sz w:val="15"/>
                <w:szCs w:val="15"/>
                <w:color w:val="auto"/>
              </w:rPr>
              <w:t>8.14%</w:t>
            </w:r>
          </w:p>
        </w:tc>
        <w:tc>
          <w:tcPr>
            <w:tcW w:w="0" w:type="dxa"/>
            <w:vAlign w:val="bottom"/>
          </w:tcPr>
          <w:p>
            <w:pPr>
              <w:spacing w:after="0"/>
              <w:rPr>
                <w:sz w:val="1"/>
                <w:szCs w:val="1"/>
                <w:color w:val="auto"/>
              </w:rPr>
            </w:pPr>
          </w:p>
        </w:tc>
      </w:tr>
      <w:tr>
        <w:trPr>
          <w:trHeight w:val="168"/>
        </w:trPr>
        <w:tc>
          <w:tcPr>
            <w:tcW w:w="33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255,884</w:t>
            </w:r>
          </w:p>
        </w:tc>
        <w:tc>
          <w:tcPr>
            <w:tcW w:w="4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9,869</w:t>
            </w:r>
          </w:p>
        </w:tc>
        <w:tc>
          <w:tcPr>
            <w:tcW w:w="6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239,353</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9,665</w:t>
            </w:r>
          </w:p>
        </w:tc>
        <w:tc>
          <w:tcPr>
            <w:tcW w:w="6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Allowance for Credit Losses</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(3,729)</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(3,884)</w:t>
            </w: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Due from Banks</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12,450</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13,364</w:t>
            </w: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Risk Management Instruments</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25,925</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32,850</w:t>
            </w: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24,722</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22,164</w:t>
            </w: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Total Assets</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vMerge w:val="continue"/>
          </w:tcPr>
          <w:p>
            <w:pPr>
              <w:spacing w:after="0"/>
              <w:rPr>
                <w:sz w:val="14"/>
                <w:szCs w:val="14"/>
                <w:color w:val="auto"/>
              </w:rPr>
            </w:pP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315,252</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303,847</w:t>
            </w: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380" w:type="dxa"/>
            <w:vAlign w:val="bottom"/>
            <w:vMerge w:val="restart"/>
          </w:tcPr>
          <w:p>
            <w:pPr>
              <w:spacing w:after="0"/>
              <w:rPr>
                <w:sz w:val="20"/>
                <w:szCs w:val="20"/>
                <w:color w:val="auto"/>
              </w:rPr>
            </w:pPr>
            <w:r>
              <w:rPr>
                <w:rFonts w:ascii="Courier New" w:cs="Courier New" w:eastAsia="Courier New" w:hAnsi="Courier New"/>
                <w:sz w:val="15"/>
                <w:szCs w:val="15"/>
                <w:color w:val="auto"/>
              </w:rPr>
              <w:t>LIABILITIES</w:t>
            </w:r>
          </w:p>
        </w:tc>
        <w:tc>
          <w:tcPr>
            <w:tcW w:w="12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3380" w:type="dxa"/>
            <w:vAlign w:val="bottom"/>
            <w:vMerge w:val="continue"/>
          </w:tcPr>
          <w:p>
            <w:pPr>
              <w:spacing w:after="0"/>
              <w:rPr>
                <w:sz w:val="7"/>
                <w:szCs w:val="7"/>
                <w:color w:val="auto"/>
              </w:rPr>
            </w:pPr>
          </w:p>
        </w:tc>
        <w:tc>
          <w:tcPr>
            <w:tcW w:w="4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53,940</w:t>
            </w:r>
          </w:p>
        </w:tc>
        <w:tc>
          <w:tcPr>
            <w:tcW w:w="40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968</w:t>
            </w:r>
          </w:p>
        </w:tc>
        <w:tc>
          <w:tcPr>
            <w:tcW w:w="600" w:type="dxa"/>
            <w:vAlign w:val="bottom"/>
          </w:tcPr>
          <w:p>
            <w:pPr>
              <w:spacing w:after="0"/>
              <w:rPr>
                <w:sz w:val="7"/>
                <w:szCs w:val="7"/>
                <w:color w:val="auto"/>
              </w:rPr>
            </w:pPr>
          </w:p>
        </w:tc>
        <w:tc>
          <w:tcPr>
            <w:tcW w:w="12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3.61%</w:t>
            </w:r>
          </w:p>
        </w:tc>
        <w:tc>
          <w:tcPr>
            <w:tcW w:w="2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55,809</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1,015</w:t>
            </w:r>
          </w:p>
        </w:tc>
        <w:tc>
          <w:tcPr>
            <w:tcW w:w="620" w:type="dxa"/>
            <w:vAlign w:val="bottom"/>
          </w:tcPr>
          <w:p>
            <w:pPr>
              <w:spacing w:after="0"/>
              <w:rPr>
                <w:sz w:val="7"/>
                <w:szCs w:val="7"/>
                <w:color w:val="auto"/>
              </w:rPr>
            </w:pPr>
          </w:p>
        </w:tc>
        <w:tc>
          <w:tcPr>
            <w:tcW w:w="1160" w:type="dxa"/>
            <w:vAlign w:val="bottom"/>
            <w:vMerge w:val="restart"/>
          </w:tcPr>
          <w:p>
            <w:pPr>
              <w:ind w:left="480"/>
              <w:spacing w:after="0"/>
              <w:rPr>
                <w:sz w:val="20"/>
                <w:szCs w:val="20"/>
                <w:color w:val="auto"/>
              </w:rPr>
            </w:pPr>
            <w:r>
              <w:rPr>
                <w:rFonts w:ascii="Courier New" w:cs="Courier New" w:eastAsia="Courier New" w:hAnsi="Courier New"/>
                <w:sz w:val="15"/>
                <w:szCs w:val="15"/>
                <w:color w:val="auto"/>
              </w:rPr>
              <w:t>3.67%</w:t>
            </w:r>
          </w:p>
        </w:tc>
        <w:tc>
          <w:tcPr>
            <w:tcW w:w="0" w:type="dxa"/>
            <w:vAlign w:val="bottom"/>
          </w:tcPr>
          <w:p>
            <w:pPr>
              <w:spacing w:after="0"/>
              <w:rPr>
                <w:sz w:val="1"/>
                <w:szCs w:val="1"/>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Domestic Retail Deposits</w:t>
            </w:r>
          </w:p>
        </w:tc>
        <w:tc>
          <w:tcPr>
            <w:tcW w:w="4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Domestic Negotiable</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Certificates of Deposit</w:t>
            </w:r>
          </w:p>
        </w:tc>
        <w:tc>
          <w:tcPr>
            <w:tcW w:w="400" w:type="dxa"/>
            <w:vAlign w:val="bottom"/>
          </w:tcPr>
          <w:p>
            <w:pPr>
              <w:spacing w:after="0"/>
              <w:rPr>
                <w:sz w:val="14"/>
                <w:szCs w:val="14"/>
                <w:color w:val="auto"/>
              </w:rPr>
            </w:pPr>
          </w:p>
        </w:tc>
        <w:tc>
          <w:tcPr>
            <w:tcW w:w="8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10,850</w:t>
            </w:r>
          </w:p>
        </w:tc>
        <w:tc>
          <w:tcPr>
            <w:tcW w:w="4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215</w:t>
            </w:r>
          </w:p>
        </w:tc>
        <w:tc>
          <w:tcPr>
            <w:tcW w:w="600" w:type="dxa"/>
            <w:vAlign w:val="bottom"/>
          </w:tcPr>
          <w:p>
            <w:pPr>
              <w:spacing w:after="0"/>
              <w:rPr>
                <w:sz w:val="14"/>
                <w:szCs w:val="14"/>
                <w:color w:val="auto"/>
              </w:rPr>
            </w:pPr>
          </w:p>
        </w:tc>
        <w:tc>
          <w:tcPr>
            <w:tcW w:w="12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3.98%</w:t>
            </w:r>
          </w:p>
        </w:tc>
        <w:tc>
          <w:tcPr>
            <w:tcW w:w="280" w:type="dxa"/>
            <w:vAlign w:val="bottom"/>
          </w:tcPr>
          <w:p>
            <w:pPr>
              <w:spacing w:after="0"/>
              <w:rPr>
                <w:sz w:val="14"/>
                <w:szCs w:val="14"/>
                <w:color w:val="auto"/>
              </w:rPr>
            </w:pPr>
          </w:p>
        </w:tc>
        <w:tc>
          <w:tcPr>
            <w:tcW w:w="10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12,582</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290</w:t>
            </w:r>
          </w:p>
        </w:tc>
        <w:tc>
          <w:tcPr>
            <w:tcW w:w="620" w:type="dxa"/>
            <w:vAlign w:val="bottom"/>
          </w:tcPr>
          <w:p>
            <w:pPr>
              <w:spacing w:after="0"/>
              <w:rPr>
                <w:sz w:val="14"/>
                <w:szCs w:val="14"/>
                <w:color w:val="auto"/>
              </w:rPr>
            </w:pPr>
          </w:p>
        </w:tc>
        <w:tc>
          <w:tcPr>
            <w:tcW w:w="1160" w:type="dxa"/>
            <w:vAlign w:val="bottom"/>
            <w:vMerge w:val="restart"/>
          </w:tcPr>
          <w:p>
            <w:pPr>
              <w:ind w:left="480"/>
              <w:spacing w:after="0"/>
              <w:rPr>
                <w:sz w:val="20"/>
                <w:szCs w:val="20"/>
                <w:color w:val="auto"/>
              </w:rPr>
            </w:pPr>
            <w:r>
              <w:rPr>
                <w:rFonts w:ascii="Courier New" w:cs="Courier New" w:eastAsia="Courier New" w:hAnsi="Courier New"/>
                <w:sz w:val="15"/>
                <w:szCs w:val="15"/>
                <w:color w:val="auto"/>
              </w:rPr>
              <w:t>4.64%</w:t>
            </w:r>
          </w:p>
        </w:tc>
        <w:tc>
          <w:tcPr>
            <w:tcW w:w="0" w:type="dxa"/>
            <w:vAlign w:val="bottom"/>
          </w:tcPr>
          <w:p>
            <w:pPr>
              <w:spacing w:after="0"/>
              <w:rPr>
                <w:sz w:val="1"/>
                <w:szCs w:val="1"/>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Other Deposits</w:t>
            </w:r>
          </w:p>
        </w:tc>
        <w:tc>
          <w:tcPr>
            <w:tcW w:w="4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Deposits in Foreign Offices</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64,836</w:t>
            </w:r>
          </w:p>
        </w:tc>
        <w:tc>
          <w:tcPr>
            <w:tcW w:w="4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1,919</w:t>
            </w:r>
          </w:p>
        </w:tc>
        <w:tc>
          <w:tcPr>
            <w:tcW w:w="600" w:type="dxa"/>
            <w:vAlign w:val="bottom"/>
          </w:tcPr>
          <w:p>
            <w:pPr>
              <w:spacing w:after="0"/>
              <w:rPr>
                <w:sz w:val="14"/>
                <w:szCs w:val="14"/>
                <w:color w:val="auto"/>
              </w:rPr>
            </w:pP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5.95%</w:t>
            </w:r>
          </w:p>
        </w:tc>
        <w:tc>
          <w:tcPr>
            <w:tcW w:w="2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64,175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1,791</w:t>
            </w:r>
          </w:p>
        </w:tc>
        <w:tc>
          <w:tcPr>
            <w:tcW w:w="620" w:type="dxa"/>
            <w:vAlign w:val="bottom"/>
          </w:tcPr>
          <w:p>
            <w:pPr>
              <w:spacing w:after="0"/>
              <w:rPr>
                <w:sz w:val="14"/>
                <w:szCs w:val="14"/>
                <w:color w:val="auto"/>
              </w:rPr>
            </w:pPr>
          </w:p>
        </w:tc>
        <w:tc>
          <w:tcPr>
            <w:tcW w:w="11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5.61%</w:t>
            </w:r>
          </w:p>
        </w:tc>
        <w:tc>
          <w:tcPr>
            <w:tcW w:w="0" w:type="dxa"/>
            <w:vAlign w:val="bottom"/>
          </w:tcPr>
          <w:p>
            <w:pPr>
              <w:spacing w:after="0"/>
              <w:rPr>
                <w:sz w:val="1"/>
                <w:szCs w:val="1"/>
                <w:color w:val="auto"/>
              </w:rPr>
            </w:pPr>
          </w:p>
        </w:tc>
      </w:tr>
      <w:tr>
        <w:trPr>
          <w:trHeight w:val="245"/>
        </w:trPr>
        <w:tc>
          <w:tcPr>
            <w:tcW w:w="33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Time and Savings</w:t>
            </w:r>
          </w:p>
        </w:tc>
        <w:tc>
          <w:tcPr>
            <w:tcW w:w="12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338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8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129,626</w:t>
            </w:r>
          </w:p>
        </w:tc>
        <w:tc>
          <w:tcPr>
            <w:tcW w:w="40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3,102</w:t>
            </w:r>
          </w:p>
        </w:tc>
        <w:tc>
          <w:tcPr>
            <w:tcW w:w="600" w:type="dxa"/>
            <w:vAlign w:val="bottom"/>
          </w:tcPr>
          <w:p>
            <w:pPr>
              <w:spacing w:after="0"/>
              <w:rPr>
                <w:sz w:val="7"/>
                <w:szCs w:val="7"/>
                <w:color w:val="auto"/>
              </w:rPr>
            </w:pPr>
          </w:p>
        </w:tc>
        <w:tc>
          <w:tcPr>
            <w:tcW w:w="12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4.81%</w:t>
            </w:r>
          </w:p>
        </w:tc>
        <w:tc>
          <w:tcPr>
            <w:tcW w:w="280" w:type="dxa"/>
            <w:vAlign w:val="bottom"/>
          </w:tcPr>
          <w:p>
            <w:pPr>
              <w:spacing w:after="0"/>
              <w:rPr>
                <w:sz w:val="7"/>
                <w:szCs w:val="7"/>
                <w:color w:val="auto"/>
              </w:rPr>
            </w:pPr>
          </w:p>
        </w:tc>
        <w:tc>
          <w:tcPr>
            <w:tcW w:w="10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132,566</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3,096</w:t>
            </w:r>
          </w:p>
        </w:tc>
        <w:tc>
          <w:tcPr>
            <w:tcW w:w="620" w:type="dxa"/>
            <w:vAlign w:val="bottom"/>
          </w:tcPr>
          <w:p>
            <w:pPr>
              <w:spacing w:after="0"/>
              <w:rPr>
                <w:sz w:val="7"/>
                <w:szCs w:val="7"/>
                <w:color w:val="auto"/>
              </w:rPr>
            </w:pPr>
          </w:p>
        </w:tc>
        <w:tc>
          <w:tcPr>
            <w:tcW w:w="1160" w:type="dxa"/>
            <w:vAlign w:val="bottom"/>
            <w:vMerge w:val="restart"/>
          </w:tcPr>
          <w:p>
            <w:pPr>
              <w:ind w:left="480"/>
              <w:spacing w:after="0"/>
              <w:rPr>
                <w:sz w:val="20"/>
                <w:szCs w:val="20"/>
                <w:color w:val="auto"/>
              </w:rPr>
            </w:pPr>
            <w:r>
              <w:rPr>
                <w:rFonts w:ascii="Courier New" w:cs="Courier New" w:eastAsia="Courier New" w:hAnsi="Courier New"/>
                <w:sz w:val="15"/>
                <w:szCs w:val="15"/>
                <w:color w:val="auto"/>
              </w:rPr>
              <w:t>4.70%</w:t>
            </w:r>
          </w:p>
        </w:tc>
        <w:tc>
          <w:tcPr>
            <w:tcW w:w="0" w:type="dxa"/>
            <w:vAlign w:val="bottom"/>
          </w:tcPr>
          <w:p>
            <w:pPr>
              <w:spacing w:after="0"/>
              <w:rPr>
                <w:sz w:val="1"/>
                <w:szCs w:val="1"/>
                <w:color w:val="auto"/>
              </w:rPr>
            </w:pP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Deposits</w:t>
            </w:r>
          </w:p>
        </w:tc>
        <w:tc>
          <w:tcPr>
            <w:tcW w:w="4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380" w:type="dxa"/>
            <w:vAlign w:val="bottom"/>
            <w:vMerge w:val="restart"/>
          </w:tcPr>
          <w:p>
            <w:pPr>
              <w:spacing w:after="0"/>
              <w:rPr>
                <w:sz w:val="20"/>
                <w:szCs w:val="20"/>
                <w:color w:val="auto"/>
              </w:rPr>
            </w:pPr>
            <w:r>
              <w:rPr>
                <w:rFonts w:ascii="Courier New" w:cs="Courier New" w:eastAsia="Courier New" w:hAnsi="Courier New"/>
                <w:sz w:val="15"/>
                <w:szCs w:val="15"/>
                <w:color w:val="auto"/>
              </w:rPr>
              <w:t>Short-Term and Other Borrowings:</w:t>
            </w:r>
          </w:p>
        </w:tc>
        <w:tc>
          <w:tcPr>
            <w:tcW w:w="12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338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Federal Funds Purchased and</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Securities Sold Under</w:t>
            </w:r>
          </w:p>
        </w:tc>
        <w:tc>
          <w:tcPr>
            <w:tcW w:w="400" w:type="dxa"/>
            <w:vAlign w:val="bottom"/>
          </w:tcPr>
          <w:p>
            <w:pPr>
              <w:spacing w:after="0"/>
              <w:rPr>
                <w:sz w:val="14"/>
                <w:szCs w:val="14"/>
                <w:color w:val="auto"/>
              </w:rPr>
            </w:pPr>
          </w:p>
        </w:tc>
        <w:tc>
          <w:tcPr>
            <w:tcW w:w="8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48,588</w:t>
            </w:r>
          </w:p>
        </w:tc>
        <w:tc>
          <w:tcPr>
            <w:tcW w:w="4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1,286</w:t>
            </w:r>
          </w:p>
        </w:tc>
        <w:tc>
          <w:tcPr>
            <w:tcW w:w="600" w:type="dxa"/>
            <w:vAlign w:val="bottom"/>
          </w:tcPr>
          <w:p>
            <w:pPr>
              <w:spacing w:after="0"/>
              <w:rPr>
                <w:sz w:val="14"/>
                <w:szCs w:val="14"/>
                <w:color w:val="auto"/>
              </w:rPr>
            </w:pPr>
          </w:p>
        </w:tc>
        <w:tc>
          <w:tcPr>
            <w:tcW w:w="12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5.32%</w:t>
            </w:r>
          </w:p>
        </w:tc>
        <w:tc>
          <w:tcPr>
            <w:tcW w:w="280" w:type="dxa"/>
            <w:vAlign w:val="bottom"/>
          </w:tcPr>
          <w:p>
            <w:pPr>
              <w:spacing w:after="0"/>
              <w:rPr>
                <w:sz w:val="14"/>
                <w:szCs w:val="14"/>
                <w:color w:val="auto"/>
              </w:rPr>
            </w:pPr>
          </w:p>
        </w:tc>
        <w:tc>
          <w:tcPr>
            <w:tcW w:w="10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42,839</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1,275</w:t>
            </w:r>
          </w:p>
        </w:tc>
        <w:tc>
          <w:tcPr>
            <w:tcW w:w="620" w:type="dxa"/>
            <w:vAlign w:val="bottom"/>
          </w:tcPr>
          <w:p>
            <w:pPr>
              <w:spacing w:after="0"/>
              <w:rPr>
                <w:sz w:val="14"/>
                <w:szCs w:val="14"/>
                <w:color w:val="auto"/>
              </w:rPr>
            </w:pPr>
          </w:p>
        </w:tc>
        <w:tc>
          <w:tcPr>
            <w:tcW w:w="1160" w:type="dxa"/>
            <w:vAlign w:val="bottom"/>
            <w:vMerge w:val="restart"/>
          </w:tcPr>
          <w:p>
            <w:pPr>
              <w:ind w:left="480"/>
              <w:spacing w:after="0"/>
              <w:rPr>
                <w:sz w:val="20"/>
                <w:szCs w:val="20"/>
                <w:color w:val="auto"/>
              </w:rPr>
            </w:pPr>
            <w:r>
              <w:rPr>
                <w:rFonts w:ascii="Courier New" w:cs="Courier New" w:eastAsia="Courier New" w:hAnsi="Courier New"/>
                <w:sz w:val="15"/>
                <w:szCs w:val="15"/>
                <w:color w:val="auto"/>
              </w:rPr>
              <w:t>6.00%</w:t>
            </w:r>
          </w:p>
        </w:tc>
        <w:tc>
          <w:tcPr>
            <w:tcW w:w="0" w:type="dxa"/>
            <w:vAlign w:val="bottom"/>
          </w:tcPr>
          <w:p>
            <w:pPr>
              <w:spacing w:after="0"/>
              <w:rPr>
                <w:sz w:val="1"/>
                <w:szCs w:val="1"/>
                <w:color w:val="auto"/>
              </w:rPr>
            </w:pP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Repurchase Agreements</w:t>
            </w:r>
          </w:p>
        </w:tc>
        <w:tc>
          <w:tcPr>
            <w:tcW w:w="4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Commercial Paper</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5,146</w:t>
            </w:r>
          </w:p>
        </w:tc>
        <w:tc>
          <w:tcPr>
            <w:tcW w:w="4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w:t>
            </w:r>
          </w:p>
        </w:tc>
        <w:tc>
          <w:tcPr>
            <w:tcW w:w="600" w:type="dxa"/>
            <w:vAlign w:val="bottom"/>
          </w:tcPr>
          <w:p>
            <w:pPr>
              <w:spacing w:after="0"/>
              <w:rPr>
                <w:sz w:val="14"/>
                <w:szCs w:val="14"/>
                <w:color w:val="auto"/>
              </w:rPr>
            </w:pP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5.26%</w:t>
            </w:r>
          </w:p>
        </w:tc>
        <w:tc>
          <w:tcPr>
            <w:tcW w:w="2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5,350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w:t>
            </w:r>
          </w:p>
        </w:tc>
        <w:tc>
          <w:tcPr>
            <w:tcW w:w="620" w:type="dxa"/>
            <w:vAlign w:val="bottom"/>
          </w:tcPr>
          <w:p>
            <w:pPr>
              <w:spacing w:after="0"/>
              <w:rPr>
                <w:sz w:val="14"/>
                <w:szCs w:val="14"/>
                <w:color w:val="auto"/>
              </w:rPr>
            </w:pPr>
          </w:p>
        </w:tc>
        <w:tc>
          <w:tcPr>
            <w:tcW w:w="11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5.89%</w:t>
            </w:r>
          </w:p>
        </w:tc>
        <w:tc>
          <w:tcPr>
            <w:tcW w:w="0" w:type="dxa"/>
            <w:vAlign w:val="bottom"/>
          </w:tcPr>
          <w:p>
            <w:pPr>
              <w:spacing w:after="0"/>
              <w:rPr>
                <w:sz w:val="1"/>
                <w:szCs w:val="1"/>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Borrowings (c)</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16,323</w:t>
            </w:r>
          </w:p>
        </w:tc>
        <w:tc>
          <w:tcPr>
            <w:tcW w:w="4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693</w:t>
            </w:r>
          </w:p>
        </w:tc>
        <w:tc>
          <w:tcPr>
            <w:tcW w:w="600" w:type="dxa"/>
            <w:vAlign w:val="bottom"/>
          </w:tcPr>
          <w:p>
            <w:pPr>
              <w:spacing w:after="0"/>
              <w:rPr>
                <w:sz w:val="14"/>
                <w:szCs w:val="14"/>
                <w:color w:val="auto"/>
              </w:rPr>
            </w:pP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8.53%</w:t>
            </w:r>
          </w:p>
        </w:tc>
        <w:tc>
          <w:tcPr>
            <w:tcW w:w="2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12,282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585</w:t>
            </w:r>
          </w:p>
        </w:tc>
        <w:tc>
          <w:tcPr>
            <w:tcW w:w="620" w:type="dxa"/>
            <w:vAlign w:val="bottom"/>
          </w:tcPr>
          <w:p>
            <w:pPr>
              <w:spacing w:after="0"/>
              <w:rPr>
                <w:sz w:val="14"/>
                <w:szCs w:val="14"/>
                <w:color w:val="auto"/>
              </w:rPr>
            </w:pPr>
          </w:p>
        </w:tc>
        <w:tc>
          <w:tcPr>
            <w:tcW w:w="11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9.60%</w:t>
            </w:r>
          </w:p>
        </w:tc>
        <w:tc>
          <w:tcPr>
            <w:tcW w:w="0" w:type="dxa"/>
            <w:vAlign w:val="bottom"/>
          </w:tcPr>
          <w:p>
            <w:pPr>
              <w:spacing w:after="0"/>
              <w:rPr>
                <w:sz w:val="1"/>
                <w:szCs w:val="1"/>
                <w:color w:val="auto"/>
              </w:rPr>
            </w:pPr>
          </w:p>
        </w:tc>
      </w:tr>
      <w:tr>
        <w:trPr>
          <w:trHeight w:val="245"/>
        </w:trPr>
        <w:tc>
          <w:tcPr>
            <w:tcW w:w="338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Total Short-Term and</w:t>
            </w:r>
          </w:p>
        </w:tc>
        <w:tc>
          <w:tcPr>
            <w:tcW w:w="12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338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8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70,057</w:t>
            </w:r>
          </w:p>
        </w:tc>
        <w:tc>
          <w:tcPr>
            <w:tcW w:w="40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2,113</w:t>
            </w:r>
          </w:p>
        </w:tc>
        <w:tc>
          <w:tcPr>
            <w:tcW w:w="600" w:type="dxa"/>
            <w:vAlign w:val="bottom"/>
          </w:tcPr>
          <w:p>
            <w:pPr>
              <w:spacing w:after="0"/>
              <w:rPr>
                <w:sz w:val="7"/>
                <w:szCs w:val="7"/>
                <w:color w:val="auto"/>
              </w:rPr>
            </w:pPr>
          </w:p>
        </w:tc>
        <w:tc>
          <w:tcPr>
            <w:tcW w:w="12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6.07%</w:t>
            </w:r>
          </w:p>
        </w:tc>
        <w:tc>
          <w:tcPr>
            <w:tcW w:w="280" w:type="dxa"/>
            <w:vAlign w:val="bottom"/>
          </w:tcPr>
          <w:p>
            <w:pPr>
              <w:spacing w:after="0"/>
              <w:rPr>
                <w:sz w:val="7"/>
                <w:szCs w:val="7"/>
                <w:color w:val="auto"/>
              </w:rPr>
            </w:pPr>
          </w:p>
        </w:tc>
        <w:tc>
          <w:tcPr>
            <w:tcW w:w="10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60,471</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2,016</w:t>
            </w:r>
          </w:p>
        </w:tc>
        <w:tc>
          <w:tcPr>
            <w:tcW w:w="620" w:type="dxa"/>
            <w:vAlign w:val="bottom"/>
          </w:tcPr>
          <w:p>
            <w:pPr>
              <w:spacing w:after="0"/>
              <w:rPr>
                <w:sz w:val="7"/>
                <w:szCs w:val="7"/>
                <w:color w:val="auto"/>
              </w:rPr>
            </w:pPr>
          </w:p>
        </w:tc>
        <w:tc>
          <w:tcPr>
            <w:tcW w:w="1160" w:type="dxa"/>
            <w:vAlign w:val="bottom"/>
            <w:vMerge w:val="restart"/>
          </w:tcPr>
          <w:p>
            <w:pPr>
              <w:ind w:left="480"/>
              <w:spacing w:after="0"/>
              <w:rPr>
                <w:sz w:val="20"/>
                <w:szCs w:val="20"/>
                <w:color w:val="auto"/>
              </w:rPr>
            </w:pPr>
            <w:r>
              <w:rPr>
                <w:rFonts w:ascii="Courier New" w:cs="Courier New" w:eastAsia="Courier New" w:hAnsi="Courier New"/>
                <w:sz w:val="15"/>
                <w:szCs w:val="15"/>
                <w:color w:val="auto"/>
              </w:rPr>
              <w:t>6.72%</w:t>
            </w:r>
          </w:p>
        </w:tc>
        <w:tc>
          <w:tcPr>
            <w:tcW w:w="0" w:type="dxa"/>
            <w:vAlign w:val="bottom"/>
          </w:tcPr>
          <w:p>
            <w:pPr>
              <w:spacing w:after="0"/>
              <w:rPr>
                <w:sz w:val="1"/>
                <w:szCs w:val="1"/>
                <w:color w:val="auto"/>
              </w:rPr>
            </w:pPr>
          </w:p>
        </w:tc>
      </w:tr>
      <w:tr>
        <w:trPr>
          <w:trHeight w:val="168"/>
        </w:trPr>
        <w:tc>
          <w:tcPr>
            <w:tcW w:w="3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Borrowings</w:t>
            </w:r>
          </w:p>
        </w:tc>
        <w:tc>
          <w:tcPr>
            <w:tcW w:w="4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12,946</w:t>
            </w:r>
          </w:p>
        </w:tc>
        <w:tc>
          <w:tcPr>
            <w:tcW w:w="4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448</w:t>
            </w:r>
          </w:p>
        </w:tc>
        <w:tc>
          <w:tcPr>
            <w:tcW w:w="600" w:type="dxa"/>
            <w:vAlign w:val="bottom"/>
          </w:tcPr>
          <w:p>
            <w:pPr>
              <w:spacing w:after="0"/>
              <w:rPr>
                <w:sz w:val="14"/>
                <w:szCs w:val="14"/>
                <w:color w:val="auto"/>
              </w:rPr>
            </w:pP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6.95%</w:t>
            </w:r>
          </w:p>
        </w:tc>
        <w:tc>
          <w:tcPr>
            <w:tcW w:w="2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13,036</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472</w:t>
            </w:r>
          </w:p>
        </w:tc>
        <w:tc>
          <w:tcPr>
            <w:tcW w:w="620" w:type="dxa"/>
            <w:vAlign w:val="bottom"/>
          </w:tcPr>
          <w:p>
            <w:pPr>
              <w:spacing w:after="0"/>
              <w:rPr>
                <w:sz w:val="14"/>
                <w:szCs w:val="14"/>
                <w:color w:val="auto"/>
              </w:rPr>
            </w:pPr>
          </w:p>
        </w:tc>
        <w:tc>
          <w:tcPr>
            <w:tcW w:w="11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7.30%</w:t>
            </w:r>
          </w:p>
        </w:tc>
        <w:tc>
          <w:tcPr>
            <w:tcW w:w="0" w:type="dxa"/>
            <w:vAlign w:val="bottom"/>
          </w:tcPr>
          <w:p>
            <w:pPr>
              <w:spacing w:after="0"/>
              <w:rPr>
                <w:sz w:val="1"/>
                <w:szCs w:val="1"/>
                <w:color w:val="auto"/>
              </w:rPr>
            </w:pPr>
          </w:p>
        </w:tc>
      </w:tr>
      <w:tr>
        <w:trPr>
          <w:trHeight w:val="168"/>
        </w:trPr>
        <w:tc>
          <w:tcPr>
            <w:tcW w:w="33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Interest-Bearing Liabilities</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12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5.36%</w:t>
            </w: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160" w:type="dxa"/>
            <w:vAlign w:val="bottom"/>
            <w:vMerge w:val="restart"/>
          </w:tcPr>
          <w:p>
            <w:pPr>
              <w:ind w:left="480"/>
              <w:spacing w:after="0"/>
              <w:rPr>
                <w:sz w:val="20"/>
                <w:szCs w:val="20"/>
                <w:color w:val="auto"/>
              </w:rPr>
            </w:pPr>
            <w:r>
              <w:rPr>
                <w:rFonts w:ascii="Courier New" w:cs="Courier New" w:eastAsia="Courier New" w:hAnsi="Courier New"/>
                <w:sz w:val="15"/>
                <w:szCs w:val="15"/>
                <w:color w:val="auto"/>
              </w:rPr>
              <w:t>5.46%</w:t>
            </w:r>
          </w:p>
        </w:tc>
        <w:tc>
          <w:tcPr>
            <w:tcW w:w="0" w:type="dxa"/>
            <w:vAlign w:val="bottom"/>
          </w:tcPr>
          <w:p>
            <w:pPr>
              <w:spacing w:after="0"/>
              <w:rPr>
                <w:sz w:val="1"/>
                <w:szCs w:val="1"/>
                <w:color w:val="auto"/>
              </w:rPr>
            </w:pPr>
          </w:p>
        </w:tc>
      </w:tr>
      <w:tr>
        <w:trPr>
          <w:trHeight w:val="168"/>
        </w:trPr>
        <w:tc>
          <w:tcPr>
            <w:tcW w:w="33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212,629</w:t>
            </w:r>
          </w:p>
        </w:tc>
        <w:tc>
          <w:tcPr>
            <w:tcW w:w="4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5,663</w:t>
            </w:r>
          </w:p>
        </w:tc>
        <w:tc>
          <w:tcPr>
            <w:tcW w:w="6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206,073</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5,584</w:t>
            </w:r>
          </w:p>
        </w:tc>
        <w:tc>
          <w:tcPr>
            <w:tcW w:w="6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vMerge w:val="restart"/>
          </w:tcPr>
          <w:p>
            <w:pPr>
              <w:spacing w:after="0"/>
              <w:rPr>
                <w:sz w:val="20"/>
                <w:szCs w:val="20"/>
                <w:color w:val="auto"/>
              </w:rPr>
            </w:pPr>
            <w:r>
              <w:rPr>
                <w:rFonts w:ascii="Courier New" w:cs="Courier New" w:eastAsia="Courier New" w:hAnsi="Courier New"/>
                <w:sz w:val="15"/>
                <w:szCs w:val="15"/>
                <w:color w:val="auto"/>
              </w:rPr>
              <w:t>Demand Deposits</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40,524</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35,067</w:t>
            </w: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Risk Management Instruments</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28,036</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32,879</w:t>
            </w: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13,693</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10,736</w:t>
            </w: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vMerge w:val="restart"/>
          </w:tcPr>
          <w:p>
            <w:pPr>
              <w:spacing w:after="0"/>
              <w:rPr>
                <w:sz w:val="20"/>
                <w:szCs w:val="20"/>
                <w:color w:val="auto"/>
              </w:rPr>
            </w:pPr>
            <w:r>
              <w:rPr>
                <w:rFonts w:ascii="Courier New" w:cs="Courier New" w:eastAsia="Courier New" w:hAnsi="Courier New"/>
                <w:sz w:val="15"/>
                <w:szCs w:val="15"/>
                <w:color w:val="auto"/>
              </w:rPr>
              <w:t>Total Liabilities</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294,882</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284,755</w:t>
            </w: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380" w:type="dxa"/>
            <w:vAlign w:val="bottom"/>
            <w:vMerge w:val="restart"/>
          </w:tcPr>
          <w:p>
            <w:pPr>
              <w:spacing w:after="0"/>
              <w:rPr>
                <w:sz w:val="20"/>
                <w:szCs w:val="20"/>
                <w:color w:val="auto"/>
              </w:rPr>
            </w:pPr>
            <w:r>
              <w:rPr>
                <w:rFonts w:ascii="Courier New" w:cs="Courier New" w:eastAsia="Courier New" w:hAnsi="Courier New"/>
                <w:sz w:val="15"/>
                <w:szCs w:val="15"/>
                <w:color w:val="auto"/>
              </w:rPr>
              <w:t>STOCKHOLDERS' EQUITY</w:t>
            </w:r>
          </w:p>
        </w:tc>
        <w:tc>
          <w:tcPr>
            <w:tcW w:w="12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338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8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2,650</w:t>
            </w: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2,812</w:t>
            </w:r>
          </w:p>
        </w:tc>
        <w:tc>
          <w:tcPr>
            <w:tcW w:w="10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w:t>
            </w:r>
          </w:p>
        </w:tc>
        <w:tc>
          <w:tcPr>
            <w:tcW w:w="4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Stockholders' Equity</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17,720</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16,280</w:t>
            </w: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Stockholders' Equity</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20,370</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19,092</w:t>
            </w: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38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Total Liabilities and</w:t>
            </w:r>
          </w:p>
        </w:tc>
        <w:tc>
          <w:tcPr>
            <w:tcW w:w="12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3380" w:type="dxa"/>
            <w:vAlign w:val="bottom"/>
            <w:vMerge w:val="continue"/>
          </w:tcPr>
          <w:p>
            <w:pPr>
              <w:spacing w:after="0"/>
              <w:rPr>
                <w:sz w:val="7"/>
                <w:szCs w:val="7"/>
                <w:color w:val="auto"/>
              </w:rPr>
            </w:pPr>
          </w:p>
        </w:tc>
        <w:tc>
          <w:tcPr>
            <w:tcW w:w="4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315,252</w:t>
            </w: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303,847</w:t>
            </w:r>
          </w:p>
        </w:tc>
        <w:tc>
          <w:tcPr>
            <w:tcW w:w="10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3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4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380" w:type="dxa"/>
            <w:vAlign w:val="bottom"/>
            <w:vMerge w:val="restart"/>
          </w:tcPr>
          <w:p>
            <w:pPr>
              <w:spacing w:after="0"/>
              <w:rPr>
                <w:sz w:val="20"/>
                <w:szCs w:val="20"/>
                <w:color w:val="auto"/>
              </w:rPr>
            </w:pPr>
            <w:r>
              <w:rPr>
                <w:rFonts w:ascii="Courier New" w:cs="Courier New" w:eastAsia="Courier New" w:hAnsi="Courier New"/>
                <w:sz w:val="15"/>
                <w:szCs w:val="15"/>
                <w:color w:val="auto"/>
              </w:rPr>
              <w:t>INTEREST RATE SPREAD</w:t>
            </w:r>
          </w:p>
        </w:tc>
        <w:tc>
          <w:tcPr>
            <w:tcW w:w="12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2.40%</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vMerge w:val="restart"/>
          </w:tcPr>
          <w:p>
            <w:pPr>
              <w:ind w:left="480"/>
              <w:spacing w:after="0"/>
              <w:rPr>
                <w:sz w:val="20"/>
                <w:szCs w:val="20"/>
                <w:color w:val="auto"/>
              </w:rPr>
            </w:pPr>
            <w:r>
              <w:rPr>
                <w:rFonts w:ascii="Courier New" w:cs="Courier New" w:eastAsia="Courier New" w:hAnsi="Courier New"/>
                <w:sz w:val="15"/>
                <w:szCs w:val="15"/>
                <w:color w:val="auto"/>
              </w:rPr>
              <w:t>2.68%</w:t>
            </w:r>
          </w:p>
        </w:tc>
        <w:tc>
          <w:tcPr>
            <w:tcW w:w="0" w:type="dxa"/>
            <w:vAlign w:val="bottom"/>
          </w:tcPr>
          <w:p>
            <w:pPr>
              <w:spacing w:after="0"/>
              <w:rPr>
                <w:sz w:val="1"/>
                <w:szCs w:val="1"/>
                <w:color w:val="auto"/>
              </w:rPr>
            </w:pPr>
          </w:p>
        </w:tc>
      </w:tr>
      <w:tr>
        <w:trPr>
          <w:trHeight w:val="91"/>
        </w:trPr>
        <w:tc>
          <w:tcPr>
            <w:tcW w:w="338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3380" w:type="dxa"/>
            <w:vAlign w:val="bottom"/>
            <w:vMerge w:val="restart"/>
          </w:tcPr>
          <w:p>
            <w:pPr>
              <w:spacing w:after="0"/>
              <w:rPr>
                <w:sz w:val="20"/>
                <w:szCs w:val="20"/>
                <w:color w:val="auto"/>
              </w:rPr>
            </w:pPr>
            <w:r>
              <w:rPr>
                <w:rFonts w:ascii="Courier New" w:cs="Courier New" w:eastAsia="Courier New" w:hAnsi="Courier New"/>
                <w:sz w:val="15"/>
                <w:szCs w:val="15"/>
                <w:color w:val="auto"/>
              </w:rPr>
              <w:t>NET INTEREST INCOME AND NET</w:t>
            </w: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38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YIELD ON INTEREST-EARNING</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vMerge w:val="restart"/>
          </w:tcPr>
          <w:p>
            <w:pPr>
              <w:jc w:val="right"/>
              <w:ind w:right="327"/>
              <w:spacing w:after="0"/>
              <w:rPr>
                <w:sz w:val="20"/>
                <w:szCs w:val="20"/>
                <w:color w:val="auto"/>
              </w:rPr>
            </w:pPr>
            <w:r>
              <w:rPr>
                <w:rFonts w:ascii="Courier New" w:cs="Courier New" w:eastAsia="Courier New" w:hAnsi="Courier New"/>
                <w:sz w:val="15"/>
                <w:szCs w:val="15"/>
                <w:color w:val="auto"/>
              </w:rPr>
              <w:t>4,206(a)</w:t>
            </w:r>
          </w:p>
        </w:tc>
        <w:tc>
          <w:tcPr>
            <w:tcW w:w="12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3.31%</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20" w:type="dxa"/>
            <w:vAlign w:val="bottom"/>
            <w:gridSpan w:val="2"/>
            <w:vMerge w:val="restart"/>
          </w:tcPr>
          <w:p>
            <w:pPr>
              <w:ind w:left="340"/>
              <w:spacing w:after="0"/>
              <w:rPr>
                <w:sz w:val="20"/>
                <w:szCs w:val="20"/>
                <w:color w:val="auto"/>
              </w:rPr>
            </w:pPr>
            <w:r>
              <w:rPr>
                <w:rFonts w:ascii="Courier New" w:cs="Courier New" w:eastAsia="Courier New" w:hAnsi="Courier New"/>
                <w:sz w:val="15"/>
                <w:szCs w:val="15"/>
                <w:color w:val="auto"/>
              </w:rPr>
              <w:t>$4,081(a)</w:t>
            </w:r>
          </w:p>
        </w:tc>
        <w:tc>
          <w:tcPr>
            <w:tcW w:w="1160" w:type="dxa"/>
            <w:vAlign w:val="bottom"/>
            <w:vMerge w:val="restart"/>
          </w:tcPr>
          <w:p>
            <w:pPr>
              <w:ind w:left="480"/>
              <w:spacing w:after="0"/>
              <w:rPr>
                <w:sz w:val="20"/>
                <w:szCs w:val="20"/>
                <w:color w:val="auto"/>
              </w:rPr>
            </w:pPr>
            <w:r>
              <w:rPr>
                <w:rFonts w:ascii="Courier New" w:cs="Courier New" w:eastAsia="Courier New" w:hAnsi="Courier New"/>
                <w:sz w:val="15"/>
                <w:szCs w:val="15"/>
                <w:color w:val="auto"/>
              </w:rPr>
              <w:t>3.44%</w:t>
            </w:r>
          </w:p>
        </w:tc>
        <w:tc>
          <w:tcPr>
            <w:tcW w:w="0" w:type="dxa"/>
            <w:vAlign w:val="bottom"/>
          </w:tcPr>
          <w:p>
            <w:pPr>
              <w:spacing w:after="0"/>
              <w:rPr>
                <w:sz w:val="1"/>
                <w:szCs w:val="1"/>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ASSETS</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21"/>
                <w:szCs w:val="21"/>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1"/>
                <w:szCs w:val="21"/>
                <w:color w:val="auto"/>
              </w:rPr>
            </w:pPr>
          </w:p>
        </w:tc>
        <w:tc>
          <w:tcPr>
            <w:tcW w:w="116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jc w:val="both"/>
        <w:ind w:left="540" w:right="4540" w:hanging="530"/>
        <w:spacing w:after="0" w:line="249" w:lineRule="auto"/>
        <w:tabs>
          <w:tab w:leader="none" w:pos="5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 pro forma adjustment to the net interest income amount included in the Statement of Income to permit comparisons of yields on tax-exempt and taxable assets.</w:t>
      </w:r>
    </w:p>
    <w:p>
      <w:pPr>
        <w:spacing w:after="0" w:line="1" w:lineRule="exact"/>
        <w:rPr>
          <w:rFonts w:ascii="Courier New" w:cs="Courier New" w:eastAsia="Courier New" w:hAnsi="Courier New"/>
          <w:sz w:val="15"/>
          <w:szCs w:val="15"/>
          <w:color w:val="auto"/>
        </w:rPr>
      </w:pPr>
    </w:p>
    <w:p>
      <w:pPr>
        <w:jc w:val="both"/>
        <w:ind w:left="540" w:right="4540" w:hanging="530"/>
        <w:spacing w:after="0" w:line="237" w:lineRule="auto"/>
        <w:tabs>
          <w:tab w:leader="none" w:pos="5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six months ended June 30, 1996 and June 30, 1995, the annualized rate for securities available-for-sale based on historical cost was 6.53% and 7.39%, respectively.</w:t>
      </w:r>
    </w:p>
    <w:p>
      <w:pPr>
        <w:spacing w:after="0" w:line="1" w:lineRule="exact"/>
        <w:rPr>
          <w:rFonts w:ascii="Courier New" w:cs="Courier New" w:eastAsia="Courier New" w:hAnsi="Courier New"/>
          <w:sz w:val="15"/>
          <w:szCs w:val="15"/>
          <w:color w:val="auto"/>
        </w:rPr>
      </w:pPr>
    </w:p>
    <w:p>
      <w:pPr>
        <w:ind w:left="540" w:hanging="530"/>
        <w:spacing w:after="0"/>
        <w:tabs>
          <w:tab w:leader="none" w:pos="5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securities sold but not yet purchased.</w:t>
      </w: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1540"/>
          </w:cols>
          <w:pgMar w:left="220" w:top="934" w:right="139" w:bottom="873" w:gutter="0" w:footer="0" w:header="0"/>
        </w:sectPr>
      </w:pPr>
    </w:p>
    <w:bookmarkStart w:id="46" w:name="page47"/>
    <w:bookmarkEnd w:id="46"/>
    <w:p>
      <w:pPr>
        <w:ind w:left="1400"/>
        <w:spacing w:after="0"/>
        <w:rPr>
          <w:sz w:val="20"/>
          <w:szCs w:val="20"/>
          <w:color w:val="auto"/>
        </w:rPr>
      </w:pPr>
      <w:r>
        <w:rPr>
          <w:rFonts w:ascii="Courier New" w:cs="Courier New" w:eastAsia="Courier New" w:hAnsi="Courier New"/>
          <w:sz w:val="15"/>
          <w:szCs w:val="15"/>
          <w:color w:val="auto"/>
        </w:rPr>
        <w:t>THE CHASE MANHATTAN CORPORATION and Subsidiaries</w:t>
      </w:r>
    </w:p>
    <w:p>
      <w:pPr>
        <w:spacing w:after="0" w:line="2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QUARTERLY FINANCIAL INFORMATION</w:t>
      </w:r>
    </w:p>
    <w:tbl>
      <w:tblPr>
        <w:tblLayout w:type="fixed"/>
        <w:tblInd w:w="0" w:type="dxa"/>
        <w:tblCellMar>
          <w:top w:w="0" w:type="dxa"/>
          <w:left w:w="0" w:type="dxa"/>
          <w:bottom w:w="0" w:type="dxa"/>
          <w:right w:w="0" w:type="dxa"/>
        </w:tblCellMar>
      </w:tblPr>
      <w:tr>
        <w:trPr>
          <w:trHeight w:val="245"/>
        </w:trPr>
        <w:tc>
          <w:tcPr>
            <w:tcW w:w="5480" w:type="dxa"/>
            <w:vAlign w:val="bottom"/>
          </w:tcPr>
          <w:p>
            <w:pPr>
              <w:ind w:left="1940"/>
              <w:spacing w:after="0"/>
              <w:rPr>
                <w:sz w:val="20"/>
                <w:szCs w:val="20"/>
                <w:color w:val="auto"/>
              </w:rPr>
            </w:pPr>
            <w:r>
              <w:rPr>
                <w:rFonts w:ascii="Courier New" w:cs="Courier New" w:eastAsia="Courier New" w:hAnsi="Courier New"/>
                <w:sz w:val="15"/>
                <w:szCs w:val="15"/>
                <w:color w:val="auto"/>
              </w:rPr>
              <w:t>(in millions, except per share data)</w:t>
            </w: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1995</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5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1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3140" w:type="dxa"/>
            <w:vAlign w:val="bottom"/>
            <w:gridSpan w:val="5"/>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Second</w:t>
            </w:r>
          </w:p>
        </w:tc>
        <w:tc>
          <w:tcPr>
            <w:tcW w:w="4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First</w:t>
            </w:r>
          </w:p>
        </w:tc>
        <w:tc>
          <w:tcPr>
            <w:tcW w:w="180" w:type="dxa"/>
            <w:vAlign w:val="bottom"/>
          </w:tcPr>
          <w:p>
            <w:pPr>
              <w:spacing w:after="0"/>
              <w:rPr>
                <w:sz w:val="14"/>
                <w:szCs w:val="14"/>
                <w:color w:val="auto"/>
              </w:rPr>
            </w:pP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Fourth</w:t>
            </w:r>
          </w:p>
        </w:tc>
        <w:tc>
          <w:tcPr>
            <w:tcW w:w="400" w:type="dxa"/>
            <w:vAlign w:val="bottom"/>
          </w:tcPr>
          <w:p>
            <w:pPr>
              <w:spacing w:after="0"/>
              <w:rPr>
                <w:sz w:val="14"/>
                <w:szCs w:val="14"/>
                <w:color w:val="auto"/>
              </w:rPr>
            </w:pPr>
          </w:p>
        </w:tc>
        <w:tc>
          <w:tcPr>
            <w:tcW w:w="8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Third</w:t>
            </w:r>
          </w:p>
        </w:tc>
        <w:tc>
          <w:tcPr>
            <w:tcW w:w="300" w:type="dxa"/>
            <w:vAlign w:val="bottom"/>
          </w:tcPr>
          <w:p>
            <w:pPr>
              <w:spacing w:after="0"/>
              <w:rPr>
                <w:sz w:val="14"/>
                <w:szCs w:val="14"/>
                <w:color w:val="auto"/>
              </w:rPr>
            </w:pP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Second</w:t>
            </w:r>
          </w:p>
        </w:tc>
        <w:tc>
          <w:tcPr>
            <w:tcW w:w="0" w:type="dxa"/>
            <w:vAlign w:val="bottom"/>
          </w:tcPr>
          <w:p>
            <w:pPr>
              <w:spacing w:after="0"/>
              <w:rPr>
                <w:sz w:val="1"/>
                <w:szCs w:val="1"/>
                <w:color w:val="auto"/>
              </w:rPr>
            </w:pPr>
          </w:p>
        </w:tc>
      </w:tr>
      <w:tr>
        <w:trPr>
          <w:trHeight w:val="168"/>
        </w:trPr>
        <w:tc>
          <w:tcPr>
            <w:tcW w:w="5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Quarter</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Quarter</w:t>
            </w:r>
          </w:p>
        </w:tc>
        <w:tc>
          <w:tcPr>
            <w:tcW w:w="180" w:type="dxa"/>
            <w:vAlign w:val="bottom"/>
          </w:tcPr>
          <w:p>
            <w:pPr>
              <w:spacing w:after="0"/>
              <w:rPr>
                <w:sz w:val="14"/>
                <w:szCs w:val="14"/>
                <w:color w:val="auto"/>
              </w:rPr>
            </w:pP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Quarter</w:t>
            </w:r>
          </w:p>
        </w:tc>
        <w:tc>
          <w:tcPr>
            <w:tcW w:w="400" w:type="dxa"/>
            <w:vAlign w:val="bottom"/>
          </w:tcPr>
          <w:p>
            <w:pPr>
              <w:spacing w:after="0"/>
              <w:rPr>
                <w:sz w:val="14"/>
                <w:szCs w:val="14"/>
                <w:color w:val="auto"/>
              </w:rPr>
            </w:pPr>
          </w:p>
        </w:tc>
        <w:tc>
          <w:tcPr>
            <w:tcW w:w="8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Quarter</w:t>
            </w:r>
          </w:p>
        </w:tc>
        <w:tc>
          <w:tcPr>
            <w:tcW w:w="300" w:type="dxa"/>
            <w:vAlign w:val="bottom"/>
          </w:tcPr>
          <w:p>
            <w:pPr>
              <w:spacing w:after="0"/>
              <w:rPr>
                <w:sz w:val="14"/>
                <w:szCs w:val="14"/>
                <w:color w:val="auto"/>
              </w:rPr>
            </w:pP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1"/>
              </w:rPr>
              <w:t>Quarter</w:t>
            </w:r>
          </w:p>
        </w:tc>
        <w:tc>
          <w:tcPr>
            <w:tcW w:w="0" w:type="dxa"/>
            <w:vAlign w:val="bottom"/>
          </w:tcPr>
          <w:p>
            <w:pPr>
              <w:spacing w:after="0"/>
              <w:rPr>
                <w:sz w:val="1"/>
                <w:szCs w:val="1"/>
                <w:color w:val="auto"/>
              </w:rPr>
            </w:pPr>
          </w:p>
        </w:tc>
      </w:tr>
      <w:tr>
        <w:trPr>
          <w:trHeight w:val="245"/>
        </w:trPr>
        <w:tc>
          <w:tcPr>
            <w:tcW w:w="5480" w:type="dxa"/>
            <w:vAlign w:val="bottom"/>
            <w:vMerge w:val="restart"/>
          </w:tcPr>
          <w:p>
            <w:pPr>
              <w:spacing w:after="0"/>
              <w:rPr>
                <w:sz w:val="20"/>
                <w:szCs w:val="20"/>
                <w:color w:val="auto"/>
              </w:rPr>
            </w:pPr>
            <w:r>
              <w:rPr>
                <w:rFonts w:ascii="Courier New" w:cs="Courier New" w:eastAsia="Courier New" w:hAnsi="Courier New"/>
                <w:sz w:val="15"/>
                <w:szCs w:val="15"/>
                <w:color w:val="auto"/>
              </w:rPr>
              <w:t>Interest Income</w:t>
            </w:r>
          </w:p>
        </w:tc>
        <w:tc>
          <w:tcPr>
            <w:tcW w:w="126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168"/>
        </w:trPr>
        <w:tc>
          <w:tcPr>
            <w:tcW w:w="54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5480" w:type="dxa"/>
            <w:vAlign w:val="bottom"/>
          </w:tcPr>
          <w:p>
            <w:pPr>
              <w:spacing w:after="0"/>
              <w:rPr>
                <w:sz w:val="20"/>
                <w:szCs w:val="20"/>
                <w:color w:val="auto"/>
              </w:rPr>
            </w:pPr>
            <w:r>
              <w:rPr>
                <w:rFonts w:ascii="Courier New" w:cs="Courier New" w:eastAsia="Courier New" w:hAnsi="Courier New"/>
                <w:sz w:val="15"/>
                <w:szCs w:val="15"/>
                <w:color w:val="auto"/>
              </w:rPr>
              <w:t>Loans</w:t>
            </w:r>
          </w:p>
        </w:tc>
        <w:tc>
          <w:tcPr>
            <w:tcW w:w="52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3,028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3,241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3,252</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3,280</w:t>
            </w:r>
          </w:p>
        </w:tc>
        <w:tc>
          <w:tcPr>
            <w:tcW w:w="3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3,241</w:t>
            </w:r>
          </w:p>
        </w:tc>
        <w:tc>
          <w:tcPr>
            <w:tcW w:w="0" w:type="dxa"/>
            <w:vAlign w:val="bottom"/>
          </w:tcPr>
          <w:p>
            <w:pPr>
              <w:spacing w:after="0"/>
              <w:rPr>
                <w:sz w:val="1"/>
                <w:szCs w:val="1"/>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w:t>
            </w:r>
          </w:p>
        </w:tc>
        <w:tc>
          <w:tcPr>
            <w:tcW w:w="5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685</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720</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718</w:t>
            </w:r>
          </w:p>
        </w:tc>
        <w:tc>
          <w:tcPr>
            <w:tcW w:w="4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639</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616</w:t>
            </w:r>
          </w:p>
        </w:tc>
        <w:tc>
          <w:tcPr>
            <w:tcW w:w="0" w:type="dxa"/>
            <w:vAlign w:val="bottom"/>
          </w:tcPr>
          <w:p>
            <w:pPr>
              <w:spacing w:after="0"/>
              <w:rPr>
                <w:sz w:val="1"/>
                <w:szCs w:val="1"/>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 Assets</w:t>
            </w:r>
          </w:p>
        </w:tc>
        <w:tc>
          <w:tcPr>
            <w:tcW w:w="5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406</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429</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402</w:t>
            </w:r>
          </w:p>
        </w:tc>
        <w:tc>
          <w:tcPr>
            <w:tcW w:w="4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360</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343</w:t>
            </w:r>
          </w:p>
        </w:tc>
        <w:tc>
          <w:tcPr>
            <w:tcW w:w="0" w:type="dxa"/>
            <w:vAlign w:val="bottom"/>
          </w:tcPr>
          <w:p>
            <w:pPr>
              <w:spacing w:after="0"/>
              <w:rPr>
                <w:sz w:val="1"/>
                <w:szCs w:val="1"/>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Sold and Securities</w:t>
            </w:r>
          </w:p>
        </w:tc>
        <w:tc>
          <w:tcPr>
            <w:tcW w:w="520" w:type="dxa"/>
            <w:vAlign w:val="bottom"/>
          </w:tcPr>
          <w:p>
            <w:pPr>
              <w:spacing w:after="0"/>
              <w:rPr>
                <w:sz w:val="14"/>
                <w:szCs w:val="14"/>
                <w:color w:val="auto"/>
              </w:rPr>
            </w:pPr>
          </w:p>
        </w:tc>
        <w:tc>
          <w:tcPr>
            <w:tcW w:w="7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514</w:t>
            </w:r>
          </w:p>
        </w:tc>
        <w:tc>
          <w:tcPr>
            <w:tcW w:w="440" w:type="dxa"/>
            <w:vAlign w:val="bottom"/>
          </w:tcPr>
          <w:p>
            <w:pPr>
              <w:spacing w:after="0"/>
              <w:rPr>
                <w:sz w:val="14"/>
                <w:szCs w:val="14"/>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501</w:t>
            </w:r>
          </w:p>
        </w:tc>
        <w:tc>
          <w:tcPr>
            <w:tcW w:w="180" w:type="dxa"/>
            <w:vAlign w:val="bottom"/>
          </w:tcPr>
          <w:p>
            <w:pPr>
              <w:spacing w:after="0"/>
              <w:rPr>
                <w:sz w:val="14"/>
                <w:szCs w:val="14"/>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491</w:t>
            </w:r>
          </w:p>
        </w:tc>
        <w:tc>
          <w:tcPr>
            <w:tcW w:w="400" w:type="dxa"/>
            <w:vAlign w:val="bottom"/>
          </w:tcPr>
          <w:p>
            <w:pPr>
              <w:spacing w:after="0"/>
              <w:rPr>
                <w:sz w:val="14"/>
                <w:szCs w:val="14"/>
                <w:color w:val="auto"/>
              </w:rPr>
            </w:pP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448</w:t>
            </w:r>
          </w:p>
        </w:tc>
        <w:tc>
          <w:tcPr>
            <w:tcW w:w="300" w:type="dxa"/>
            <w:vAlign w:val="bottom"/>
          </w:tcPr>
          <w:p>
            <w:pPr>
              <w:spacing w:after="0"/>
              <w:rPr>
                <w:sz w:val="14"/>
                <w:szCs w:val="14"/>
                <w:color w:val="auto"/>
              </w:rPr>
            </w:pP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482</w:t>
            </w:r>
          </w:p>
        </w:tc>
        <w:tc>
          <w:tcPr>
            <w:tcW w:w="0" w:type="dxa"/>
            <w:vAlign w:val="bottom"/>
          </w:tcPr>
          <w:p>
            <w:pPr>
              <w:spacing w:after="0"/>
              <w:rPr>
                <w:sz w:val="1"/>
                <w:szCs w:val="1"/>
                <w:color w:val="auto"/>
              </w:rPr>
            </w:pP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Purchased Under Resale Agreements</w:t>
            </w:r>
          </w:p>
        </w:tc>
        <w:tc>
          <w:tcPr>
            <w:tcW w:w="5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Deposits with Banks</w:t>
            </w:r>
          </w:p>
        </w:tc>
        <w:tc>
          <w:tcPr>
            <w:tcW w:w="5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172</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187</w:t>
            </w:r>
          </w:p>
        </w:tc>
        <w:tc>
          <w:tcPr>
            <w:tcW w:w="4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194</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218</w:t>
            </w:r>
          </w:p>
        </w:tc>
        <w:tc>
          <w:tcPr>
            <w:tcW w:w="0" w:type="dxa"/>
            <w:vAlign w:val="bottom"/>
          </w:tcPr>
          <w:p>
            <w:pPr>
              <w:spacing w:after="0"/>
              <w:rPr>
                <w:sz w:val="1"/>
                <w:szCs w:val="1"/>
                <w:color w:val="auto"/>
              </w:rPr>
            </w:pPr>
          </w:p>
        </w:tc>
      </w:tr>
      <w:tr>
        <w:trPr>
          <w:trHeight w:val="168"/>
        </w:trPr>
        <w:tc>
          <w:tcPr>
            <w:tcW w:w="5480" w:type="dxa"/>
            <w:vAlign w:val="bottom"/>
            <w:vMerge w:val="restart"/>
          </w:tcPr>
          <w:p>
            <w:pPr>
              <w:ind w:left="880"/>
              <w:spacing w:after="0"/>
              <w:rPr>
                <w:sz w:val="20"/>
                <w:szCs w:val="20"/>
                <w:color w:val="auto"/>
              </w:rPr>
            </w:pPr>
            <w:r>
              <w:rPr>
                <w:rFonts w:ascii="Courier New" w:cs="Courier New" w:eastAsia="Courier New" w:hAnsi="Courier New"/>
                <w:sz w:val="15"/>
                <w:szCs w:val="15"/>
                <w:color w:val="auto"/>
              </w:rPr>
              <w:t>Total Interest Income</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4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4,789</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5,063</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5,050</w:t>
            </w:r>
          </w:p>
        </w:tc>
        <w:tc>
          <w:tcPr>
            <w:tcW w:w="4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4,921</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4,900</w:t>
            </w:r>
          </w:p>
        </w:tc>
        <w:tc>
          <w:tcPr>
            <w:tcW w:w="0" w:type="dxa"/>
            <w:vAlign w:val="bottom"/>
          </w:tcPr>
          <w:p>
            <w:pPr>
              <w:spacing w:after="0"/>
              <w:rPr>
                <w:sz w:val="1"/>
                <w:szCs w:val="1"/>
                <w:color w:val="auto"/>
              </w:rPr>
            </w:pPr>
          </w:p>
        </w:tc>
      </w:tr>
      <w:tr>
        <w:trPr>
          <w:trHeight w:val="245"/>
        </w:trPr>
        <w:tc>
          <w:tcPr>
            <w:tcW w:w="5480" w:type="dxa"/>
            <w:vAlign w:val="bottom"/>
            <w:vMerge w:val="restart"/>
          </w:tcPr>
          <w:p>
            <w:pPr>
              <w:spacing w:after="0"/>
              <w:rPr>
                <w:sz w:val="20"/>
                <w:szCs w:val="20"/>
                <w:color w:val="auto"/>
              </w:rPr>
            </w:pPr>
            <w:r>
              <w:rPr>
                <w:rFonts w:ascii="Courier New" w:cs="Courier New" w:eastAsia="Courier New" w:hAnsi="Courier New"/>
                <w:sz w:val="15"/>
                <w:szCs w:val="15"/>
                <w:color w:val="auto"/>
              </w:rPr>
              <w:t>Interest Expense</w:t>
            </w:r>
          </w:p>
        </w:tc>
        <w:tc>
          <w:tcPr>
            <w:tcW w:w="12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4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1,458</w:t>
            </w:r>
          </w:p>
        </w:tc>
        <w:tc>
          <w:tcPr>
            <w:tcW w:w="440" w:type="dxa"/>
            <w:vAlign w:val="bottom"/>
          </w:tcPr>
          <w:p>
            <w:pPr>
              <w:spacing w:after="0"/>
              <w:rPr>
                <w:sz w:val="7"/>
                <w:szCs w:val="7"/>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1,644</w:t>
            </w:r>
          </w:p>
        </w:tc>
        <w:tc>
          <w:tcPr>
            <w:tcW w:w="180" w:type="dxa"/>
            <w:vAlign w:val="bottom"/>
          </w:tcPr>
          <w:p>
            <w:pPr>
              <w:spacing w:after="0"/>
              <w:rPr>
                <w:sz w:val="7"/>
                <w:szCs w:val="7"/>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1,602</w:t>
            </w:r>
          </w:p>
        </w:tc>
        <w:tc>
          <w:tcPr>
            <w:tcW w:w="400" w:type="dxa"/>
            <w:vAlign w:val="bottom"/>
          </w:tcPr>
          <w:p>
            <w:pPr>
              <w:spacing w:after="0"/>
              <w:rPr>
                <w:sz w:val="7"/>
                <w:szCs w:val="7"/>
                <w:color w:val="auto"/>
              </w:rPr>
            </w:pP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1,593</w:t>
            </w:r>
          </w:p>
        </w:tc>
        <w:tc>
          <w:tcPr>
            <w:tcW w:w="300" w:type="dxa"/>
            <w:vAlign w:val="bottom"/>
          </w:tcPr>
          <w:p>
            <w:pPr>
              <w:spacing w:after="0"/>
              <w:rPr>
                <w:sz w:val="7"/>
                <w:szCs w:val="7"/>
                <w:color w:val="auto"/>
              </w:rPr>
            </w:pP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1,596</w:t>
            </w:r>
          </w:p>
        </w:tc>
        <w:tc>
          <w:tcPr>
            <w:tcW w:w="0" w:type="dxa"/>
            <w:vAlign w:val="bottom"/>
          </w:tcPr>
          <w:p>
            <w:pPr>
              <w:spacing w:after="0"/>
              <w:rPr>
                <w:sz w:val="1"/>
                <w:szCs w:val="1"/>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Deposits</w:t>
            </w:r>
          </w:p>
        </w:tc>
        <w:tc>
          <w:tcPr>
            <w:tcW w:w="5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Short-Term and Other Borrowings</w:t>
            </w:r>
          </w:p>
        </w:tc>
        <w:tc>
          <w:tcPr>
            <w:tcW w:w="5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1,087</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1,026</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1,139</w:t>
            </w:r>
          </w:p>
        </w:tc>
        <w:tc>
          <w:tcPr>
            <w:tcW w:w="4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1,020</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1,038</w:t>
            </w:r>
          </w:p>
        </w:tc>
        <w:tc>
          <w:tcPr>
            <w:tcW w:w="0" w:type="dxa"/>
            <w:vAlign w:val="bottom"/>
          </w:tcPr>
          <w:p>
            <w:pPr>
              <w:spacing w:after="0"/>
              <w:rPr>
                <w:sz w:val="1"/>
                <w:szCs w:val="1"/>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5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221</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227</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231</w:t>
            </w:r>
          </w:p>
        </w:tc>
        <w:tc>
          <w:tcPr>
            <w:tcW w:w="4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239</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238</w:t>
            </w:r>
          </w:p>
        </w:tc>
        <w:tc>
          <w:tcPr>
            <w:tcW w:w="0" w:type="dxa"/>
            <w:vAlign w:val="bottom"/>
          </w:tcPr>
          <w:p>
            <w:pPr>
              <w:spacing w:after="0"/>
              <w:rPr>
                <w:sz w:val="1"/>
                <w:szCs w:val="1"/>
                <w:color w:val="auto"/>
              </w:rPr>
            </w:pPr>
          </w:p>
        </w:tc>
      </w:tr>
      <w:tr>
        <w:trPr>
          <w:trHeight w:val="168"/>
        </w:trPr>
        <w:tc>
          <w:tcPr>
            <w:tcW w:w="5480" w:type="dxa"/>
            <w:vAlign w:val="bottom"/>
            <w:vMerge w:val="restart"/>
          </w:tcPr>
          <w:p>
            <w:pPr>
              <w:ind w:left="880"/>
              <w:spacing w:after="0"/>
              <w:rPr>
                <w:sz w:val="20"/>
                <w:szCs w:val="20"/>
                <w:color w:val="auto"/>
              </w:rPr>
            </w:pPr>
            <w:r>
              <w:rPr>
                <w:rFonts w:ascii="Courier New" w:cs="Courier New" w:eastAsia="Courier New" w:hAnsi="Courier New"/>
                <w:sz w:val="15"/>
                <w:szCs w:val="15"/>
                <w:color w:val="auto"/>
              </w:rPr>
              <w:t>Total Interest Expense</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4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2,766</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2,897</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2,972</w:t>
            </w:r>
          </w:p>
        </w:tc>
        <w:tc>
          <w:tcPr>
            <w:tcW w:w="4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2,852</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2,872</w:t>
            </w:r>
          </w:p>
        </w:tc>
        <w:tc>
          <w:tcPr>
            <w:tcW w:w="0" w:type="dxa"/>
            <w:vAlign w:val="bottom"/>
          </w:tcPr>
          <w:p>
            <w:pPr>
              <w:spacing w:after="0"/>
              <w:rPr>
                <w:sz w:val="1"/>
                <w:szCs w:val="1"/>
                <w:color w:val="auto"/>
              </w:rPr>
            </w:pPr>
          </w:p>
        </w:tc>
      </w:tr>
      <w:tr>
        <w:trPr>
          <w:trHeight w:val="168"/>
        </w:trPr>
        <w:tc>
          <w:tcPr>
            <w:tcW w:w="5480" w:type="dxa"/>
            <w:vAlign w:val="bottom"/>
            <w:vMerge w:val="restart"/>
          </w:tcPr>
          <w:p>
            <w:pPr>
              <w:spacing w:after="0"/>
              <w:rPr>
                <w:sz w:val="20"/>
                <w:szCs w:val="20"/>
                <w:color w:val="auto"/>
              </w:rPr>
            </w:pPr>
            <w:r>
              <w:rPr>
                <w:rFonts w:ascii="Courier New" w:cs="Courier New" w:eastAsia="Courier New" w:hAnsi="Courier New"/>
                <w:sz w:val="15"/>
                <w:szCs w:val="15"/>
                <w:color w:val="auto"/>
              </w:rPr>
              <w:t>Net Interest Income</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4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2,023</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2,166</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2,078</w:t>
            </w:r>
          </w:p>
        </w:tc>
        <w:tc>
          <w:tcPr>
            <w:tcW w:w="4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2,069</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2,028</w:t>
            </w:r>
          </w:p>
        </w:tc>
        <w:tc>
          <w:tcPr>
            <w:tcW w:w="0" w:type="dxa"/>
            <w:vAlign w:val="bottom"/>
          </w:tcPr>
          <w:p>
            <w:pPr>
              <w:spacing w:after="0"/>
              <w:rPr>
                <w:sz w:val="1"/>
                <w:szCs w:val="1"/>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Losses</w:t>
            </w:r>
          </w:p>
        </w:tc>
        <w:tc>
          <w:tcPr>
            <w:tcW w:w="5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250</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245</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186</w:t>
            </w:r>
          </w:p>
        </w:tc>
        <w:tc>
          <w:tcPr>
            <w:tcW w:w="4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192</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195</w:t>
            </w:r>
          </w:p>
        </w:tc>
        <w:tc>
          <w:tcPr>
            <w:tcW w:w="0" w:type="dxa"/>
            <w:vAlign w:val="bottom"/>
          </w:tcPr>
          <w:p>
            <w:pPr>
              <w:spacing w:after="0"/>
              <w:rPr>
                <w:sz w:val="1"/>
                <w:szCs w:val="1"/>
                <w:color w:val="auto"/>
              </w:rPr>
            </w:pPr>
          </w:p>
        </w:tc>
      </w:tr>
      <w:tr>
        <w:trPr>
          <w:trHeight w:val="168"/>
        </w:trPr>
        <w:tc>
          <w:tcPr>
            <w:tcW w:w="5480" w:type="dxa"/>
            <w:vAlign w:val="bottom"/>
            <w:vMerge w:val="restart"/>
          </w:tcPr>
          <w:p>
            <w:pPr>
              <w:spacing w:after="0"/>
              <w:rPr>
                <w:sz w:val="20"/>
                <w:szCs w:val="20"/>
                <w:color w:val="auto"/>
              </w:rPr>
            </w:pPr>
            <w:r>
              <w:rPr>
                <w:rFonts w:ascii="Courier New" w:cs="Courier New" w:eastAsia="Courier New" w:hAnsi="Courier New"/>
                <w:sz w:val="15"/>
                <w:szCs w:val="15"/>
                <w:color w:val="auto"/>
              </w:rPr>
              <w:t>Net Interest Income After Provision For Losses</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4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1,773</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1,921</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1,892</w:t>
            </w:r>
          </w:p>
        </w:tc>
        <w:tc>
          <w:tcPr>
            <w:tcW w:w="4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1,877</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1,833</w:t>
            </w:r>
          </w:p>
        </w:tc>
        <w:tc>
          <w:tcPr>
            <w:tcW w:w="0" w:type="dxa"/>
            <w:vAlign w:val="bottom"/>
          </w:tcPr>
          <w:p>
            <w:pPr>
              <w:spacing w:after="0"/>
              <w:rPr>
                <w:sz w:val="1"/>
                <w:szCs w:val="1"/>
                <w:color w:val="auto"/>
              </w:rPr>
            </w:pPr>
          </w:p>
        </w:tc>
      </w:tr>
      <w:tr>
        <w:trPr>
          <w:trHeight w:val="245"/>
        </w:trPr>
        <w:tc>
          <w:tcPr>
            <w:tcW w:w="5480" w:type="dxa"/>
            <w:vAlign w:val="bottom"/>
            <w:vMerge w:val="restart"/>
          </w:tcPr>
          <w:p>
            <w:pPr>
              <w:spacing w:after="0"/>
              <w:rPr>
                <w:sz w:val="20"/>
                <w:szCs w:val="20"/>
                <w:color w:val="auto"/>
              </w:rPr>
            </w:pPr>
            <w:r>
              <w:rPr>
                <w:rFonts w:ascii="Courier New" w:cs="Courier New" w:eastAsia="Courier New" w:hAnsi="Courier New"/>
                <w:sz w:val="15"/>
                <w:szCs w:val="15"/>
                <w:color w:val="auto"/>
              </w:rPr>
              <w:t>Noninterest Revenue</w:t>
            </w:r>
          </w:p>
        </w:tc>
        <w:tc>
          <w:tcPr>
            <w:tcW w:w="12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4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258</w:t>
            </w:r>
          </w:p>
        </w:tc>
        <w:tc>
          <w:tcPr>
            <w:tcW w:w="440" w:type="dxa"/>
            <w:vAlign w:val="bottom"/>
          </w:tcPr>
          <w:p>
            <w:pPr>
              <w:spacing w:after="0"/>
              <w:rPr>
                <w:sz w:val="7"/>
                <w:szCs w:val="7"/>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224</w:t>
            </w:r>
          </w:p>
        </w:tc>
        <w:tc>
          <w:tcPr>
            <w:tcW w:w="180" w:type="dxa"/>
            <w:vAlign w:val="bottom"/>
          </w:tcPr>
          <w:p>
            <w:pPr>
              <w:spacing w:after="0"/>
              <w:rPr>
                <w:sz w:val="7"/>
                <w:szCs w:val="7"/>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220</w:t>
            </w:r>
          </w:p>
        </w:tc>
        <w:tc>
          <w:tcPr>
            <w:tcW w:w="400" w:type="dxa"/>
            <w:vAlign w:val="bottom"/>
          </w:tcPr>
          <w:p>
            <w:pPr>
              <w:spacing w:after="0"/>
              <w:rPr>
                <w:sz w:val="7"/>
                <w:szCs w:val="7"/>
                <w:color w:val="auto"/>
              </w:rPr>
            </w:pP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210</w:t>
            </w:r>
          </w:p>
        </w:tc>
        <w:tc>
          <w:tcPr>
            <w:tcW w:w="300" w:type="dxa"/>
            <w:vAlign w:val="bottom"/>
          </w:tcPr>
          <w:p>
            <w:pPr>
              <w:spacing w:after="0"/>
              <w:rPr>
                <w:sz w:val="7"/>
                <w:szCs w:val="7"/>
                <w:color w:val="auto"/>
              </w:rPr>
            </w:pP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197</w:t>
            </w:r>
          </w:p>
        </w:tc>
        <w:tc>
          <w:tcPr>
            <w:tcW w:w="0" w:type="dxa"/>
            <w:vAlign w:val="bottom"/>
          </w:tcPr>
          <w:p>
            <w:pPr>
              <w:spacing w:after="0"/>
              <w:rPr>
                <w:sz w:val="1"/>
                <w:szCs w:val="1"/>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Finance and Syndication Fees</w:t>
            </w:r>
          </w:p>
        </w:tc>
        <w:tc>
          <w:tcPr>
            <w:tcW w:w="5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Trust and Investment Management Fees</w:t>
            </w:r>
          </w:p>
        </w:tc>
        <w:tc>
          <w:tcPr>
            <w:tcW w:w="5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302</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285</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277</w:t>
            </w:r>
          </w:p>
        </w:tc>
        <w:tc>
          <w:tcPr>
            <w:tcW w:w="4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258</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243</w:t>
            </w:r>
          </w:p>
        </w:tc>
        <w:tc>
          <w:tcPr>
            <w:tcW w:w="0" w:type="dxa"/>
            <w:vAlign w:val="bottom"/>
          </w:tcPr>
          <w:p>
            <w:pPr>
              <w:spacing w:after="0"/>
              <w:rPr>
                <w:sz w:val="1"/>
                <w:szCs w:val="1"/>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Credit Card Revenue</w:t>
            </w:r>
          </w:p>
        </w:tc>
        <w:tc>
          <w:tcPr>
            <w:tcW w:w="5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233</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233</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246</w:t>
            </w:r>
          </w:p>
        </w:tc>
        <w:tc>
          <w:tcPr>
            <w:tcW w:w="4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210</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196</w:t>
            </w:r>
          </w:p>
        </w:tc>
        <w:tc>
          <w:tcPr>
            <w:tcW w:w="0" w:type="dxa"/>
            <w:vAlign w:val="bottom"/>
          </w:tcPr>
          <w:p>
            <w:pPr>
              <w:spacing w:after="0"/>
              <w:rPr>
                <w:sz w:val="1"/>
                <w:szCs w:val="1"/>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Charges on Deposit Accounts</w:t>
            </w:r>
          </w:p>
        </w:tc>
        <w:tc>
          <w:tcPr>
            <w:tcW w:w="5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101</w:t>
            </w:r>
          </w:p>
        </w:tc>
        <w:tc>
          <w:tcPr>
            <w:tcW w:w="4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105</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w:t>
            </w:r>
          </w:p>
        </w:tc>
        <w:tc>
          <w:tcPr>
            <w:tcW w:w="0" w:type="dxa"/>
            <w:vAlign w:val="bottom"/>
          </w:tcPr>
          <w:p>
            <w:pPr>
              <w:spacing w:after="0"/>
              <w:rPr>
                <w:sz w:val="1"/>
                <w:szCs w:val="1"/>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Fees for Other Financial Services</w:t>
            </w:r>
          </w:p>
        </w:tc>
        <w:tc>
          <w:tcPr>
            <w:tcW w:w="5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381</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378</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363</w:t>
            </w:r>
          </w:p>
        </w:tc>
        <w:tc>
          <w:tcPr>
            <w:tcW w:w="4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370</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353</w:t>
            </w:r>
          </w:p>
        </w:tc>
        <w:tc>
          <w:tcPr>
            <w:tcW w:w="0" w:type="dxa"/>
            <w:vAlign w:val="bottom"/>
          </w:tcPr>
          <w:p>
            <w:pPr>
              <w:spacing w:after="0"/>
              <w:rPr>
                <w:sz w:val="1"/>
                <w:szCs w:val="1"/>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 Revenue</w:t>
            </w:r>
          </w:p>
        </w:tc>
        <w:tc>
          <w:tcPr>
            <w:tcW w:w="5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379</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339</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274</w:t>
            </w:r>
          </w:p>
        </w:tc>
        <w:tc>
          <w:tcPr>
            <w:tcW w:w="4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342</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301</w:t>
            </w:r>
          </w:p>
        </w:tc>
        <w:tc>
          <w:tcPr>
            <w:tcW w:w="0" w:type="dxa"/>
            <w:vAlign w:val="bottom"/>
          </w:tcPr>
          <w:p>
            <w:pPr>
              <w:spacing w:after="0"/>
              <w:rPr>
                <w:sz w:val="1"/>
                <w:szCs w:val="1"/>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Gains</w:t>
            </w:r>
          </w:p>
        </w:tc>
        <w:tc>
          <w:tcPr>
            <w:tcW w:w="5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w:t>
            </w:r>
          </w:p>
        </w:tc>
        <w:tc>
          <w:tcPr>
            <w:tcW w:w="4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w:t>
            </w:r>
          </w:p>
        </w:tc>
        <w:tc>
          <w:tcPr>
            <w:tcW w:w="0" w:type="dxa"/>
            <w:vAlign w:val="bottom"/>
          </w:tcPr>
          <w:p>
            <w:pPr>
              <w:spacing w:after="0"/>
              <w:rPr>
                <w:sz w:val="1"/>
                <w:szCs w:val="1"/>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Revenue</w:t>
            </w:r>
          </w:p>
        </w:tc>
        <w:tc>
          <w:tcPr>
            <w:tcW w:w="5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254</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259</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259</w:t>
            </w:r>
          </w:p>
        </w:tc>
        <w:tc>
          <w:tcPr>
            <w:tcW w:w="4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162</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257</w:t>
            </w:r>
          </w:p>
        </w:tc>
        <w:tc>
          <w:tcPr>
            <w:tcW w:w="0" w:type="dxa"/>
            <w:vAlign w:val="bottom"/>
          </w:tcPr>
          <w:p>
            <w:pPr>
              <w:spacing w:after="0"/>
              <w:rPr>
                <w:sz w:val="1"/>
                <w:szCs w:val="1"/>
                <w:color w:val="auto"/>
              </w:rPr>
            </w:pPr>
          </w:p>
        </w:tc>
      </w:tr>
      <w:tr>
        <w:trPr>
          <w:trHeight w:val="168"/>
        </w:trPr>
        <w:tc>
          <w:tcPr>
            <w:tcW w:w="5480" w:type="dxa"/>
            <w:vAlign w:val="bottom"/>
            <w:vMerge w:val="restart"/>
          </w:tcPr>
          <w:p>
            <w:pPr>
              <w:ind w:left="880"/>
              <w:spacing w:after="0"/>
              <w:rPr>
                <w:sz w:val="20"/>
                <w:szCs w:val="20"/>
                <w:color w:val="auto"/>
              </w:rPr>
            </w:pPr>
            <w:r>
              <w:rPr>
                <w:rFonts w:ascii="Courier New" w:cs="Courier New" w:eastAsia="Courier New" w:hAnsi="Courier New"/>
                <w:sz w:val="15"/>
                <w:szCs w:val="15"/>
                <w:color w:val="auto"/>
              </w:rPr>
              <w:t>Total Noninterest Revenue</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4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1,931</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1,869</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1,765</w:t>
            </w:r>
          </w:p>
        </w:tc>
        <w:tc>
          <w:tcPr>
            <w:tcW w:w="4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1,710</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1,726</w:t>
            </w:r>
          </w:p>
        </w:tc>
        <w:tc>
          <w:tcPr>
            <w:tcW w:w="0" w:type="dxa"/>
            <w:vAlign w:val="bottom"/>
          </w:tcPr>
          <w:p>
            <w:pPr>
              <w:spacing w:after="0"/>
              <w:rPr>
                <w:sz w:val="1"/>
                <w:szCs w:val="1"/>
                <w:color w:val="auto"/>
              </w:rPr>
            </w:pPr>
          </w:p>
        </w:tc>
      </w:tr>
      <w:tr>
        <w:trPr>
          <w:trHeight w:val="245"/>
        </w:trPr>
        <w:tc>
          <w:tcPr>
            <w:tcW w:w="5480" w:type="dxa"/>
            <w:vAlign w:val="bottom"/>
          </w:tcPr>
          <w:p>
            <w:pPr>
              <w:spacing w:after="0"/>
              <w:rPr>
                <w:sz w:val="21"/>
                <w:szCs w:val="21"/>
                <w:color w:val="auto"/>
              </w:rPr>
            </w:pPr>
          </w:p>
        </w:tc>
        <w:tc>
          <w:tcPr>
            <w:tcW w:w="12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480" w:type="dxa"/>
            <w:vAlign w:val="bottom"/>
          </w:tcPr>
          <w:p>
            <w:pPr>
              <w:spacing w:after="0"/>
              <w:rPr>
                <w:sz w:val="20"/>
                <w:szCs w:val="20"/>
                <w:color w:val="auto"/>
              </w:rPr>
            </w:pPr>
            <w:r>
              <w:rPr>
                <w:rFonts w:ascii="Courier New" w:cs="Courier New" w:eastAsia="Courier New" w:hAnsi="Courier New"/>
                <w:sz w:val="15"/>
                <w:szCs w:val="15"/>
                <w:color w:val="auto"/>
              </w:rPr>
              <w:t>Noninterest Expense</w:t>
            </w:r>
          </w:p>
        </w:tc>
        <w:tc>
          <w:tcPr>
            <w:tcW w:w="520" w:type="dxa"/>
            <w:vAlign w:val="bottom"/>
          </w:tcPr>
          <w:p>
            <w:pPr>
              <w:spacing w:after="0"/>
              <w:rPr>
                <w:sz w:val="22"/>
                <w:szCs w:val="22"/>
                <w:color w:val="auto"/>
              </w:rPr>
            </w:pPr>
          </w:p>
        </w:tc>
        <w:tc>
          <w:tcPr>
            <w:tcW w:w="7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1,046</w:t>
            </w:r>
          </w:p>
        </w:tc>
        <w:tc>
          <w:tcPr>
            <w:tcW w:w="440" w:type="dxa"/>
            <w:vAlign w:val="bottom"/>
          </w:tcPr>
          <w:p>
            <w:pPr>
              <w:spacing w:after="0"/>
              <w:rPr>
                <w:sz w:val="22"/>
                <w:szCs w:val="22"/>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1,076</w:t>
            </w:r>
          </w:p>
        </w:tc>
        <w:tc>
          <w:tcPr>
            <w:tcW w:w="180" w:type="dxa"/>
            <w:vAlign w:val="bottom"/>
          </w:tcPr>
          <w:p>
            <w:pPr>
              <w:spacing w:after="0"/>
              <w:rPr>
                <w:sz w:val="22"/>
                <w:szCs w:val="22"/>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1,130</w:t>
            </w:r>
          </w:p>
        </w:tc>
        <w:tc>
          <w:tcPr>
            <w:tcW w:w="400" w:type="dxa"/>
            <w:vAlign w:val="bottom"/>
          </w:tcPr>
          <w:p>
            <w:pPr>
              <w:spacing w:after="0"/>
              <w:rPr>
                <w:sz w:val="22"/>
                <w:szCs w:val="22"/>
                <w:color w:val="auto"/>
              </w:rPr>
            </w:pP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1,074</w:t>
            </w:r>
          </w:p>
        </w:tc>
        <w:tc>
          <w:tcPr>
            <w:tcW w:w="300" w:type="dxa"/>
            <w:vAlign w:val="bottom"/>
          </w:tcPr>
          <w:p>
            <w:pPr>
              <w:spacing w:after="0"/>
              <w:rPr>
                <w:sz w:val="22"/>
                <w:szCs w:val="22"/>
                <w:color w:val="auto"/>
              </w:rPr>
            </w:pP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1,007</w:t>
            </w:r>
          </w:p>
        </w:tc>
        <w:tc>
          <w:tcPr>
            <w:tcW w:w="0" w:type="dxa"/>
            <w:vAlign w:val="bottom"/>
          </w:tcPr>
          <w:p>
            <w:pPr>
              <w:spacing w:after="0"/>
              <w:rPr>
                <w:sz w:val="1"/>
                <w:szCs w:val="1"/>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Salaries</w:t>
            </w:r>
          </w:p>
        </w:tc>
        <w:tc>
          <w:tcPr>
            <w:tcW w:w="5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Benefits</w:t>
            </w:r>
          </w:p>
        </w:tc>
        <w:tc>
          <w:tcPr>
            <w:tcW w:w="5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225</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305</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206</w:t>
            </w:r>
          </w:p>
        </w:tc>
        <w:tc>
          <w:tcPr>
            <w:tcW w:w="4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213</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246</w:t>
            </w:r>
          </w:p>
        </w:tc>
        <w:tc>
          <w:tcPr>
            <w:tcW w:w="0" w:type="dxa"/>
            <w:vAlign w:val="bottom"/>
          </w:tcPr>
          <w:p>
            <w:pPr>
              <w:spacing w:after="0"/>
              <w:rPr>
                <w:sz w:val="1"/>
                <w:szCs w:val="1"/>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Occupancy Expense</w:t>
            </w:r>
          </w:p>
        </w:tc>
        <w:tc>
          <w:tcPr>
            <w:tcW w:w="5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207</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221</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224</w:t>
            </w:r>
          </w:p>
        </w:tc>
        <w:tc>
          <w:tcPr>
            <w:tcW w:w="4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227</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218</w:t>
            </w:r>
          </w:p>
        </w:tc>
        <w:tc>
          <w:tcPr>
            <w:tcW w:w="0" w:type="dxa"/>
            <w:vAlign w:val="bottom"/>
          </w:tcPr>
          <w:p>
            <w:pPr>
              <w:spacing w:after="0"/>
              <w:rPr>
                <w:sz w:val="1"/>
                <w:szCs w:val="1"/>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 Expense</w:t>
            </w:r>
          </w:p>
        </w:tc>
        <w:tc>
          <w:tcPr>
            <w:tcW w:w="5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181</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184</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187</w:t>
            </w:r>
          </w:p>
        </w:tc>
        <w:tc>
          <w:tcPr>
            <w:tcW w:w="4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177</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193</w:t>
            </w:r>
          </w:p>
        </w:tc>
        <w:tc>
          <w:tcPr>
            <w:tcW w:w="0" w:type="dxa"/>
            <w:vAlign w:val="bottom"/>
          </w:tcPr>
          <w:p>
            <w:pPr>
              <w:spacing w:after="0"/>
              <w:rPr>
                <w:sz w:val="1"/>
                <w:szCs w:val="1"/>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Foreclosed Property Expense</w:t>
            </w:r>
          </w:p>
        </w:tc>
        <w:tc>
          <w:tcPr>
            <w:tcW w:w="5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c>
          <w:tcPr>
            <w:tcW w:w="4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c>
          <w:tcPr>
            <w:tcW w:w="0" w:type="dxa"/>
            <w:vAlign w:val="bottom"/>
          </w:tcPr>
          <w:p>
            <w:pPr>
              <w:spacing w:after="0"/>
              <w:rPr>
                <w:sz w:val="1"/>
                <w:szCs w:val="1"/>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Charge and Expenses</w:t>
            </w:r>
          </w:p>
        </w:tc>
        <w:tc>
          <w:tcPr>
            <w:tcW w:w="5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1,656</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Expense</w:t>
            </w:r>
          </w:p>
        </w:tc>
        <w:tc>
          <w:tcPr>
            <w:tcW w:w="5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651</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660</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632</w:t>
            </w:r>
          </w:p>
        </w:tc>
        <w:tc>
          <w:tcPr>
            <w:tcW w:w="4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648</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708</w:t>
            </w:r>
          </w:p>
        </w:tc>
        <w:tc>
          <w:tcPr>
            <w:tcW w:w="0" w:type="dxa"/>
            <w:vAlign w:val="bottom"/>
          </w:tcPr>
          <w:p>
            <w:pPr>
              <w:spacing w:after="0"/>
              <w:rPr>
                <w:sz w:val="1"/>
                <w:szCs w:val="1"/>
                <w:color w:val="auto"/>
              </w:rPr>
            </w:pPr>
          </w:p>
        </w:tc>
      </w:tr>
      <w:tr>
        <w:trPr>
          <w:trHeight w:val="168"/>
        </w:trPr>
        <w:tc>
          <w:tcPr>
            <w:tcW w:w="5480" w:type="dxa"/>
            <w:vAlign w:val="bottom"/>
            <w:vMerge w:val="restart"/>
          </w:tcPr>
          <w:p>
            <w:pPr>
              <w:ind w:left="880"/>
              <w:spacing w:after="0"/>
              <w:rPr>
                <w:sz w:val="20"/>
                <w:szCs w:val="20"/>
                <w:color w:val="auto"/>
              </w:rPr>
            </w:pPr>
            <w:r>
              <w:rPr>
                <w:rFonts w:ascii="Courier New" w:cs="Courier New" w:eastAsia="Courier New" w:hAnsi="Courier New"/>
                <w:sz w:val="15"/>
                <w:szCs w:val="15"/>
                <w:color w:val="auto"/>
              </w:rPr>
              <w:t>Total Noninterest Expense</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4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2,324</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4,093</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2,364</w:t>
            </w:r>
          </w:p>
        </w:tc>
        <w:tc>
          <w:tcPr>
            <w:tcW w:w="4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2,332</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2,359</w:t>
            </w:r>
          </w:p>
        </w:tc>
        <w:tc>
          <w:tcPr>
            <w:tcW w:w="0" w:type="dxa"/>
            <w:vAlign w:val="bottom"/>
          </w:tcPr>
          <w:p>
            <w:pPr>
              <w:spacing w:after="0"/>
              <w:rPr>
                <w:sz w:val="1"/>
                <w:szCs w:val="1"/>
                <w:color w:val="auto"/>
              </w:rPr>
            </w:pPr>
          </w:p>
        </w:tc>
      </w:tr>
      <w:tr>
        <w:trPr>
          <w:trHeight w:val="168"/>
        </w:trPr>
        <w:tc>
          <w:tcPr>
            <w:tcW w:w="548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Before Income Tax Expense (Benefit)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4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1,380</w:t>
            </w:r>
          </w:p>
        </w:tc>
        <w:tc>
          <w:tcPr>
            <w:tcW w:w="4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(303)</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1,293</w:t>
            </w:r>
          </w:p>
        </w:tc>
        <w:tc>
          <w:tcPr>
            <w:tcW w:w="4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1,255</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1,200</w:t>
            </w:r>
          </w:p>
        </w:tc>
        <w:tc>
          <w:tcPr>
            <w:tcW w:w="0" w:type="dxa"/>
            <w:vAlign w:val="bottom"/>
          </w:tcPr>
          <w:p>
            <w:pPr>
              <w:spacing w:after="0"/>
              <w:rPr>
                <w:sz w:val="1"/>
                <w:szCs w:val="1"/>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Expense (Benefit)</w:t>
            </w:r>
          </w:p>
        </w:tc>
        <w:tc>
          <w:tcPr>
            <w:tcW w:w="5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524</w:t>
            </w:r>
          </w:p>
        </w:tc>
        <w:tc>
          <w:tcPr>
            <w:tcW w:w="4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(214)</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466</w:t>
            </w:r>
          </w:p>
        </w:tc>
        <w:tc>
          <w:tcPr>
            <w:tcW w:w="4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491</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471</w:t>
            </w:r>
          </w:p>
        </w:tc>
        <w:tc>
          <w:tcPr>
            <w:tcW w:w="0" w:type="dxa"/>
            <w:vAlign w:val="bottom"/>
          </w:tcPr>
          <w:p>
            <w:pPr>
              <w:spacing w:after="0"/>
              <w:rPr>
                <w:sz w:val="1"/>
                <w:szCs w:val="1"/>
                <w:color w:val="auto"/>
              </w:rPr>
            </w:pPr>
          </w:p>
        </w:tc>
      </w:tr>
      <w:tr>
        <w:trPr>
          <w:trHeight w:val="168"/>
        </w:trPr>
        <w:tc>
          <w:tcPr>
            <w:tcW w:w="548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480" w:type="dxa"/>
            <w:vAlign w:val="bottom"/>
            <w:vMerge w:val="continue"/>
          </w:tcPr>
          <w:p>
            <w:pPr>
              <w:spacing w:after="0"/>
              <w:rPr>
                <w:sz w:val="14"/>
                <w:szCs w:val="14"/>
                <w:color w:val="auto"/>
              </w:rPr>
            </w:pPr>
          </w:p>
        </w:tc>
        <w:tc>
          <w:tcPr>
            <w:tcW w:w="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856</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827</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764</w:t>
            </w:r>
          </w:p>
        </w:tc>
        <w:tc>
          <w:tcPr>
            <w:tcW w:w="3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729</w:t>
            </w:r>
          </w:p>
        </w:tc>
        <w:tc>
          <w:tcPr>
            <w:tcW w:w="0" w:type="dxa"/>
            <w:vAlign w:val="bottom"/>
          </w:tcPr>
          <w:p>
            <w:pPr>
              <w:spacing w:after="0"/>
              <w:rPr>
                <w:sz w:val="1"/>
                <w:szCs w:val="1"/>
                <w:color w:val="auto"/>
              </w:rPr>
            </w:pPr>
          </w:p>
        </w:tc>
      </w:tr>
      <w:tr>
        <w:trPr>
          <w:trHeight w:val="168"/>
        </w:trPr>
        <w:tc>
          <w:tcPr>
            <w:tcW w:w="548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 Applicable To Common Stock</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480" w:type="dxa"/>
            <w:vAlign w:val="bottom"/>
            <w:vMerge w:val="continue"/>
          </w:tcPr>
          <w:p>
            <w:pPr>
              <w:spacing w:after="0"/>
              <w:rPr>
                <w:sz w:val="14"/>
                <w:szCs w:val="14"/>
                <w:color w:val="auto"/>
              </w:rPr>
            </w:pPr>
          </w:p>
        </w:tc>
        <w:tc>
          <w:tcPr>
            <w:tcW w:w="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801</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(143)</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773</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708</w:t>
            </w:r>
          </w:p>
        </w:tc>
        <w:tc>
          <w:tcPr>
            <w:tcW w:w="3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673</w:t>
            </w:r>
          </w:p>
        </w:tc>
        <w:tc>
          <w:tcPr>
            <w:tcW w:w="0" w:type="dxa"/>
            <w:vAlign w:val="bottom"/>
          </w:tcPr>
          <w:p>
            <w:pPr>
              <w:spacing w:after="0"/>
              <w:rPr>
                <w:sz w:val="1"/>
                <w:szCs w:val="1"/>
                <w:color w:val="auto"/>
              </w:rPr>
            </w:pPr>
          </w:p>
        </w:tc>
      </w:tr>
      <w:tr>
        <w:trPr>
          <w:trHeight w:val="245"/>
        </w:trPr>
        <w:tc>
          <w:tcPr>
            <w:tcW w:w="548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 Per Common Share:</w:t>
            </w:r>
          </w:p>
        </w:tc>
        <w:tc>
          <w:tcPr>
            <w:tcW w:w="12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480" w:type="dxa"/>
            <w:vAlign w:val="bottom"/>
            <w:vMerge w:val="continue"/>
          </w:tcPr>
          <w:p>
            <w:pPr>
              <w:spacing w:after="0"/>
              <w:rPr>
                <w:sz w:val="7"/>
                <w:szCs w:val="7"/>
                <w:color w:val="auto"/>
              </w:rPr>
            </w:pPr>
          </w:p>
        </w:tc>
        <w:tc>
          <w:tcPr>
            <w:tcW w:w="520" w:type="dxa"/>
            <w:vAlign w:val="bottom"/>
            <w:vMerge w:val="restart"/>
          </w:tcPr>
          <w:p>
            <w:pPr>
              <w:ind w:left="380"/>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1.80</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(0.32)</w:t>
            </w:r>
          </w:p>
        </w:tc>
        <w:tc>
          <w:tcPr>
            <w:tcW w:w="1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1.73</w:t>
            </w:r>
          </w:p>
        </w:tc>
        <w:tc>
          <w:tcPr>
            <w:tcW w:w="40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1.58</w:t>
            </w:r>
          </w:p>
        </w:tc>
        <w:tc>
          <w:tcPr>
            <w:tcW w:w="3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1.54</w:t>
            </w:r>
          </w:p>
        </w:tc>
        <w:tc>
          <w:tcPr>
            <w:tcW w:w="0" w:type="dxa"/>
            <w:vAlign w:val="bottom"/>
          </w:tcPr>
          <w:p>
            <w:pPr>
              <w:spacing w:after="0"/>
              <w:rPr>
                <w:sz w:val="1"/>
                <w:szCs w:val="1"/>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Primary</w:t>
            </w:r>
          </w:p>
        </w:tc>
        <w:tc>
          <w:tcPr>
            <w:tcW w:w="5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80" w:type="dxa"/>
            <w:vAlign w:val="bottom"/>
            <w:vMerge w:val="restart"/>
          </w:tcPr>
          <w:p>
            <w:pPr>
              <w:spacing w:after="0"/>
              <w:rPr>
                <w:sz w:val="20"/>
                <w:szCs w:val="20"/>
                <w:color w:val="auto"/>
              </w:rPr>
            </w:pPr>
            <w:r>
              <w:rPr>
                <w:rFonts w:ascii="Courier New" w:cs="Courier New" w:eastAsia="Courier New" w:hAnsi="Courier New"/>
                <w:sz w:val="15"/>
                <w:szCs w:val="15"/>
                <w:color w:val="auto"/>
              </w:rPr>
              <w:t>Assuming Full Dilution</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480" w:type="dxa"/>
            <w:vAlign w:val="bottom"/>
            <w:vMerge w:val="continue"/>
          </w:tcPr>
          <w:p>
            <w:pPr>
              <w:spacing w:after="0"/>
              <w:rPr>
                <w:sz w:val="14"/>
                <w:szCs w:val="14"/>
                <w:color w:val="auto"/>
              </w:rPr>
            </w:pPr>
          </w:p>
        </w:tc>
        <w:tc>
          <w:tcPr>
            <w:tcW w:w="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1.79</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(0.32)</w:t>
            </w:r>
          </w:p>
        </w:tc>
        <w:tc>
          <w:tcPr>
            <w:tcW w:w="180" w:type="dxa"/>
            <w:vAlign w:val="bottom"/>
            <w:vMerge w:val="continue"/>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1.73</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1.55</w:t>
            </w:r>
          </w:p>
        </w:tc>
        <w:tc>
          <w:tcPr>
            <w:tcW w:w="3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w:t>
            </w:r>
          </w:p>
        </w:tc>
        <w:tc>
          <w:tcPr>
            <w:tcW w:w="0" w:type="dxa"/>
            <w:vAlign w:val="bottom"/>
          </w:tcPr>
          <w:p>
            <w:pPr>
              <w:spacing w:after="0"/>
              <w:rPr>
                <w:sz w:val="1"/>
                <w:szCs w:val="1"/>
                <w:color w:val="auto"/>
              </w:rPr>
            </w:pPr>
          </w:p>
        </w:tc>
      </w:tr>
      <w:tr>
        <w:trPr>
          <w:trHeight w:val="245"/>
        </w:trPr>
        <w:tc>
          <w:tcPr>
            <w:tcW w:w="5480" w:type="dxa"/>
            <w:vAlign w:val="bottom"/>
          </w:tcPr>
          <w:p>
            <w:pPr>
              <w:spacing w:after="0"/>
              <w:rPr>
                <w:sz w:val="21"/>
                <w:szCs w:val="21"/>
                <w:color w:val="auto"/>
              </w:rPr>
            </w:pPr>
          </w:p>
        </w:tc>
        <w:tc>
          <w:tcPr>
            <w:tcW w:w="12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673"/>
        </w:trPr>
        <w:tc>
          <w:tcPr>
            <w:tcW w:w="5480" w:type="dxa"/>
            <w:vAlign w:val="bottom"/>
          </w:tcPr>
          <w:p>
            <w:pPr>
              <w:ind w:left="3340"/>
              <w:spacing w:after="0"/>
              <w:rPr>
                <w:sz w:val="20"/>
                <w:szCs w:val="20"/>
                <w:color w:val="auto"/>
              </w:rPr>
            </w:pPr>
            <w:r>
              <w:rPr>
                <w:rFonts w:ascii="Courier New" w:cs="Courier New" w:eastAsia="Courier New" w:hAnsi="Courier New"/>
                <w:sz w:val="15"/>
                <w:szCs w:val="15"/>
                <w:color w:val="auto"/>
              </w:rPr>
              <w:t>-47-</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934" w:right="21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Part II - OTHER INFORMATION</w:t>
            </w: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20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27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Legal Proceedings</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27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gridSpan w:val="3"/>
            <w:vMerge w:val="restart"/>
          </w:tcPr>
          <w:p>
            <w:pPr>
              <w:ind w:left="60"/>
              <w:spacing w:after="0"/>
              <w:rPr>
                <w:sz w:val="20"/>
                <w:szCs w:val="20"/>
                <w:color w:val="auto"/>
              </w:rPr>
            </w:pPr>
            <w:r>
              <w:rPr>
                <w:rFonts w:ascii="Courier New" w:cs="Courier New" w:eastAsia="Courier New" w:hAnsi="Courier New"/>
                <w:sz w:val="15"/>
                <w:szCs w:val="15"/>
                <w:color w:val="auto"/>
                <w:w w:val="98"/>
              </w:rPr>
              <w:t>6 of the  Chemical</w:t>
            </w:r>
          </w:p>
        </w:tc>
        <w:tc>
          <w:tcPr>
            <w:tcW w:w="134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1995 Form 10-K</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27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7"/>
              </w:rPr>
              <w:t>Reference is made to page</w:t>
            </w:r>
          </w:p>
        </w:tc>
        <w:tc>
          <w:tcPr>
            <w:tcW w:w="1680" w:type="dxa"/>
            <w:vAlign w:val="bottom"/>
            <w:gridSpan w:val="3"/>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19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relating to the</w:t>
            </w:r>
          </w:p>
        </w:tc>
        <w:tc>
          <w:tcPr>
            <w:tcW w:w="144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rPr>
              <w:t>investigation</w:t>
            </w:r>
          </w:p>
        </w:tc>
        <w:tc>
          <w:tcPr>
            <w:tcW w:w="1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commenced by the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Securities</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27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and Exchange  Commission</w:t>
            </w:r>
          </w:p>
        </w:tc>
        <w:tc>
          <w:tcPr>
            <w:tcW w:w="302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8"/>
              </w:rPr>
              <w:t>pertaining to the $70 million loss</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19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incurred by the</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Corporation</w:t>
            </w:r>
          </w:p>
        </w:tc>
        <w:tc>
          <w:tcPr>
            <w:tcW w:w="14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in the fourth</w:t>
            </w:r>
          </w:p>
        </w:tc>
        <w:tc>
          <w:tcPr>
            <w:tcW w:w="13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quarter of 1994</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19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resulting from</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unauthorized</w:t>
            </w:r>
          </w:p>
        </w:tc>
        <w:tc>
          <w:tcPr>
            <w:tcW w:w="170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rPr>
              <w:t>foreign exchange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transactions</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3060" w:type="dxa"/>
            <w:vAlign w:val="bottom"/>
            <w:gridSpan w:val="3"/>
          </w:tcPr>
          <w:p>
            <w:pPr>
              <w:ind w:left="560"/>
              <w:spacing w:after="0" w:line="168" w:lineRule="exact"/>
              <w:rPr>
                <w:sz w:val="20"/>
                <w:szCs w:val="20"/>
                <w:color w:val="auto"/>
              </w:rPr>
            </w:pPr>
            <w:r>
              <w:rPr>
                <w:rFonts w:ascii="Courier New" w:cs="Courier New" w:eastAsia="Courier New" w:hAnsi="Courier New"/>
                <w:sz w:val="15"/>
                <w:szCs w:val="15"/>
                <w:color w:val="auto"/>
              </w:rPr>
              <w:t>involving the Mexican peso.</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The</w:t>
            </w:r>
          </w:p>
        </w:tc>
        <w:tc>
          <w:tcPr>
            <w:tcW w:w="24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Corporation is cooperating</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5800" w:type="dxa"/>
            <w:vAlign w:val="bottom"/>
            <w:gridSpan w:val="7"/>
          </w:tcPr>
          <w:p>
            <w:pPr>
              <w:ind w:left="560"/>
              <w:spacing w:after="0" w:line="168" w:lineRule="exact"/>
              <w:rPr>
                <w:sz w:val="20"/>
                <w:szCs w:val="20"/>
                <w:color w:val="auto"/>
              </w:rPr>
            </w:pPr>
            <w:r>
              <w:rPr>
                <w:rFonts w:ascii="Courier New" w:cs="Courier New" w:eastAsia="Courier New" w:hAnsi="Courier New"/>
                <w:sz w:val="15"/>
                <w:szCs w:val="15"/>
                <w:color w:val="auto"/>
                <w:w w:val="96"/>
              </w:rPr>
              <w:t>with this investigation. The Corporation cannot determine at</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3060" w:type="dxa"/>
            <w:vAlign w:val="bottom"/>
            <w:gridSpan w:val="3"/>
          </w:tcPr>
          <w:p>
            <w:pPr>
              <w:ind w:left="560"/>
              <w:spacing w:after="0" w:line="168" w:lineRule="exact"/>
              <w:rPr>
                <w:sz w:val="20"/>
                <w:szCs w:val="20"/>
                <w:color w:val="auto"/>
              </w:rPr>
            </w:pPr>
            <w:r>
              <w:rPr>
                <w:rFonts w:ascii="Courier New" w:cs="Courier New" w:eastAsia="Courier New" w:hAnsi="Courier New"/>
                <w:sz w:val="15"/>
                <w:szCs w:val="15"/>
                <w:color w:val="auto"/>
                <w:w w:val="98"/>
              </w:rPr>
              <w:t>this time the outcome of the</w:t>
            </w:r>
          </w:p>
        </w:tc>
        <w:tc>
          <w:tcPr>
            <w:tcW w:w="14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investigation</w:t>
            </w:r>
          </w:p>
        </w:tc>
        <w:tc>
          <w:tcPr>
            <w:tcW w:w="13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but believes it</w:t>
            </w:r>
          </w:p>
        </w:tc>
        <w:tc>
          <w:tcPr>
            <w:tcW w:w="0" w:type="dxa"/>
            <w:vAlign w:val="bottom"/>
          </w:tcPr>
          <w:p>
            <w:pPr>
              <w:spacing w:after="0"/>
              <w:rPr>
                <w:sz w:val="1"/>
                <w:szCs w:val="1"/>
                <w:color w:val="auto"/>
              </w:rPr>
            </w:pPr>
          </w:p>
        </w:tc>
      </w:tr>
      <w:tr>
        <w:trPr>
          <w:trHeight w:val="194"/>
        </w:trPr>
        <w:tc>
          <w:tcPr>
            <w:tcW w:w="1200" w:type="dxa"/>
            <w:vAlign w:val="bottom"/>
          </w:tcPr>
          <w:p>
            <w:pPr>
              <w:spacing w:after="0"/>
              <w:rPr>
                <w:sz w:val="16"/>
                <w:szCs w:val="16"/>
                <w:color w:val="auto"/>
              </w:rPr>
            </w:pPr>
          </w:p>
        </w:tc>
        <w:tc>
          <w:tcPr>
            <w:tcW w:w="27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will not have a material</w:t>
            </w:r>
          </w:p>
        </w:tc>
        <w:tc>
          <w:tcPr>
            <w:tcW w:w="302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adverse effect on the consolidated</w:t>
            </w:r>
          </w:p>
        </w:tc>
        <w:tc>
          <w:tcPr>
            <w:tcW w:w="0" w:type="dxa"/>
            <w:vAlign w:val="bottom"/>
          </w:tcPr>
          <w:p>
            <w:pPr>
              <w:spacing w:after="0"/>
              <w:rPr>
                <w:sz w:val="1"/>
                <w:szCs w:val="1"/>
                <w:color w:val="auto"/>
              </w:rPr>
            </w:pPr>
          </w:p>
        </w:tc>
      </w:tr>
    </w:tbl>
    <w:p>
      <w:pPr>
        <w:ind w:left="1760"/>
        <w:spacing w:after="0"/>
        <w:rPr>
          <w:sz w:val="20"/>
          <w:szCs w:val="20"/>
          <w:color w:val="auto"/>
        </w:rPr>
      </w:pPr>
      <w:r>
        <w:rPr>
          <w:rFonts w:ascii="Courier New" w:cs="Courier New" w:eastAsia="Courier New" w:hAnsi="Courier New"/>
          <w:sz w:val="15"/>
          <w:szCs w:val="15"/>
          <w:color w:val="auto"/>
        </w:rPr>
        <w:t>financial condition of the Corporation.</w:t>
      </w:r>
    </w:p>
    <w:p>
      <w:pPr>
        <w:spacing w:after="0" w:line="140"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Litigation Relating to the Merger</w:t>
      </w:r>
    </w:p>
    <w:p>
      <w:pPr>
        <w:spacing w:after="0" w:line="24" w:lineRule="exact"/>
        <w:rPr>
          <w:sz w:val="20"/>
          <w:szCs w:val="20"/>
          <w:color w:val="auto"/>
        </w:rPr>
      </w:pPr>
    </w:p>
    <w:p>
      <w:pPr>
        <w:jc w:val="both"/>
        <w:ind w:left="1760" w:right="3239"/>
        <w:spacing w:after="0" w:line="254" w:lineRule="auto"/>
        <w:rPr>
          <w:sz w:val="20"/>
          <w:szCs w:val="20"/>
          <w:color w:val="auto"/>
        </w:rPr>
      </w:pPr>
      <w:r>
        <w:rPr>
          <w:rFonts w:ascii="Courier New" w:cs="Courier New" w:eastAsia="Courier New" w:hAnsi="Courier New"/>
          <w:sz w:val="14"/>
          <w:szCs w:val="14"/>
          <w:color w:val="auto"/>
        </w:rPr>
        <w:t>On August 28, 1995, three complaints were filed in the Court of Chancery for New Castle County, Delaware, in actions entitled Simon v. Chase Manhattan Corporation, et al., Civil Action No. 14505, Rampel &amp; Rampel, P.A. Profit Sharing Plan v. Chase Manhattan Corp., et. al., Civil Action No. 14506 and Goldstein v. Chase Manhattan Corp., et al., Civil Action No. 14508. The complaints, each of which purports to initiate a class action on behalf of all Chase stockholders, name Chase, the Corporation and certain current and former directors of Chase as defendants. The complaints allege that</w:t>
      </w:r>
    </w:p>
    <w:p>
      <w:pPr>
        <w:spacing w:after="0" w:line="3" w:lineRule="exact"/>
        <w:rPr>
          <w:sz w:val="20"/>
          <w:szCs w:val="20"/>
          <w:color w:val="auto"/>
        </w:rPr>
      </w:pPr>
    </w:p>
    <w:p>
      <w:pPr>
        <w:jc w:val="both"/>
        <w:ind w:left="1760" w:right="3239" w:hanging="1"/>
        <w:spacing w:after="0" w:line="264" w:lineRule="auto"/>
        <w:tabs>
          <w:tab w:leader="none" w:pos="211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entails breaches of fiduciary duties owed by the director defendants to Chase stockholders, (ii) the consideration provided in the merger by the Corporation is inadequate, (iii) the merger is unfair to Chase stockholders and is a product of Chase's directors' acting out of self-interest and (iv) the Corporation aided and abetted the Chase directors' alleged breach of fiduciary duties. The complaints seek, among other relief, damages in unspecified amounts. The Corporation believes the actions to be without merit and intends to contest them vigorously.</w:t>
      </w:r>
    </w:p>
    <w:p>
      <w:pPr>
        <w:spacing w:after="0" w:line="80" w:lineRule="exact"/>
        <w:rPr>
          <w:sz w:val="20"/>
          <w:szCs w:val="20"/>
          <w:color w:val="auto"/>
        </w:rPr>
      </w:pPr>
    </w:p>
    <w:p>
      <w:pPr>
        <w:jc w:val="both"/>
        <w:ind w:left="1760" w:right="3239"/>
        <w:spacing w:after="0" w:line="255" w:lineRule="auto"/>
        <w:rPr>
          <w:sz w:val="20"/>
          <w:szCs w:val="20"/>
          <w:color w:val="auto"/>
        </w:rPr>
      </w:pPr>
      <w:r>
        <w:rPr>
          <w:rFonts w:ascii="Courier New" w:cs="Courier New" w:eastAsia="Courier New" w:hAnsi="Courier New"/>
          <w:sz w:val="15"/>
          <w:szCs w:val="15"/>
          <w:color w:val="auto"/>
        </w:rPr>
        <w:t>The Corporation and its subsidiaries are defendants in a number of legal proceedings. After reviewing with counsel all actions and proceedings pending against or involving the Corporation and its subsidiaries, management does not expect the aggregate liability or loss, if any, resulting therefrom to have a material adverse effect on the consolidated financial condition of the Corporation.</w:t>
      </w:r>
    </w:p>
    <w:p>
      <w:pPr>
        <w:spacing w:after="0" w:line="82"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23"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ind w:left="1760" w:right="3239"/>
        <w:spacing w:after="0" w:line="237" w:lineRule="auto"/>
        <w:rPr>
          <w:sz w:val="20"/>
          <w:szCs w:val="20"/>
          <w:color w:val="auto"/>
        </w:rPr>
      </w:pPr>
      <w:r>
        <w:rPr>
          <w:rFonts w:ascii="Courier New" w:cs="Courier New" w:eastAsia="Courier New" w:hAnsi="Courier New"/>
          <w:sz w:val="15"/>
          <w:szCs w:val="15"/>
          <w:color w:val="auto"/>
        </w:rPr>
        <w:t>The following is a summary of matters submitted to vote at the Annual Meeting of Stockholders of the Corporation. The Annual Meeting of the Stockholders was held on May 21, 1996. A total of 373,272,730 shares, or 85.9% of the 434,637,133 shares entitled to vote at the Annual</w:t>
      </w:r>
    </w:p>
    <w:p>
      <w:pPr>
        <w:spacing w:after="0" w:line="2"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Meeting, were represented at the meeting.</w:t>
      </w:r>
    </w:p>
    <w:p>
      <w:pPr>
        <w:spacing w:after="0" w:line="140" w:lineRule="exact"/>
        <w:rPr>
          <w:sz w:val="20"/>
          <w:szCs w:val="20"/>
          <w:color w:val="auto"/>
        </w:rPr>
      </w:pPr>
    </w:p>
    <w:p>
      <w:pPr>
        <w:ind w:left="1760" w:hanging="1488"/>
        <w:spacing w:after="0"/>
        <w:tabs>
          <w:tab w:leader="none" w:pos="17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Directors</w:t>
      </w:r>
    </w:p>
    <w:p>
      <w:pPr>
        <w:spacing w:after="0" w:line="24" w:lineRule="exact"/>
        <w:rPr>
          <w:rFonts w:ascii="Courier New" w:cs="Courier New" w:eastAsia="Courier New" w:hAnsi="Courier New"/>
          <w:sz w:val="15"/>
          <w:szCs w:val="15"/>
          <w:color w:val="auto"/>
        </w:rPr>
      </w:pPr>
    </w:p>
    <w:p>
      <w:pPr>
        <w:ind w:left="17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jc w:val="both"/>
        <w:ind w:left="1760" w:right="3239"/>
        <w:spacing w:after="0" w:line="27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twenty (20) directors were elected to hold office until the 1997 Annual Meeting or until their successors are elected and have qualified.</w:t>
      </w:r>
    </w:p>
    <w:p>
      <w:pPr>
        <w:spacing w:after="0" w:line="236" w:lineRule="exact"/>
        <w:rPr>
          <w:sz w:val="20"/>
          <w:szCs w:val="20"/>
          <w:color w:val="auto"/>
        </w:rPr>
      </w:pPr>
    </w:p>
    <w:tbl>
      <w:tblPr>
        <w:tblLayout w:type="fixed"/>
        <w:tblInd w:w="176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162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Votes</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Votes</w:t>
            </w:r>
          </w:p>
        </w:tc>
        <w:tc>
          <w:tcPr>
            <w:tcW w:w="0" w:type="dxa"/>
            <w:vAlign w:val="bottom"/>
          </w:tcPr>
          <w:p>
            <w:pPr>
              <w:spacing w:after="0"/>
              <w:rPr>
                <w:sz w:val="1"/>
                <w:szCs w:val="1"/>
                <w:color w:val="auto"/>
              </w:rPr>
            </w:pPr>
          </w:p>
        </w:tc>
      </w:tr>
      <w:tr>
        <w:trPr>
          <w:trHeight w:val="168"/>
        </w:trPr>
        <w:tc>
          <w:tcPr>
            <w:tcW w:w="2320" w:type="dxa"/>
            <w:vAlign w:val="bottom"/>
          </w:tcPr>
          <w:p>
            <w:pPr>
              <w:spacing w:after="0"/>
              <w:rPr>
                <w:sz w:val="14"/>
                <w:szCs w:val="14"/>
                <w:color w:val="auto"/>
              </w:rPr>
            </w:pPr>
          </w:p>
        </w:tc>
        <w:tc>
          <w:tcPr>
            <w:tcW w:w="16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Received</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Withheld</w:t>
            </w:r>
          </w:p>
        </w:tc>
        <w:tc>
          <w:tcPr>
            <w:tcW w:w="0" w:type="dxa"/>
            <w:vAlign w:val="bottom"/>
          </w:tcPr>
          <w:p>
            <w:pPr>
              <w:spacing w:after="0"/>
              <w:rPr>
                <w:sz w:val="1"/>
                <w:szCs w:val="1"/>
                <w:color w:val="auto"/>
              </w:rPr>
            </w:pPr>
          </w:p>
        </w:tc>
      </w:tr>
      <w:tr>
        <w:trPr>
          <w:trHeight w:val="168"/>
        </w:trPr>
        <w:tc>
          <w:tcPr>
            <w:tcW w:w="2320" w:type="dxa"/>
            <w:vAlign w:val="bottom"/>
            <w:vMerge w:val="restart"/>
          </w:tcPr>
          <w:p>
            <w:pPr>
              <w:spacing w:after="0"/>
              <w:rPr>
                <w:sz w:val="20"/>
                <w:szCs w:val="20"/>
                <w:color w:val="auto"/>
              </w:rPr>
            </w:pPr>
            <w:r>
              <w:rPr>
                <w:rFonts w:ascii="Courier New" w:cs="Courier New" w:eastAsia="Courier New" w:hAnsi="Courier New"/>
                <w:sz w:val="15"/>
                <w:szCs w:val="15"/>
                <w:color w:val="auto"/>
              </w:rPr>
              <w:t>Frank A. Bennack, Jr.</w:t>
            </w:r>
          </w:p>
        </w:tc>
        <w:tc>
          <w:tcPr>
            <w:tcW w:w="16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371,725,318</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1,547,412</w:t>
            </w:r>
          </w:p>
        </w:tc>
        <w:tc>
          <w:tcPr>
            <w:tcW w:w="0" w:type="dxa"/>
            <w:vAlign w:val="bottom"/>
          </w:tcPr>
          <w:p>
            <w:pPr>
              <w:spacing w:after="0"/>
              <w:rPr>
                <w:sz w:val="1"/>
                <w:szCs w:val="1"/>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Susan V. Berresford</w:t>
            </w:r>
          </w:p>
        </w:tc>
        <w:tc>
          <w:tcPr>
            <w:tcW w:w="16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371,557,164</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1,715,566</w:t>
            </w:r>
          </w:p>
        </w:tc>
        <w:tc>
          <w:tcPr>
            <w:tcW w:w="0" w:type="dxa"/>
            <w:vAlign w:val="bottom"/>
          </w:tcPr>
          <w:p>
            <w:pPr>
              <w:spacing w:after="0"/>
              <w:rPr>
                <w:sz w:val="1"/>
                <w:szCs w:val="1"/>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M. Anthony Burns</w:t>
            </w:r>
          </w:p>
        </w:tc>
        <w:tc>
          <w:tcPr>
            <w:tcW w:w="16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371,800,931</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1,471,799</w:t>
            </w:r>
          </w:p>
        </w:tc>
        <w:tc>
          <w:tcPr>
            <w:tcW w:w="0" w:type="dxa"/>
            <w:vAlign w:val="bottom"/>
          </w:tcPr>
          <w:p>
            <w:pPr>
              <w:spacing w:after="0"/>
              <w:rPr>
                <w:sz w:val="1"/>
                <w:szCs w:val="1"/>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H. Laurance Fuller</w:t>
            </w:r>
          </w:p>
        </w:tc>
        <w:tc>
          <w:tcPr>
            <w:tcW w:w="16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371,823,739</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1,448,991</w:t>
            </w:r>
          </w:p>
        </w:tc>
        <w:tc>
          <w:tcPr>
            <w:tcW w:w="0" w:type="dxa"/>
            <w:vAlign w:val="bottom"/>
          </w:tcPr>
          <w:p>
            <w:pPr>
              <w:spacing w:after="0"/>
              <w:rPr>
                <w:sz w:val="1"/>
                <w:szCs w:val="1"/>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Melvin R. Goodes</w:t>
            </w:r>
          </w:p>
        </w:tc>
        <w:tc>
          <w:tcPr>
            <w:tcW w:w="16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371,787,536</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1,485,194</w:t>
            </w:r>
          </w:p>
        </w:tc>
        <w:tc>
          <w:tcPr>
            <w:tcW w:w="0" w:type="dxa"/>
            <w:vAlign w:val="bottom"/>
          </w:tcPr>
          <w:p>
            <w:pPr>
              <w:spacing w:after="0"/>
              <w:rPr>
                <w:sz w:val="1"/>
                <w:szCs w:val="1"/>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William H. Gray III</w:t>
            </w:r>
          </w:p>
        </w:tc>
        <w:tc>
          <w:tcPr>
            <w:tcW w:w="16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371,627,999</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1,644,731</w:t>
            </w:r>
          </w:p>
        </w:tc>
        <w:tc>
          <w:tcPr>
            <w:tcW w:w="0" w:type="dxa"/>
            <w:vAlign w:val="bottom"/>
          </w:tcPr>
          <w:p>
            <w:pPr>
              <w:spacing w:after="0"/>
              <w:rPr>
                <w:sz w:val="1"/>
                <w:szCs w:val="1"/>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George V. Grune</w:t>
            </w:r>
          </w:p>
        </w:tc>
        <w:tc>
          <w:tcPr>
            <w:tcW w:w="16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371,763,501</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1,509,229</w:t>
            </w:r>
          </w:p>
        </w:tc>
        <w:tc>
          <w:tcPr>
            <w:tcW w:w="0" w:type="dxa"/>
            <w:vAlign w:val="bottom"/>
          </w:tcPr>
          <w:p>
            <w:pPr>
              <w:spacing w:after="0"/>
              <w:rPr>
                <w:sz w:val="1"/>
                <w:szCs w:val="1"/>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William B. Harrison, Jr.</w:t>
            </w:r>
          </w:p>
        </w:tc>
        <w:tc>
          <w:tcPr>
            <w:tcW w:w="16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371,814,485</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1,458,245</w:t>
            </w:r>
          </w:p>
        </w:tc>
        <w:tc>
          <w:tcPr>
            <w:tcW w:w="0" w:type="dxa"/>
            <w:vAlign w:val="bottom"/>
          </w:tcPr>
          <w:p>
            <w:pPr>
              <w:spacing w:after="0"/>
              <w:rPr>
                <w:sz w:val="1"/>
                <w:szCs w:val="1"/>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Harold S. Hook</w:t>
            </w:r>
          </w:p>
        </w:tc>
        <w:tc>
          <w:tcPr>
            <w:tcW w:w="16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371,848,361</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1,424,369</w:t>
            </w:r>
          </w:p>
        </w:tc>
        <w:tc>
          <w:tcPr>
            <w:tcW w:w="0" w:type="dxa"/>
            <w:vAlign w:val="bottom"/>
          </w:tcPr>
          <w:p>
            <w:pPr>
              <w:spacing w:after="0"/>
              <w:rPr>
                <w:sz w:val="1"/>
                <w:szCs w:val="1"/>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Helene L. Kaplan</w:t>
            </w:r>
          </w:p>
        </w:tc>
        <w:tc>
          <w:tcPr>
            <w:tcW w:w="16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371,717,688</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1,555,042</w:t>
            </w:r>
          </w:p>
        </w:tc>
        <w:tc>
          <w:tcPr>
            <w:tcW w:w="0" w:type="dxa"/>
            <w:vAlign w:val="bottom"/>
          </w:tcPr>
          <w:p>
            <w:pPr>
              <w:spacing w:after="0"/>
              <w:rPr>
                <w:sz w:val="1"/>
                <w:szCs w:val="1"/>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E. Michel Kruse</w:t>
            </w:r>
          </w:p>
        </w:tc>
        <w:tc>
          <w:tcPr>
            <w:tcW w:w="16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371,785,988</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1,486,742</w:t>
            </w:r>
          </w:p>
        </w:tc>
        <w:tc>
          <w:tcPr>
            <w:tcW w:w="0" w:type="dxa"/>
            <w:vAlign w:val="bottom"/>
          </w:tcPr>
          <w:p>
            <w:pPr>
              <w:spacing w:after="0"/>
              <w:rPr>
                <w:sz w:val="1"/>
                <w:szCs w:val="1"/>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Thomas G. Labrecque</w:t>
            </w:r>
          </w:p>
        </w:tc>
        <w:tc>
          <w:tcPr>
            <w:tcW w:w="16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371,746,391</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1,526,339</w:t>
            </w:r>
          </w:p>
        </w:tc>
        <w:tc>
          <w:tcPr>
            <w:tcW w:w="0" w:type="dxa"/>
            <w:vAlign w:val="bottom"/>
          </w:tcPr>
          <w:p>
            <w:pPr>
              <w:spacing w:after="0"/>
              <w:rPr>
                <w:sz w:val="1"/>
                <w:szCs w:val="1"/>
                <w:color w:val="auto"/>
              </w:rPr>
            </w:pPr>
          </w:p>
        </w:tc>
      </w:tr>
      <w:tr>
        <w:trPr>
          <w:trHeight w:val="245"/>
        </w:trPr>
        <w:tc>
          <w:tcPr>
            <w:tcW w:w="2320" w:type="dxa"/>
            <w:vAlign w:val="bottom"/>
          </w:tcPr>
          <w:p>
            <w:pPr>
              <w:spacing w:after="0"/>
              <w:rPr>
                <w:sz w:val="20"/>
                <w:szCs w:val="20"/>
                <w:color w:val="auto"/>
              </w:rPr>
            </w:pPr>
            <w:r>
              <w:rPr>
                <w:rFonts w:ascii="Courier New" w:cs="Courier New" w:eastAsia="Courier New" w:hAnsi="Courier New"/>
                <w:sz w:val="15"/>
                <w:szCs w:val="15"/>
                <w:color w:val="auto"/>
              </w:rPr>
              <w:t>J. Bruce Llewellyn</w:t>
            </w:r>
          </w:p>
        </w:tc>
        <w:tc>
          <w:tcPr>
            <w:tcW w:w="162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6"/>
              </w:rPr>
              <w:t>371,734,847</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1,537,883</w:t>
            </w:r>
          </w:p>
        </w:tc>
        <w:tc>
          <w:tcPr>
            <w:tcW w:w="0" w:type="dxa"/>
            <w:vAlign w:val="bottom"/>
          </w:tcPr>
          <w:p>
            <w:pPr>
              <w:spacing w:after="0"/>
              <w:rPr>
                <w:sz w:val="1"/>
                <w:szCs w:val="1"/>
                <w:color w:val="auto"/>
              </w:rPr>
            </w:pPr>
          </w:p>
        </w:tc>
      </w:tr>
      <w:tr>
        <w:trPr>
          <w:trHeight w:val="505"/>
        </w:trPr>
        <w:tc>
          <w:tcPr>
            <w:tcW w:w="2320" w:type="dxa"/>
            <w:vAlign w:val="bottom"/>
          </w:tcPr>
          <w:p>
            <w:pPr>
              <w:ind w:left="1580"/>
              <w:spacing w:after="0"/>
              <w:rPr>
                <w:sz w:val="20"/>
                <w:szCs w:val="20"/>
                <w:color w:val="auto"/>
              </w:rPr>
            </w:pPr>
            <w:r>
              <w:rPr>
                <w:rFonts w:ascii="Courier New" w:cs="Courier New" w:eastAsia="Courier New" w:hAnsi="Courier New"/>
                <w:sz w:val="15"/>
                <w:szCs w:val="15"/>
                <w:color w:val="auto"/>
              </w:rPr>
              <w:t>-48-</w:t>
            </w:r>
          </w:p>
        </w:tc>
        <w:tc>
          <w:tcPr>
            <w:tcW w:w="1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429" w:right="1440" w:bottom="1440" w:gutter="0" w:footer="0" w:header="0"/>
        </w:sectPr>
      </w:pPr>
    </w:p>
    <w:bookmarkStart w:id="48" w:name="page49"/>
    <w:bookmarkEnd w:id="48"/>
    <w:p>
      <w:pPr>
        <w:spacing w:after="0" w:line="1" w:lineRule="exact"/>
        <w:rPr>
          <w:sz w:val="20"/>
          <w:szCs w:val="20"/>
          <w:color w:val="auto"/>
        </w:rPr>
      </w:pPr>
    </w:p>
    <w:tbl>
      <w:tblPr>
        <w:tblLayout w:type="fixed"/>
        <w:tblInd w:w="1760" w:type="dxa"/>
        <w:tblCellMar>
          <w:top w:w="0" w:type="dxa"/>
          <w:left w:w="0" w:type="dxa"/>
          <w:bottom w:w="0" w:type="dxa"/>
          <w:right w:w="0" w:type="dxa"/>
        </w:tblCellMar>
      </w:tblP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Edward D. Miller</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371,818,608</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1,454,122</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Edmund T. Pratt, Jr.</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371,704,426</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1,568,304</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Henry B. Schacht</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371,838,906</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1,433,824</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Walter V. Shipley</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371,763,618</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1,509,112</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Andrew C. Sigler</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371,814,770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1,457,960</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R. Stafford</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371,817,005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1,455,725</w:t>
            </w:r>
          </w:p>
        </w:tc>
      </w:tr>
      <w:tr>
        <w:trPr>
          <w:trHeight w:val="245"/>
        </w:trPr>
        <w:tc>
          <w:tcPr>
            <w:tcW w:w="2100" w:type="dxa"/>
            <w:vAlign w:val="bottom"/>
          </w:tcPr>
          <w:p>
            <w:pPr>
              <w:spacing w:after="0"/>
              <w:rPr>
                <w:sz w:val="20"/>
                <w:szCs w:val="20"/>
                <w:color w:val="auto"/>
              </w:rPr>
            </w:pPr>
            <w:r>
              <w:rPr>
                <w:rFonts w:ascii="Courier New" w:cs="Courier New" w:eastAsia="Courier New" w:hAnsi="Courier New"/>
                <w:sz w:val="15"/>
                <w:szCs w:val="15"/>
                <w:color w:val="auto"/>
              </w:rPr>
              <w:t>Marina N. Whitman</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371,732,109</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1,540,621</w:t>
            </w: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5160" w:type="dxa"/>
            <w:vAlign w:val="bottom"/>
            <w:gridSpan w:val="3"/>
          </w:tcPr>
          <w:p>
            <w:pPr>
              <w:ind w:left="560"/>
              <w:spacing w:after="0"/>
              <w:rPr>
                <w:sz w:val="20"/>
                <w:szCs w:val="20"/>
                <w:color w:val="auto"/>
              </w:rPr>
            </w:pPr>
            <w:r>
              <w:rPr>
                <w:rFonts w:ascii="Courier New" w:cs="Courier New" w:eastAsia="Courier New" w:hAnsi="Courier New"/>
                <w:sz w:val="15"/>
                <w:szCs w:val="15"/>
                <w:color w:val="auto"/>
              </w:rPr>
              <w:t>(1) Ratifying Independent Accountants</w:t>
            </w:r>
          </w:p>
        </w:tc>
        <w:tc>
          <w:tcPr>
            <w:tcW w:w="1000" w:type="dxa"/>
            <w:vAlign w:val="bottom"/>
          </w:tcPr>
          <w:p>
            <w:pPr>
              <w:spacing w:after="0"/>
              <w:rPr>
                <w:sz w:val="14"/>
                <w:szCs w:val="14"/>
                <w:color w:val="auto"/>
              </w:rPr>
            </w:pPr>
          </w:p>
        </w:tc>
      </w:tr>
      <w:tr>
        <w:trPr>
          <w:trHeight w:val="245"/>
        </w:trPr>
        <w:tc>
          <w:tcPr>
            <w:tcW w:w="840" w:type="dxa"/>
            <w:vAlign w:val="bottom"/>
          </w:tcPr>
          <w:p>
            <w:pPr>
              <w:spacing w:after="0"/>
              <w:rPr>
                <w:sz w:val="21"/>
                <w:szCs w:val="21"/>
                <w:color w:val="auto"/>
              </w:rPr>
            </w:pPr>
          </w:p>
        </w:tc>
        <w:tc>
          <w:tcPr>
            <w:tcW w:w="5160" w:type="dxa"/>
            <w:vAlign w:val="bottom"/>
            <w:gridSpan w:val="3"/>
          </w:tcPr>
          <w:p>
            <w:pPr>
              <w:ind w:left="9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21"/>
                <w:szCs w:val="21"/>
                <w:color w:val="auto"/>
              </w:rPr>
            </w:pPr>
          </w:p>
        </w:tc>
      </w:tr>
      <w:tr>
        <w:trPr>
          <w:trHeight w:val="259"/>
        </w:trPr>
        <w:tc>
          <w:tcPr>
            <w:tcW w:w="840" w:type="dxa"/>
            <w:vAlign w:val="bottom"/>
          </w:tcPr>
          <w:p>
            <w:pPr>
              <w:spacing w:after="0"/>
              <w:rPr>
                <w:sz w:val="22"/>
                <w:szCs w:val="22"/>
                <w:color w:val="auto"/>
              </w:rPr>
            </w:pPr>
          </w:p>
        </w:tc>
        <w:tc>
          <w:tcPr>
            <w:tcW w:w="3420" w:type="dxa"/>
            <w:vAlign w:val="bottom"/>
            <w:gridSpan w:val="2"/>
          </w:tcPr>
          <w:p>
            <w:pPr>
              <w:ind w:left="920"/>
              <w:spacing w:after="0"/>
              <w:rPr>
                <w:sz w:val="20"/>
                <w:szCs w:val="20"/>
                <w:color w:val="auto"/>
              </w:rPr>
            </w:pPr>
            <w:r>
              <w:rPr>
                <w:rFonts w:ascii="Courier New" w:cs="Courier New" w:eastAsia="Courier New" w:hAnsi="Courier New"/>
                <w:sz w:val="15"/>
                <w:szCs w:val="15"/>
                <w:color w:val="auto"/>
              </w:rPr>
              <w:t>A proposal to ratify  Price</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Waterhouse  LLP as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independent</w:t>
            </w:r>
          </w:p>
        </w:tc>
      </w:tr>
      <w:tr>
        <w:trPr>
          <w:trHeight w:val="168"/>
        </w:trPr>
        <w:tc>
          <w:tcPr>
            <w:tcW w:w="840" w:type="dxa"/>
            <w:vAlign w:val="bottom"/>
          </w:tcPr>
          <w:p>
            <w:pPr>
              <w:spacing w:after="0"/>
              <w:rPr>
                <w:sz w:val="14"/>
                <w:szCs w:val="14"/>
                <w:color w:val="auto"/>
              </w:rPr>
            </w:pPr>
          </w:p>
        </w:tc>
        <w:tc>
          <w:tcPr>
            <w:tcW w:w="188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w w:val="94"/>
              </w:rPr>
              <w:t>accountants</w:t>
            </w:r>
          </w:p>
        </w:tc>
        <w:tc>
          <w:tcPr>
            <w:tcW w:w="3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7"/>
              </w:rPr>
              <w:t>was  approved by 99.8% of the votes</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cast.  The</w:t>
            </w:r>
          </w:p>
        </w:tc>
      </w:tr>
      <w:tr>
        <w:trPr>
          <w:trHeight w:val="168"/>
        </w:trPr>
        <w:tc>
          <w:tcPr>
            <w:tcW w:w="840" w:type="dxa"/>
            <w:vAlign w:val="bottom"/>
          </w:tcPr>
          <w:p>
            <w:pPr>
              <w:spacing w:after="0"/>
              <w:rPr>
                <w:sz w:val="14"/>
                <w:szCs w:val="14"/>
                <w:color w:val="auto"/>
              </w:rPr>
            </w:pPr>
          </w:p>
        </w:tc>
        <w:tc>
          <w:tcPr>
            <w:tcW w:w="6160" w:type="dxa"/>
            <w:vAlign w:val="bottom"/>
            <w:gridSpan w:val="4"/>
          </w:tcPr>
          <w:p>
            <w:pPr>
              <w:ind w:left="920"/>
              <w:spacing w:after="0" w:line="168" w:lineRule="exact"/>
              <w:rPr>
                <w:sz w:val="20"/>
                <w:szCs w:val="20"/>
                <w:color w:val="auto"/>
              </w:rPr>
            </w:pPr>
            <w:r>
              <w:rPr>
                <w:rFonts w:ascii="Courier New" w:cs="Courier New" w:eastAsia="Courier New" w:hAnsi="Courier New"/>
                <w:sz w:val="15"/>
                <w:szCs w:val="15"/>
                <w:color w:val="auto"/>
                <w:w w:val="96"/>
              </w:rPr>
              <w:t>proposal  received  a  "for"  vote  of  370,670,844  and  an</w:t>
            </w:r>
          </w:p>
        </w:tc>
      </w:tr>
      <w:tr>
        <w:trPr>
          <w:trHeight w:val="168"/>
        </w:trPr>
        <w:tc>
          <w:tcPr>
            <w:tcW w:w="840" w:type="dxa"/>
            <w:vAlign w:val="bottom"/>
          </w:tcPr>
          <w:p>
            <w:pPr>
              <w:spacing w:after="0"/>
              <w:rPr>
                <w:sz w:val="14"/>
                <w:szCs w:val="14"/>
                <w:color w:val="auto"/>
              </w:rPr>
            </w:pPr>
          </w:p>
        </w:tc>
        <w:tc>
          <w:tcPr>
            <w:tcW w:w="188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"against"</w:t>
            </w:r>
          </w:p>
        </w:tc>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vote of 590,558.</w:t>
            </w:r>
          </w:p>
        </w:tc>
        <w:tc>
          <w:tcPr>
            <w:tcW w:w="1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The number of votes</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abstaining</w:t>
            </w:r>
          </w:p>
        </w:tc>
      </w:tr>
      <w:tr>
        <w:trPr>
          <w:trHeight w:val="245"/>
        </w:trPr>
        <w:tc>
          <w:tcPr>
            <w:tcW w:w="840" w:type="dxa"/>
            <w:vAlign w:val="bottom"/>
          </w:tcPr>
          <w:p>
            <w:pPr>
              <w:spacing w:after="0"/>
              <w:rPr>
                <w:sz w:val="21"/>
                <w:szCs w:val="21"/>
                <w:color w:val="auto"/>
              </w:rPr>
            </w:pPr>
          </w:p>
        </w:tc>
        <w:tc>
          <w:tcPr>
            <w:tcW w:w="3420" w:type="dxa"/>
            <w:vAlign w:val="bottom"/>
            <w:gridSpan w:val="2"/>
          </w:tcPr>
          <w:p>
            <w:pPr>
              <w:ind w:left="920"/>
              <w:spacing w:after="0"/>
              <w:rPr>
                <w:sz w:val="20"/>
                <w:szCs w:val="20"/>
                <w:color w:val="auto"/>
              </w:rPr>
            </w:pPr>
            <w:r>
              <w:rPr>
                <w:rFonts w:ascii="Courier New" w:cs="Courier New" w:eastAsia="Courier New" w:hAnsi="Courier New"/>
                <w:sz w:val="15"/>
                <w:szCs w:val="15"/>
                <w:color w:val="auto"/>
                <w:w w:val="98"/>
              </w:rPr>
              <w:t>was 2,011,328. There were no</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broker non-votes.</w:t>
            </w:r>
          </w:p>
        </w:tc>
        <w:tc>
          <w:tcPr>
            <w:tcW w:w="1000" w:type="dxa"/>
            <w:vAlign w:val="bottom"/>
          </w:tcPr>
          <w:p>
            <w:pPr>
              <w:spacing w:after="0"/>
              <w:rPr>
                <w:sz w:val="21"/>
                <w:szCs w:val="21"/>
                <w:color w:val="auto"/>
              </w:rPr>
            </w:pPr>
          </w:p>
        </w:tc>
      </w:tr>
    </w:tbl>
    <w:p>
      <w:pPr>
        <w:spacing w:after="0" w:line="91" w:lineRule="exact"/>
        <w:rPr>
          <w:sz w:val="20"/>
          <w:szCs w:val="20"/>
          <w:color w:val="auto"/>
        </w:rPr>
      </w:pPr>
    </w:p>
    <w:p>
      <w:pPr>
        <w:ind w:left="1760" w:hanging="351"/>
        <w:spacing w:after="0"/>
        <w:tabs>
          <w:tab w:leader="none" w:pos="176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the 1996 Long-Term Incentive Plan</w:t>
      </w:r>
    </w:p>
    <w:p>
      <w:pPr>
        <w:spacing w:after="0" w:line="24" w:lineRule="exact"/>
        <w:rPr>
          <w:rFonts w:ascii="Courier New" w:cs="Courier New" w:eastAsia="Courier New" w:hAnsi="Courier New"/>
          <w:sz w:val="15"/>
          <w:szCs w:val="15"/>
          <w:color w:val="auto"/>
        </w:rPr>
      </w:pPr>
    </w:p>
    <w:p>
      <w:pPr>
        <w:ind w:left="17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rFonts w:ascii="Courier New" w:cs="Courier New" w:eastAsia="Courier New" w:hAnsi="Courier New"/>
          <w:sz w:val="15"/>
          <w:szCs w:val="15"/>
          <w:color w:val="auto"/>
        </w:rPr>
      </w:pPr>
    </w:p>
    <w:p>
      <w:pPr>
        <w:jc w:val="both"/>
        <w:ind w:left="1760" w:right="3239"/>
        <w:spacing w:after="0" w:line="26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proposal to approve the 1996 Long-Term Incentive Plan was approved by 63.4% of the votes cast. The proposal received a "for" vote of 209,065,352 and an "against" vote of 120,431,228. The number of shares abstaining was 3,276,158 and there were 40,499,992 broker non-votes.</w:t>
      </w:r>
    </w:p>
    <w:p>
      <w:pPr>
        <w:spacing w:after="0" w:line="74" w:lineRule="exact"/>
        <w:rPr>
          <w:rFonts w:ascii="Courier New" w:cs="Courier New" w:eastAsia="Courier New" w:hAnsi="Courier New"/>
          <w:sz w:val="15"/>
          <w:szCs w:val="15"/>
          <w:color w:val="auto"/>
        </w:rPr>
      </w:pPr>
    </w:p>
    <w:p>
      <w:pPr>
        <w:ind w:left="1760" w:hanging="351"/>
        <w:spacing w:after="0"/>
        <w:tabs>
          <w:tab w:leader="none" w:pos="176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Proposal Re:  Term Limits for Directors</w:t>
      </w:r>
    </w:p>
    <w:p>
      <w:pPr>
        <w:spacing w:after="0" w:line="24" w:lineRule="exact"/>
        <w:rPr>
          <w:rFonts w:ascii="Courier New" w:cs="Courier New" w:eastAsia="Courier New" w:hAnsi="Courier New"/>
          <w:sz w:val="15"/>
          <w:szCs w:val="15"/>
          <w:color w:val="auto"/>
        </w:rPr>
      </w:pPr>
    </w:p>
    <w:p>
      <w:pPr>
        <w:ind w:left="17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rFonts w:ascii="Courier New" w:cs="Courier New" w:eastAsia="Courier New" w:hAnsi="Courier New"/>
          <w:sz w:val="15"/>
          <w:szCs w:val="15"/>
          <w:color w:val="auto"/>
        </w:rPr>
      </w:pPr>
    </w:p>
    <w:p>
      <w:pPr>
        <w:jc w:val="both"/>
        <w:ind w:left="176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proposal by Evelyn Y. Davis that the Board of Directors take the necessary steps so that future outside directors shall not serve for more than six years was rejected by 91.7% of the votes cast. The vote "for" was 26,859,566 and the vote "against" was 297,553,351. The number of votes abstaining was 5,880,674 and there were 42,979,139 broker non-votes.</w:t>
      </w:r>
    </w:p>
    <w:p>
      <w:pPr>
        <w:spacing w:after="0" w:line="81" w:lineRule="exact"/>
        <w:rPr>
          <w:rFonts w:ascii="Courier New" w:cs="Courier New" w:eastAsia="Courier New" w:hAnsi="Courier New"/>
          <w:sz w:val="15"/>
          <w:szCs w:val="15"/>
          <w:color w:val="auto"/>
        </w:rPr>
      </w:pPr>
    </w:p>
    <w:p>
      <w:pPr>
        <w:ind w:left="1760" w:hanging="351"/>
        <w:spacing w:after="0"/>
        <w:tabs>
          <w:tab w:leader="none" w:pos="176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Proposal Re:  Efforts of G-7 Ministers</w:t>
      </w:r>
    </w:p>
    <w:p>
      <w:pPr>
        <w:spacing w:after="0" w:line="24" w:lineRule="exact"/>
        <w:rPr>
          <w:rFonts w:ascii="Courier New" w:cs="Courier New" w:eastAsia="Courier New" w:hAnsi="Courier New"/>
          <w:sz w:val="15"/>
          <w:szCs w:val="15"/>
          <w:color w:val="auto"/>
        </w:rPr>
      </w:pPr>
    </w:p>
    <w:p>
      <w:pPr>
        <w:ind w:left="17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rFonts w:ascii="Courier New" w:cs="Courier New" w:eastAsia="Courier New" w:hAnsi="Courier New"/>
          <w:sz w:val="15"/>
          <w:szCs w:val="15"/>
          <w:color w:val="auto"/>
        </w:rPr>
      </w:pPr>
    </w:p>
    <w:p>
      <w:pPr>
        <w:jc w:val="both"/>
        <w:ind w:left="176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proposal by the Sisters of Charity of the Incarnate Word and other religious groups requesting that the Board of Directors endorse and work to implement the efforts of the G-7 Ministers was approved by 93.6% of the votes cast. The vote "for" was 335,414,883 and the vote "against" was 22,807,243. The number of votes abstaining was 15,050,604 and there were no broker non-votes.</w:t>
      </w:r>
    </w:p>
    <w:p>
      <w:pPr>
        <w:spacing w:after="0" w:line="82"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23"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w:t>
      </w:r>
    </w:p>
    <w:p>
      <w:pPr>
        <w:ind w:left="1400"/>
        <w:spacing w:after="0"/>
        <w:rPr>
          <w:sz w:val="20"/>
          <w:szCs w:val="20"/>
          <w:color w:val="auto"/>
        </w:rPr>
      </w:pPr>
      <w:r>
        <w:rPr>
          <w:rFonts w:ascii="Courier New" w:cs="Courier New" w:eastAsia="Courier New" w:hAnsi="Courier New"/>
          <w:sz w:val="15"/>
          <w:szCs w:val="15"/>
          <w:color w:val="auto"/>
        </w:rPr>
        <w:t>(A) Exhibits:</w:t>
      </w:r>
    </w:p>
    <w:p>
      <w:pPr>
        <w:spacing w:after="0" w:line="139" w:lineRule="exact"/>
        <w:rPr>
          <w:sz w:val="20"/>
          <w:szCs w:val="20"/>
          <w:color w:val="auto"/>
        </w:rPr>
      </w:pPr>
    </w:p>
    <w:tbl>
      <w:tblPr>
        <w:tblLayout w:type="fixed"/>
        <w:tblInd w:w="1760" w:type="dxa"/>
        <w:tblCellMar>
          <w:top w:w="0" w:type="dxa"/>
          <w:left w:w="0" w:type="dxa"/>
          <w:bottom w:w="0" w:type="dxa"/>
          <w:right w:w="0" w:type="dxa"/>
        </w:tblCellMar>
      </w:tblPr>
      <w:tr>
        <w:trPr>
          <w:trHeight w:val="170"/>
        </w:trPr>
        <w:tc>
          <w:tcPr>
            <w:tcW w:w="3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88"/>
              </w:rPr>
              <w:t>11</w:t>
            </w:r>
          </w:p>
        </w:tc>
        <w:tc>
          <w:tcPr>
            <w:tcW w:w="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Computation of net income per share.</w:t>
            </w:r>
          </w:p>
        </w:tc>
      </w:tr>
      <w:tr>
        <w:trPr>
          <w:trHeight w:val="168"/>
        </w:trPr>
        <w:tc>
          <w:tcPr>
            <w:tcW w:w="18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12(a) -   Computation</w:t>
            </w: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of ratio of earnings to fixed charges.</w:t>
            </w:r>
          </w:p>
        </w:tc>
      </w:tr>
      <w:tr>
        <w:trPr>
          <w:trHeight w:val="168"/>
        </w:trPr>
        <w:tc>
          <w:tcPr>
            <w:tcW w:w="7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12(b) -</w:t>
            </w:r>
          </w:p>
        </w:tc>
        <w:tc>
          <w:tcPr>
            <w:tcW w:w="11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Computation</w:t>
            </w: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of ratio of earnings to fixed charges</w:t>
            </w:r>
          </w:p>
        </w:tc>
      </w:tr>
      <w:tr>
        <w:trPr>
          <w:trHeight w:val="194"/>
        </w:trPr>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and preferred stock dividend requirements.</w:t>
            </w:r>
          </w:p>
        </w:tc>
      </w:tr>
    </w:tbl>
    <w:p>
      <w:pPr>
        <w:ind w:left="1760"/>
        <w:spacing w:after="0"/>
        <w:rPr>
          <w:sz w:val="20"/>
          <w:szCs w:val="20"/>
          <w:color w:val="auto"/>
        </w:rPr>
      </w:pPr>
      <w:r>
        <w:rPr>
          <w:rFonts w:ascii="Courier New" w:cs="Courier New" w:eastAsia="Courier New" w:hAnsi="Courier New"/>
          <w:sz w:val="15"/>
          <w:szCs w:val="15"/>
          <w:color w:val="auto"/>
        </w:rPr>
        <w:t>27</w:t>
      </w:r>
      <w:r>
        <w:rPr>
          <w:rFonts w:ascii="Courier New" w:cs="Courier New" w:eastAsia="Courier New" w:hAnsi="Courier New"/>
          <w:sz w:val="14"/>
          <w:szCs w:val="14"/>
          <w:color w:val="auto"/>
        </w:rPr>
        <w:t>-   Financial Data Schedule.</w:t>
      </w:r>
    </w:p>
    <w:p>
      <w:pPr>
        <w:spacing w:after="0" w:line="140" w:lineRule="exact"/>
        <w:rPr>
          <w:sz w:val="20"/>
          <w:szCs w:val="20"/>
          <w:color w:val="auto"/>
        </w:rPr>
      </w:pPr>
    </w:p>
    <w:p>
      <w:pPr>
        <w:ind w:left="1760" w:hanging="351"/>
        <w:spacing w:after="0"/>
        <w:tabs>
          <w:tab w:leader="none" w:pos="176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66" w:lineRule="exact"/>
        <w:rPr>
          <w:rFonts w:ascii="Courier New" w:cs="Courier New" w:eastAsia="Courier New" w:hAnsi="Courier New"/>
          <w:sz w:val="15"/>
          <w:szCs w:val="15"/>
          <w:color w:val="auto"/>
        </w:rPr>
      </w:pPr>
    </w:p>
    <w:p>
      <w:pPr>
        <w:ind w:left="1760" w:right="3239"/>
        <w:spacing w:after="0" w:line="3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filed one report on Form 8-K during the quarter ended June 30, 1996, as follows:</w:t>
      </w:r>
    </w:p>
    <w:p>
      <w:pPr>
        <w:spacing w:after="0" w:line="17" w:lineRule="exact"/>
        <w:rPr>
          <w:rFonts w:ascii="Courier New" w:cs="Courier New" w:eastAsia="Courier New" w:hAnsi="Courier New"/>
          <w:sz w:val="15"/>
          <w:szCs w:val="15"/>
          <w:color w:val="auto"/>
        </w:rPr>
      </w:pPr>
    </w:p>
    <w:p>
      <w:pPr>
        <w:ind w:left="17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Form 8-K Dated April 16, 1996: The Corporation announced the</w:t>
      </w:r>
    </w:p>
    <w:p>
      <w:pPr>
        <w:spacing w:after="0" w:line="35" w:lineRule="exact"/>
        <w:rPr>
          <w:rFonts w:ascii="Courier New" w:cs="Courier New" w:eastAsia="Courier New" w:hAnsi="Courier New"/>
          <w:sz w:val="15"/>
          <w:szCs w:val="15"/>
          <w:color w:val="auto"/>
        </w:rPr>
      </w:pPr>
    </w:p>
    <w:p>
      <w:pPr>
        <w:jc w:val="both"/>
        <w:ind w:left="176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Results of operations for the first quarter of 1996, management's discussion and analysis and audited financial statements from the 1995 Annual Report of the Corporation; and supervision and regulation of The Chase Manhattan Corporation.</w:t>
      </w:r>
    </w:p>
    <w:p>
      <w:pPr>
        <w:spacing w:after="0" w:line="24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428" w:right="1440" w:bottom="1440" w:gutter="0" w:footer="0" w:header="0"/>
        </w:sectPr>
      </w:pPr>
    </w:p>
    <w:bookmarkStart w:id="49" w:name="page50"/>
    <w:bookmarkEnd w:id="49"/>
    <w:p>
      <w:pPr>
        <w:ind w:left="3160"/>
        <w:spacing w:after="0"/>
        <w:rPr>
          <w:sz w:val="20"/>
          <w:szCs w:val="20"/>
          <w:color w:val="auto"/>
        </w:rPr>
      </w:pPr>
      <w:r>
        <w:rPr>
          <w:rFonts w:ascii="Courier New" w:cs="Courier New" w:eastAsia="Courier New" w:hAnsi="Courier New"/>
          <w:sz w:val="15"/>
          <w:szCs w:val="15"/>
          <w:color w:val="auto"/>
        </w:rPr>
        <w:t>SIGNATURE</w:t>
      </w:r>
    </w:p>
    <w:p>
      <w:pPr>
        <w:spacing w:after="0" w:line="335" w:lineRule="exact"/>
        <w:rPr>
          <w:sz w:val="20"/>
          <w:szCs w:val="20"/>
          <w:color w:val="auto"/>
        </w:rPr>
      </w:pPr>
    </w:p>
    <w:p>
      <w:pPr>
        <w:jc w:val="both"/>
        <w:ind w:left="440" w:right="3239"/>
        <w:spacing w:after="0" w:line="290"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THE CHASE MANHATTAN CORPORATION</w:t>
      </w:r>
    </w:p>
    <w:p>
      <w:pPr>
        <w:spacing w:after="0" w:line="24"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39"/>
          </w:cols>
          <w:pgMar w:left="220" w:top="5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14, 1996</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 Joseph L. Sclafani</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9" w:lineRule="exact"/>
        <w:rPr>
          <w:sz w:val="20"/>
          <w:szCs w:val="20"/>
          <w:color w:val="auto"/>
        </w:rPr>
      </w:pPr>
    </w:p>
    <w:p>
      <w:pPr>
        <w:sectPr>
          <w:pgSz w:w="11900" w:h="16838" w:orient="portrait"/>
          <w:cols w:equalWidth="0" w:num="4">
            <w:col w:w="360" w:space="180"/>
            <w:col w:w="2160" w:space="720"/>
            <w:col w:w="180" w:space="80"/>
            <w:col w:w="6559"/>
          </w:cols>
          <w:pgMar w:left="220" w:top="598" w:right="1440" w:bottom="1440" w:gutter="0" w:footer="0" w:header="0"/>
          <w:type w:val="continuous"/>
        </w:sectPr>
      </w:pPr>
    </w:p>
    <w:p>
      <w:pPr>
        <w:ind w:left="4300"/>
        <w:spacing w:after="0"/>
        <w:rPr>
          <w:sz w:val="20"/>
          <w:szCs w:val="20"/>
          <w:color w:val="auto"/>
        </w:rPr>
      </w:pPr>
      <w:r>
        <w:rPr>
          <w:rFonts w:ascii="Courier New" w:cs="Courier New" w:eastAsia="Courier New" w:hAnsi="Courier New"/>
          <w:sz w:val="15"/>
          <w:szCs w:val="15"/>
          <w:color w:val="auto"/>
        </w:rPr>
        <w:t>Joseph L. Sclafani</w:t>
      </w:r>
    </w:p>
    <w:p>
      <w:pPr>
        <w:spacing w:after="0" w:line="91"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Controller</w:t>
      </w:r>
    </w:p>
    <w:p>
      <w:pPr>
        <w:spacing w:after="0" w:line="24"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[Principal Accounting Officer]</w:t>
      </w:r>
    </w:p>
    <w:p>
      <w:pPr>
        <w:spacing w:after="0" w:line="32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598" w:right="1440" w:bottom="1440" w:gutter="0" w:footer="0" w:header="0"/>
          <w:type w:val="continuous"/>
        </w:sectPr>
      </w:pPr>
    </w:p>
    <w:bookmarkStart w:id="50" w:name="page51"/>
    <w:bookmarkEnd w:id="50"/>
    <w:p>
      <w:pPr>
        <w:jc w:val="center"/>
        <w:ind w:right="3839"/>
        <w:spacing w:after="0"/>
        <w:rPr>
          <w:sz w:val="20"/>
          <w:szCs w:val="20"/>
          <w:color w:val="auto"/>
        </w:rPr>
      </w:pPr>
      <w:r>
        <w:rPr>
          <w:rFonts w:ascii="Courier New" w:cs="Courier New" w:eastAsia="Courier New" w:hAnsi="Courier New"/>
          <w:sz w:val="15"/>
          <w:szCs w:val="15"/>
          <w:color w:val="auto"/>
        </w:rPr>
        <w:t>INDEX TO EXHIBITS</w:t>
      </w:r>
    </w:p>
    <w:p>
      <w:pPr>
        <w:spacing w:after="0" w:line="24" w:lineRule="exact"/>
        <w:rPr>
          <w:sz w:val="20"/>
          <w:szCs w:val="20"/>
          <w:color w:val="auto"/>
        </w:rPr>
      </w:pPr>
    </w:p>
    <w:p>
      <w:pPr>
        <w:jc w:val="center"/>
        <w:ind w:right="3839"/>
        <w:spacing w:after="0"/>
        <w:rPr>
          <w:sz w:val="20"/>
          <w:szCs w:val="20"/>
          <w:color w:val="auto"/>
        </w:rPr>
      </w:pPr>
      <w:r>
        <w:rPr>
          <w:rFonts w:ascii="Courier New" w:cs="Courier New" w:eastAsia="Courier New" w:hAnsi="Courier New"/>
          <w:sz w:val="15"/>
          <w:szCs w:val="15"/>
          <w:color w:val="auto"/>
        </w:rPr>
        <w:t>SEQUENTIALLY NUMBERED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280" w:type="dxa"/>
            <w:vAlign w:val="bottom"/>
            <w:gridSpan w:val="2"/>
          </w:tcPr>
          <w:p>
            <w:pPr>
              <w:spacing w:after="0"/>
              <w:rPr>
                <w:sz w:val="20"/>
                <w:szCs w:val="20"/>
                <w:color w:val="auto"/>
              </w:rPr>
            </w:pPr>
            <w:r>
              <w:rPr>
                <w:rFonts w:ascii="Courier New" w:cs="Courier New" w:eastAsia="Courier New" w:hAnsi="Courier New"/>
                <w:sz w:val="15"/>
                <w:szCs w:val="15"/>
                <w:color w:val="auto"/>
              </w:rPr>
              <w:t>EXHIBIT NO.</w:t>
            </w:r>
          </w:p>
        </w:tc>
        <w:tc>
          <w:tcPr>
            <w:tcW w:w="3200" w:type="dxa"/>
            <w:vAlign w:val="bottom"/>
          </w:tcPr>
          <w:p>
            <w:pPr>
              <w:ind w:left="660"/>
              <w:spacing w:after="0"/>
              <w:rPr>
                <w:sz w:val="20"/>
                <w:szCs w:val="20"/>
                <w:color w:val="auto"/>
              </w:rPr>
            </w:pPr>
            <w:r>
              <w:rPr>
                <w:rFonts w:ascii="Courier New" w:cs="Courier New" w:eastAsia="Courier New" w:hAnsi="Courier New"/>
                <w:sz w:val="15"/>
                <w:szCs w:val="15"/>
                <w:color w:val="auto"/>
              </w:rPr>
              <w:t>EXHIBITS</w:t>
            </w:r>
          </w:p>
        </w:tc>
        <w:tc>
          <w:tcPr>
            <w:tcW w:w="2260" w:type="dxa"/>
            <w:vAlign w:val="bottom"/>
          </w:tcPr>
          <w:p>
            <w:pPr>
              <w:jc w:val="right"/>
              <w:spacing w:after="0"/>
              <w:rPr>
                <w:sz w:val="20"/>
                <w:szCs w:val="20"/>
                <w:color w:val="auto"/>
              </w:rPr>
            </w:pPr>
            <w:r>
              <w:rPr>
                <w:rFonts w:ascii="Courier New" w:cs="Courier New" w:eastAsia="Courier New" w:hAnsi="Courier New"/>
                <w:sz w:val="15"/>
                <w:szCs w:val="15"/>
                <w:color w:val="auto"/>
              </w:rPr>
              <w:t>PAGE AT WHICH LOCATED</w:t>
            </w:r>
          </w:p>
        </w:tc>
      </w:tr>
      <w:tr>
        <w:trPr>
          <w:trHeight w:val="259"/>
        </w:trPr>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w:t>
            </w:r>
          </w:p>
        </w:tc>
        <w:tc>
          <w:tcPr>
            <w:tcW w:w="840" w:type="dxa"/>
            <w:vAlign w:val="bottom"/>
          </w:tcPr>
          <w:p>
            <w:pPr>
              <w:spacing w:after="0"/>
              <w:rPr>
                <w:sz w:val="22"/>
                <w:szCs w:val="22"/>
                <w:color w:val="auto"/>
              </w:rPr>
            </w:pPr>
          </w:p>
        </w:tc>
        <w:tc>
          <w:tcPr>
            <w:tcW w:w="3200" w:type="dxa"/>
            <w:vAlign w:val="bottom"/>
          </w:tcPr>
          <w:p>
            <w:pPr>
              <w:ind w:left="300"/>
              <w:spacing w:after="0"/>
              <w:rPr>
                <w:sz w:val="20"/>
                <w:szCs w:val="20"/>
                <w:color w:val="auto"/>
              </w:rPr>
            </w:pPr>
            <w:r>
              <w:rPr>
                <w:rFonts w:ascii="Courier New" w:cs="Courier New" w:eastAsia="Courier New" w:hAnsi="Courier New"/>
                <w:sz w:val="15"/>
                <w:szCs w:val="15"/>
                <w:color w:val="auto"/>
              </w:rPr>
              <w:t>Computation of net income</w:t>
            </w:r>
          </w:p>
        </w:tc>
        <w:tc>
          <w:tcPr>
            <w:tcW w:w="22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52</w:t>
            </w:r>
          </w:p>
        </w:tc>
      </w:tr>
      <w:tr>
        <w:trPr>
          <w:trHeight w:val="245"/>
        </w:trPr>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0" w:type="dxa"/>
            <w:vAlign w:val="bottom"/>
          </w:tcPr>
          <w:p>
            <w:pPr>
              <w:ind w:left="300"/>
              <w:spacing w:after="0"/>
              <w:rPr>
                <w:sz w:val="20"/>
                <w:szCs w:val="20"/>
                <w:color w:val="auto"/>
              </w:rPr>
            </w:pPr>
            <w:r>
              <w:rPr>
                <w:rFonts w:ascii="Courier New" w:cs="Courier New" w:eastAsia="Courier New" w:hAnsi="Courier New"/>
                <w:sz w:val="15"/>
                <w:szCs w:val="15"/>
                <w:color w:val="auto"/>
              </w:rPr>
              <w:t>per share</w:t>
            </w:r>
          </w:p>
        </w:tc>
        <w:tc>
          <w:tcPr>
            <w:tcW w:w="2260" w:type="dxa"/>
            <w:vAlign w:val="bottom"/>
          </w:tcPr>
          <w:p>
            <w:pPr>
              <w:spacing w:after="0"/>
              <w:rPr>
                <w:sz w:val="21"/>
                <w:szCs w:val="21"/>
                <w:color w:val="auto"/>
              </w:rPr>
            </w:pPr>
          </w:p>
        </w:tc>
      </w:tr>
      <w:tr>
        <w:trPr>
          <w:trHeight w:val="259"/>
        </w:trPr>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(a)</w:t>
            </w:r>
          </w:p>
        </w:tc>
        <w:tc>
          <w:tcPr>
            <w:tcW w:w="3200" w:type="dxa"/>
            <w:vAlign w:val="bottom"/>
          </w:tcPr>
          <w:p>
            <w:pPr>
              <w:ind w:left="300"/>
              <w:spacing w:after="0"/>
              <w:rPr>
                <w:sz w:val="20"/>
                <w:szCs w:val="20"/>
                <w:color w:val="auto"/>
              </w:rPr>
            </w:pPr>
            <w:r>
              <w:rPr>
                <w:rFonts w:ascii="Courier New" w:cs="Courier New" w:eastAsia="Courier New" w:hAnsi="Courier New"/>
                <w:sz w:val="15"/>
                <w:szCs w:val="15"/>
                <w:color w:val="auto"/>
              </w:rPr>
              <w:t>Computation of ratio of</w:t>
            </w:r>
          </w:p>
        </w:tc>
        <w:tc>
          <w:tcPr>
            <w:tcW w:w="22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53</w:t>
            </w:r>
          </w:p>
        </w:tc>
      </w:tr>
      <w:tr>
        <w:trPr>
          <w:trHeight w:val="245"/>
        </w:trPr>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0" w:type="dxa"/>
            <w:vAlign w:val="bottom"/>
          </w:tcPr>
          <w:p>
            <w:pPr>
              <w:ind w:left="300"/>
              <w:spacing w:after="0"/>
              <w:rPr>
                <w:sz w:val="20"/>
                <w:szCs w:val="20"/>
                <w:color w:val="auto"/>
              </w:rPr>
            </w:pPr>
            <w:r>
              <w:rPr>
                <w:rFonts w:ascii="Courier New" w:cs="Courier New" w:eastAsia="Courier New" w:hAnsi="Courier New"/>
                <w:sz w:val="15"/>
                <w:szCs w:val="15"/>
                <w:color w:val="auto"/>
              </w:rPr>
              <w:t>earnings to fixed charges</w:t>
            </w:r>
          </w:p>
        </w:tc>
        <w:tc>
          <w:tcPr>
            <w:tcW w:w="2260" w:type="dxa"/>
            <w:vAlign w:val="bottom"/>
          </w:tcPr>
          <w:p>
            <w:pPr>
              <w:spacing w:after="0"/>
              <w:rPr>
                <w:sz w:val="21"/>
                <w:szCs w:val="21"/>
                <w:color w:val="auto"/>
              </w:rPr>
            </w:pPr>
          </w:p>
        </w:tc>
      </w:tr>
      <w:tr>
        <w:trPr>
          <w:trHeight w:val="259"/>
        </w:trPr>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(b)</w:t>
            </w:r>
          </w:p>
        </w:tc>
        <w:tc>
          <w:tcPr>
            <w:tcW w:w="3200" w:type="dxa"/>
            <w:vAlign w:val="bottom"/>
          </w:tcPr>
          <w:p>
            <w:pPr>
              <w:ind w:left="300"/>
              <w:spacing w:after="0"/>
              <w:rPr>
                <w:sz w:val="20"/>
                <w:szCs w:val="20"/>
                <w:color w:val="auto"/>
              </w:rPr>
            </w:pPr>
            <w:r>
              <w:rPr>
                <w:rFonts w:ascii="Courier New" w:cs="Courier New" w:eastAsia="Courier New" w:hAnsi="Courier New"/>
                <w:sz w:val="15"/>
                <w:szCs w:val="15"/>
                <w:color w:val="auto"/>
              </w:rPr>
              <w:t>Computation of ratio of</w:t>
            </w:r>
          </w:p>
        </w:tc>
        <w:tc>
          <w:tcPr>
            <w:tcW w:w="22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54</w:t>
            </w:r>
          </w:p>
        </w:tc>
      </w:tr>
      <w:tr>
        <w:trPr>
          <w:trHeight w:val="168"/>
        </w:trPr>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earnings to fixed charges</w:t>
            </w:r>
          </w:p>
        </w:tc>
        <w:tc>
          <w:tcPr>
            <w:tcW w:w="2260" w:type="dxa"/>
            <w:vAlign w:val="bottom"/>
          </w:tcPr>
          <w:p>
            <w:pPr>
              <w:spacing w:after="0"/>
              <w:rPr>
                <w:sz w:val="14"/>
                <w:szCs w:val="14"/>
                <w:color w:val="auto"/>
              </w:rPr>
            </w:pPr>
          </w:p>
        </w:tc>
      </w:tr>
      <w:tr>
        <w:trPr>
          <w:trHeight w:val="168"/>
        </w:trPr>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and preferred stock dividend</w:t>
            </w:r>
          </w:p>
        </w:tc>
        <w:tc>
          <w:tcPr>
            <w:tcW w:w="2260" w:type="dxa"/>
            <w:vAlign w:val="bottom"/>
          </w:tcPr>
          <w:p>
            <w:pPr>
              <w:spacing w:after="0"/>
              <w:rPr>
                <w:sz w:val="14"/>
                <w:szCs w:val="14"/>
                <w:color w:val="auto"/>
              </w:rPr>
            </w:pPr>
          </w:p>
        </w:tc>
      </w:tr>
      <w:tr>
        <w:trPr>
          <w:trHeight w:val="245"/>
        </w:trPr>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0" w:type="dxa"/>
            <w:vAlign w:val="bottom"/>
          </w:tcPr>
          <w:p>
            <w:pPr>
              <w:ind w:left="300"/>
              <w:spacing w:after="0"/>
              <w:rPr>
                <w:sz w:val="20"/>
                <w:szCs w:val="20"/>
                <w:color w:val="auto"/>
              </w:rPr>
            </w:pPr>
            <w:r>
              <w:rPr>
                <w:rFonts w:ascii="Courier New" w:cs="Courier New" w:eastAsia="Courier New" w:hAnsi="Courier New"/>
                <w:sz w:val="15"/>
                <w:szCs w:val="15"/>
                <w:color w:val="auto"/>
              </w:rPr>
              <w:t>requirements</w:t>
            </w:r>
          </w:p>
        </w:tc>
        <w:tc>
          <w:tcPr>
            <w:tcW w:w="2260" w:type="dxa"/>
            <w:vAlign w:val="bottom"/>
          </w:tcPr>
          <w:p>
            <w:pPr>
              <w:spacing w:after="0"/>
              <w:rPr>
                <w:sz w:val="21"/>
                <w:szCs w:val="21"/>
                <w:color w:val="auto"/>
              </w:rPr>
            </w:pPr>
          </w:p>
        </w:tc>
      </w:tr>
      <w:tr>
        <w:trPr>
          <w:trHeight w:val="336"/>
        </w:trPr>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w:t>
            </w:r>
          </w:p>
        </w:tc>
        <w:tc>
          <w:tcPr>
            <w:tcW w:w="840" w:type="dxa"/>
            <w:vAlign w:val="bottom"/>
          </w:tcPr>
          <w:p>
            <w:pPr>
              <w:spacing w:after="0"/>
              <w:rPr>
                <w:sz w:val="24"/>
                <w:szCs w:val="24"/>
                <w:color w:val="auto"/>
              </w:rPr>
            </w:pPr>
          </w:p>
        </w:tc>
        <w:tc>
          <w:tcPr>
            <w:tcW w:w="3200" w:type="dxa"/>
            <w:vAlign w:val="bottom"/>
          </w:tcPr>
          <w:p>
            <w:pPr>
              <w:ind w:left="300"/>
              <w:spacing w:after="0"/>
              <w:rPr>
                <w:sz w:val="20"/>
                <w:szCs w:val="20"/>
                <w:color w:val="auto"/>
              </w:rPr>
            </w:pPr>
            <w:r>
              <w:rPr>
                <w:rFonts w:ascii="Courier New" w:cs="Courier New" w:eastAsia="Courier New" w:hAnsi="Courier New"/>
                <w:sz w:val="15"/>
                <w:szCs w:val="15"/>
                <w:color w:val="auto"/>
              </w:rPr>
              <w:t>Financial Data Schedule</w:t>
            </w:r>
          </w:p>
        </w:tc>
        <w:tc>
          <w:tcPr>
            <w:tcW w:w="22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55</w:t>
            </w:r>
          </w:p>
        </w:tc>
      </w:tr>
      <w:tr>
        <w:trPr>
          <w:trHeight w:val="673"/>
        </w:trPr>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0" w:type="dxa"/>
            <w:vAlign w:val="bottom"/>
          </w:tcPr>
          <w:p>
            <w:pPr>
              <w:ind w:left="2060"/>
              <w:spacing w:after="0"/>
              <w:rPr>
                <w:sz w:val="20"/>
                <w:szCs w:val="20"/>
                <w:color w:val="auto"/>
              </w:rPr>
            </w:pPr>
            <w:r>
              <w:rPr>
                <w:rFonts w:ascii="Courier New" w:cs="Courier New" w:eastAsia="Courier New" w:hAnsi="Courier New"/>
                <w:sz w:val="15"/>
                <w:szCs w:val="15"/>
                <w:color w:val="auto"/>
              </w:rPr>
              <w:t>-51-</w:t>
            </w:r>
          </w:p>
        </w:tc>
        <w:tc>
          <w:tcPr>
            <w:tcW w:w="2260" w:type="dxa"/>
            <w:vAlign w:val="bottom"/>
          </w:tcPr>
          <w:p>
            <w:pPr>
              <w:spacing w:after="0"/>
              <w:rPr>
                <w:sz w:val="24"/>
                <w:szCs w:val="24"/>
                <w:color w:val="auto"/>
              </w:rPr>
            </w:pPr>
          </w:p>
        </w:tc>
      </w:tr>
    </w:tbl>
    <w:p>
      <w:pPr>
        <w:sectPr>
          <w:pgSz w:w="11900" w:h="16838" w:orient="portrait"/>
          <w:cols w:equalWidth="0" w:num="1">
            <w:col w:w="10239"/>
          </w:cols>
          <w:pgMar w:left="220" w:top="598" w:right="1440" w:bottom="1440" w:gutter="0" w:footer="0" w:header="0"/>
        </w:sectPr>
      </w:pPr>
    </w:p>
    <w:bookmarkStart w:id="51" w:name="page52"/>
    <w:bookmarkEnd w:id="51"/>
    <w:p>
      <w:pPr>
        <w:ind w:left="3080"/>
        <w:spacing w:after="0"/>
        <w:rPr>
          <w:sz w:val="20"/>
          <w:szCs w:val="20"/>
          <w:color w:val="auto"/>
        </w:rPr>
      </w:pPr>
      <w:r>
        <w:rPr>
          <w:rFonts w:ascii="Courier New" w:cs="Courier New" w:eastAsia="Courier New" w:hAnsi="Courier New"/>
          <w:sz w:val="15"/>
          <w:szCs w:val="15"/>
          <w:color w:val="auto"/>
        </w:rPr>
        <w:t>EXHIBIT 11</w:t>
      </w:r>
    </w:p>
    <w:p>
      <w:pPr>
        <w:spacing w:after="0" w:line="23"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THE CHASE MANHATTAN CORPORATION and Subsidiaries</w:t>
      </w:r>
    </w:p>
    <w:p>
      <w:pPr>
        <w:ind w:left="2020"/>
        <w:spacing w:after="0" w:line="237" w:lineRule="auto"/>
        <w:rPr>
          <w:sz w:val="20"/>
          <w:szCs w:val="20"/>
          <w:color w:val="auto"/>
        </w:rPr>
      </w:pPr>
      <w:r>
        <w:rPr>
          <w:rFonts w:ascii="Courier New" w:cs="Courier New" w:eastAsia="Courier New" w:hAnsi="Courier New"/>
          <w:sz w:val="15"/>
          <w:szCs w:val="15"/>
          <w:color w:val="auto"/>
        </w:rPr>
        <w:t>Computation of Net Income Per Share</w:t>
      </w:r>
    </w:p>
    <w:p>
      <w:pPr>
        <w:ind w:left="20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jc w:val="both"/>
        <w:ind w:right="4540"/>
        <w:spacing w:after="0" w:line="255" w:lineRule="auto"/>
        <w:rPr>
          <w:sz w:val="20"/>
          <w:szCs w:val="20"/>
          <w:color w:val="auto"/>
        </w:rPr>
      </w:pPr>
      <w:r>
        <w:rPr>
          <w:rFonts w:ascii="Courier New" w:cs="Courier New" w:eastAsia="Courier New" w:hAnsi="Courier New"/>
          <w:sz w:val="15"/>
          <w:szCs w:val="15"/>
          <w:color w:val="auto"/>
        </w:rPr>
        <w:t>Net income for primary and fully diluted earnings per share are computed by subtracting from the applicable earnings the dividend requirements on preferred stock to arrive at earnings applicable to common stock and dividing this amount by the weighted-average number of common and common equivalent shares outstanding during the period. For a further discussion of the Corporation's earnings per share computation, reference is made to Note One of the Corporation's 1995 Annual Report.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80" w:type="dxa"/>
            <w:vAlign w:val="bottom"/>
            <w:gridSpan w:val="2"/>
          </w:tcPr>
          <w:p>
            <w:pPr>
              <w:spacing w:after="0"/>
              <w:rPr>
                <w:sz w:val="20"/>
                <w:szCs w:val="20"/>
                <w:color w:val="auto"/>
              </w:rPr>
            </w:pPr>
            <w:r>
              <w:rPr>
                <w:rFonts w:ascii="Courier New" w:cs="Courier New" w:eastAsia="Courier New" w:hAnsi="Courier New"/>
                <w:sz w:val="15"/>
                <w:szCs w:val="15"/>
                <w:color w:val="auto"/>
              </w:rPr>
              <w:t>(in millions, except per share amounts)</w:t>
            </w:r>
          </w:p>
        </w:tc>
        <w:tc>
          <w:tcPr>
            <w:tcW w:w="5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Three Months</w:t>
            </w:r>
          </w:p>
        </w:tc>
        <w:tc>
          <w:tcPr>
            <w:tcW w:w="11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Ended</w:t>
            </w:r>
          </w:p>
        </w:tc>
        <w:tc>
          <w:tcPr>
            <w:tcW w:w="560" w:type="dxa"/>
            <w:vAlign w:val="bottom"/>
          </w:tcPr>
          <w:p>
            <w:pPr>
              <w:spacing w:after="0"/>
              <w:rPr>
                <w:sz w:val="14"/>
                <w:szCs w:val="14"/>
                <w:color w:val="auto"/>
              </w:rPr>
            </w:pPr>
          </w:p>
        </w:tc>
        <w:tc>
          <w:tcPr>
            <w:tcW w:w="1440" w:type="dxa"/>
            <w:vAlign w:val="bottom"/>
            <w:gridSpan w:val="2"/>
          </w:tcPr>
          <w:p>
            <w:pPr>
              <w:spacing w:after="0"/>
              <w:rPr>
                <w:sz w:val="20"/>
                <w:szCs w:val="20"/>
                <w:color w:val="auto"/>
              </w:rPr>
            </w:pPr>
            <w:r>
              <w:rPr>
                <w:rFonts w:ascii="Courier New" w:cs="Courier New" w:eastAsia="Courier New" w:hAnsi="Courier New"/>
                <w:sz w:val="15"/>
                <w:szCs w:val="15"/>
                <w:color w:val="auto"/>
                <w:w w:val="98"/>
              </w:rPr>
              <w:t>Six Months Ended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June 30,</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June 30,</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8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EARNINGS PER SHARE</w:t>
            </w:r>
          </w:p>
        </w:tc>
        <w:tc>
          <w:tcPr>
            <w:tcW w:w="520" w:type="dxa"/>
            <w:vAlign w:val="bottom"/>
          </w:tcPr>
          <w:p>
            <w:pPr>
              <w:spacing w:after="0"/>
              <w:rPr>
                <w:sz w:val="14"/>
                <w:szCs w:val="14"/>
                <w:color w:val="auto"/>
              </w:rPr>
            </w:pPr>
          </w:p>
        </w:tc>
        <w:tc>
          <w:tcPr>
            <w:tcW w:w="2420" w:type="dxa"/>
            <w:vAlign w:val="bottom"/>
            <w:gridSpan w:val="3"/>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2260" w:type="dxa"/>
            <w:vAlign w:val="bottom"/>
            <w:gridSpan w:val="3"/>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168"/>
        </w:trPr>
        <w:tc>
          <w:tcPr>
            <w:tcW w:w="578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1995</w:t>
            </w:r>
          </w:p>
        </w:tc>
        <w:tc>
          <w:tcPr>
            <w:tcW w:w="56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1996</w:t>
            </w:r>
          </w:p>
        </w:tc>
        <w:tc>
          <w:tcPr>
            <w:tcW w:w="92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45"/>
        </w:trPr>
        <w:tc>
          <w:tcPr>
            <w:tcW w:w="500" w:type="dxa"/>
            <w:vAlign w:val="bottom"/>
          </w:tcPr>
          <w:p>
            <w:pPr>
              <w:spacing w:after="0"/>
              <w:rPr>
                <w:sz w:val="21"/>
                <w:szCs w:val="21"/>
                <w:color w:val="auto"/>
              </w:rPr>
            </w:pPr>
          </w:p>
        </w:tc>
        <w:tc>
          <w:tcPr>
            <w:tcW w:w="5280" w:type="dxa"/>
            <w:vAlign w:val="bottom"/>
          </w:tcPr>
          <w:p>
            <w:pPr>
              <w:spacing w:after="0"/>
              <w:rPr>
                <w:sz w:val="21"/>
                <w:szCs w:val="21"/>
                <w:color w:val="auto"/>
              </w:rPr>
            </w:pPr>
          </w:p>
        </w:tc>
        <w:tc>
          <w:tcPr>
            <w:tcW w:w="180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780" w:type="dxa"/>
            <w:vAlign w:val="bottom"/>
            <w:gridSpan w:val="2"/>
          </w:tcPr>
          <w:p>
            <w:pPr>
              <w:spacing w:after="0"/>
              <w:rPr>
                <w:sz w:val="20"/>
                <w:szCs w:val="20"/>
                <w:color w:val="auto"/>
              </w:rPr>
            </w:pPr>
            <w:r>
              <w:rPr>
                <w:rFonts w:ascii="Courier New" w:cs="Courier New" w:eastAsia="Courier New" w:hAnsi="Courier New"/>
                <w:sz w:val="15"/>
                <w:szCs w:val="15"/>
                <w:color w:val="auto"/>
              </w:rPr>
              <w:t>Primary</w:t>
            </w:r>
          </w:p>
        </w:tc>
        <w:tc>
          <w:tcPr>
            <w:tcW w:w="5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5780" w:type="dxa"/>
            <w:vAlign w:val="bottom"/>
            <w:gridSpan w:val="2"/>
          </w:tcPr>
          <w:p>
            <w:pPr>
              <w:spacing w:after="0"/>
              <w:rPr>
                <w:sz w:val="20"/>
                <w:szCs w:val="20"/>
                <w:color w:val="auto"/>
              </w:rPr>
            </w:pPr>
            <w:r>
              <w:rPr>
                <w:rFonts w:ascii="Courier New" w:cs="Courier New" w:eastAsia="Courier New" w:hAnsi="Courier New"/>
                <w:sz w:val="15"/>
                <w:szCs w:val="15"/>
                <w:color w:val="auto"/>
              </w:rPr>
              <w:t>Earnings:</w:t>
            </w:r>
          </w:p>
        </w:tc>
        <w:tc>
          <w:tcPr>
            <w:tcW w:w="5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780" w:type="dxa"/>
            <w:vAlign w:val="bottom"/>
            <w:gridSpan w:val="2"/>
          </w:tcPr>
          <w:p>
            <w:pPr>
              <w:spacing w:after="0"/>
              <w:rPr>
                <w:sz w:val="20"/>
                <w:szCs w:val="20"/>
                <w:color w:val="auto"/>
              </w:rPr>
            </w:pPr>
            <w:r>
              <w:rPr>
                <w:rFonts w:ascii="Courier New" w:cs="Courier New" w:eastAsia="Courier New" w:hAnsi="Courier New"/>
                <w:sz w:val="15"/>
                <w:szCs w:val="15"/>
                <w:color w:val="auto"/>
              </w:rPr>
              <w:t>Income Before Effect of Accounting Change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856</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729</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767</w:t>
            </w:r>
          </w:p>
        </w:tc>
        <w:tc>
          <w:tcPr>
            <w:tcW w:w="92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1,379</w:t>
            </w:r>
          </w:p>
        </w:tc>
        <w:tc>
          <w:tcPr>
            <w:tcW w:w="0" w:type="dxa"/>
            <w:vAlign w:val="bottom"/>
          </w:tcPr>
          <w:p>
            <w:pPr>
              <w:spacing w:after="0"/>
              <w:rPr>
                <w:sz w:val="1"/>
                <w:szCs w:val="1"/>
                <w:color w:val="auto"/>
              </w:rPr>
            </w:pPr>
          </w:p>
        </w:tc>
      </w:tr>
      <w:tr>
        <w:trPr>
          <w:trHeight w:val="168"/>
        </w:trPr>
        <w:tc>
          <w:tcPr>
            <w:tcW w:w="5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Effect of Change in Accounting Principle</w:t>
            </w:r>
          </w:p>
        </w:tc>
        <w:tc>
          <w:tcPr>
            <w:tcW w:w="520" w:type="dxa"/>
            <w:vAlign w:val="bottom"/>
          </w:tcPr>
          <w:p>
            <w:pPr>
              <w:spacing w:after="0"/>
              <w:rPr>
                <w:sz w:val="14"/>
                <w:szCs w:val="14"/>
                <w:color w:val="auto"/>
              </w:rPr>
            </w:pPr>
          </w:p>
        </w:tc>
        <w:tc>
          <w:tcPr>
            <w:tcW w:w="12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(11)(a)</w:t>
            </w:r>
          </w:p>
        </w:tc>
        <w:tc>
          <w:tcPr>
            <w:tcW w:w="0" w:type="dxa"/>
            <w:vAlign w:val="bottom"/>
          </w:tcPr>
          <w:p>
            <w:pPr>
              <w:spacing w:after="0"/>
              <w:rPr>
                <w:sz w:val="1"/>
                <w:szCs w:val="1"/>
                <w:color w:val="auto"/>
              </w:rPr>
            </w:pPr>
          </w:p>
        </w:tc>
      </w:tr>
      <w:tr>
        <w:trPr>
          <w:trHeight w:val="168"/>
        </w:trPr>
        <w:tc>
          <w:tcPr>
            <w:tcW w:w="578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1800" w:type="dxa"/>
            <w:vAlign w:val="bottom"/>
            <w:gridSpan w:val="2"/>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780" w:type="dxa"/>
            <w:vAlign w:val="bottom"/>
            <w:gridSpan w:val="2"/>
            <w:vMerge w:val="continue"/>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856</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729</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767</w:t>
            </w:r>
          </w:p>
        </w:tc>
        <w:tc>
          <w:tcPr>
            <w:tcW w:w="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1,368</w:t>
            </w:r>
          </w:p>
        </w:tc>
        <w:tc>
          <w:tcPr>
            <w:tcW w:w="0" w:type="dxa"/>
            <w:vAlign w:val="bottom"/>
          </w:tcPr>
          <w:p>
            <w:pPr>
              <w:spacing w:after="0"/>
              <w:rPr>
                <w:sz w:val="1"/>
                <w:szCs w:val="1"/>
                <w:color w:val="auto"/>
              </w:rPr>
            </w:pP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Less:</w:t>
            </w:r>
          </w:p>
        </w:tc>
        <w:tc>
          <w:tcPr>
            <w:tcW w:w="52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Preferred Stock Dividend Requirements</w:t>
            </w:r>
          </w:p>
        </w:tc>
        <w:tc>
          <w:tcPr>
            <w:tcW w:w="520" w:type="dxa"/>
            <w:vAlign w:val="bottom"/>
          </w:tcPr>
          <w:p>
            <w:pPr>
              <w:spacing w:after="0"/>
              <w:rPr>
                <w:sz w:val="14"/>
                <w:szCs w:val="14"/>
                <w:color w:val="auto"/>
              </w:rPr>
            </w:pPr>
          </w:p>
        </w:tc>
        <w:tc>
          <w:tcPr>
            <w:tcW w:w="12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55</w:t>
            </w:r>
          </w:p>
        </w:tc>
        <w:tc>
          <w:tcPr>
            <w:tcW w:w="18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56</w:t>
            </w:r>
          </w:p>
        </w:tc>
        <w:tc>
          <w:tcPr>
            <w:tcW w:w="56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w:t>
            </w:r>
          </w:p>
        </w:tc>
        <w:tc>
          <w:tcPr>
            <w:tcW w:w="92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117</w:t>
            </w:r>
          </w:p>
        </w:tc>
        <w:tc>
          <w:tcPr>
            <w:tcW w:w="0" w:type="dxa"/>
            <w:vAlign w:val="bottom"/>
          </w:tcPr>
          <w:p>
            <w:pPr>
              <w:spacing w:after="0"/>
              <w:rPr>
                <w:sz w:val="1"/>
                <w:szCs w:val="1"/>
                <w:color w:val="auto"/>
              </w:rPr>
            </w:pPr>
          </w:p>
        </w:tc>
      </w:tr>
      <w:tr>
        <w:trPr>
          <w:trHeight w:val="168"/>
        </w:trPr>
        <w:tc>
          <w:tcPr>
            <w:tcW w:w="578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Net Income Applicable to Common Stock</w:t>
            </w:r>
          </w:p>
        </w:tc>
        <w:tc>
          <w:tcPr>
            <w:tcW w:w="1800" w:type="dxa"/>
            <w:vAlign w:val="bottom"/>
            <w:gridSpan w:val="2"/>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780" w:type="dxa"/>
            <w:vAlign w:val="bottom"/>
            <w:gridSpan w:val="2"/>
            <w:vMerge w:val="continue"/>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801</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673</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658</w:t>
            </w:r>
          </w:p>
        </w:tc>
        <w:tc>
          <w:tcPr>
            <w:tcW w:w="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1,251</w:t>
            </w:r>
          </w:p>
        </w:tc>
        <w:tc>
          <w:tcPr>
            <w:tcW w:w="0" w:type="dxa"/>
            <w:vAlign w:val="bottom"/>
          </w:tcPr>
          <w:p>
            <w:pPr>
              <w:spacing w:after="0"/>
              <w:rPr>
                <w:sz w:val="1"/>
                <w:szCs w:val="1"/>
                <w:color w:val="auto"/>
              </w:rPr>
            </w:pPr>
          </w:p>
        </w:tc>
      </w:tr>
      <w:tr>
        <w:trPr>
          <w:trHeight w:val="245"/>
        </w:trPr>
        <w:tc>
          <w:tcPr>
            <w:tcW w:w="578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Shares:</w:t>
            </w:r>
          </w:p>
        </w:tc>
        <w:tc>
          <w:tcPr>
            <w:tcW w:w="180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78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1280" w:type="dxa"/>
            <w:vAlign w:val="bottom"/>
            <w:vMerge w:val="restart"/>
          </w:tcPr>
          <w:p>
            <w:pPr>
              <w:jc w:val="right"/>
              <w:ind w:right="767"/>
              <w:spacing w:after="0"/>
              <w:rPr>
                <w:sz w:val="20"/>
                <w:szCs w:val="20"/>
                <w:color w:val="auto"/>
              </w:rPr>
            </w:pPr>
            <w:r>
              <w:rPr>
                <w:rFonts w:ascii="Courier New" w:cs="Courier New" w:eastAsia="Courier New" w:hAnsi="Courier New"/>
                <w:sz w:val="15"/>
                <w:szCs w:val="15"/>
                <w:color w:val="auto"/>
                <w:w w:val="93"/>
              </w:rPr>
              <w:t>444.8</w:t>
            </w:r>
          </w:p>
        </w:tc>
        <w:tc>
          <w:tcPr>
            <w:tcW w:w="180" w:type="dxa"/>
            <w:vAlign w:val="bottom"/>
          </w:tcPr>
          <w:p>
            <w:pPr>
              <w:spacing w:after="0"/>
              <w:rPr>
                <w:sz w:val="7"/>
                <w:szCs w:val="7"/>
                <w:color w:val="auto"/>
              </w:rPr>
            </w:pPr>
          </w:p>
        </w:tc>
        <w:tc>
          <w:tcPr>
            <w:tcW w:w="96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436.2</w:t>
            </w:r>
          </w:p>
        </w:tc>
        <w:tc>
          <w:tcPr>
            <w:tcW w:w="560" w:type="dxa"/>
            <w:vAlign w:val="bottom"/>
          </w:tcPr>
          <w:p>
            <w:pPr>
              <w:spacing w:after="0"/>
              <w:rPr>
                <w:sz w:val="7"/>
                <w:szCs w:val="7"/>
                <w:color w:val="auto"/>
              </w:rPr>
            </w:pPr>
          </w:p>
        </w:tc>
        <w:tc>
          <w:tcPr>
            <w:tcW w:w="5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3"/>
              </w:rPr>
              <w:t>445.4</w:t>
            </w:r>
          </w:p>
        </w:tc>
        <w:tc>
          <w:tcPr>
            <w:tcW w:w="920" w:type="dxa"/>
            <w:vAlign w:val="bottom"/>
          </w:tcPr>
          <w:p>
            <w:pPr>
              <w:spacing w:after="0"/>
              <w:rPr>
                <w:sz w:val="7"/>
                <w:szCs w:val="7"/>
                <w:color w:val="auto"/>
              </w:rPr>
            </w:pPr>
          </w:p>
        </w:tc>
        <w:tc>
          <w:tcPr>
            <w:tcW w:w="8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433.5</w:t>
            </w:r>
          </w:p>
        </w:tc>
        <w:tc>
          <w:tcPr>
            <w:tcW w:w="0" w:type="dxa"/>
            <w:vAlign w:val="bottom"/>
          </w:tcPr>
          <w:p>
            <w:pPr>
              <w:spacing w:after="0"/>
              <w:rPr>
                <w:sz w:val="1"/>
                <w:szCs w:val="1"/>
                <w:color w:val="auto"/>
              </w:rPr>
            </w:pPr>
          </w:p>
        </w:tc>
      </w:tr>
      <w:tr>
        <w:trPr>
          <w:trHeight w:val="168"/>
        </w:trPr>
        <w:tc>
          <w:tcPr>
            <w:tcW w:w="5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Average Common and Common Equivalent Shares Outstanding</w:t>
            </w:r>
          </w:p>
        </w:tc>
        <w:tc>
          <w:tcPr>
            <w:tcW w:w="5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Primary Earnings Per Share:</w:t>
            </w:r>
          </w:p>
        </w:tc>
        <w:tc>
          <w:tcPr>
            <w:tcW w:w="1800" w:type="dxa"/>
            <w:vAlign w:val="bottom"/>
            <w:gridSpan w:val="2"/>
            <w:vMerge w:val="restart"/>
          </w:tcPr>
          <w:p>
            <w:pPr>
              <w:jc w:val="right"/>
              <w:ind w:right="767"/>
              <w:spacing w:after="0"/>
              <w:rPr>
                <w:sz w:val="20"/>
                <w:szCs w:val="20"/>
                <w:color w:val="auto"/>
              </w:rPr>
            </w:pPr>
            <w:r>
              <w:rPr>
                <w:rFonts w:ascii="Courier New" w:cs="Courier New" w:eastAsia="Courier New" w:hAnsi="Courier New"/>
                <w:sz w:val="15"/>
                <w:szCs w:val="15"/>
                <w:color w:val="auto"/>
              </w:rPr>
              <w:t>$ 1.80</w:t>
            </w:r>
          </w:p>
        </w:tc>
        <w:tc>
          <w:tcPr>
            <w:tcW w:w="1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1.54</w:t>
            </w:r>
          </w:p>
        </w:tc>
        <w:tc>
          <w:tcPr>
            <w:tcW w:w="108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rPr>
              <w:t>$ 1.48</w:t>
            </w:r>
          </w:p>
        </w:tc>
        <w:tc>
          <w:tcPr>
            <w:tcW w:w="92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2.91</w:t>
            </w:r>
          </w:p>
        </w:tc>
        <w:tc>
          <w:tcPr>
            <w:tcW w:w="0" w:type="dxa"/>
            <w:vAlign w:val="bottom"/>
          </w:tcPr>
          <w:p>
            <w:pPr>
              <w:spacing w:after="0"/>
              <w:rPr>
                <w:sz w:val="1"/>
                <w:szCs w:val="1"/>
                <w:color w:val="auto"/>
              </w:rPr>
            </w:pPr>
          </w:p>
        </w:tc>
      </w:tr>
      <w:tr>
        <w:trPr>
          <w:trHeight w:val="168"/>
        </w:trPr>
        <w:tc>
          <w:tcPr>
            <w:tcW w:w="5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Before Effect of Accounting Change</w:t>
            </w:r>
          </w:p>
        </w:tc>
        <w:tc>
          <w:tcPr>
            <w:tcW w:w="180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Effect of Change in Accounting Principle</w:t>
            </w:r>
          </w:p>
        </w:tc>
        <w:tc>
          <w:tcPr>
            <w:tcW w:w="520" w:type="dxa"/>
            <w:vAlign w:val="bottom"/>
          </w:tcPr>
          <w:p>
            <w:pPr>
              <w:spacing w:after="0"/>
              <w:rPr>
                <w:sz w:val="14"/>
                <w:szCs w:val="14"/>
                <w:color w:val="auto"/>
              </w:rPr>
            </w:pPr>
          </w:p>
        </w:tc>
        <w:tc>
          <w:tcPr>
            <w:tcW w:w="12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(0.02)(a)</w:t>
            </w:r>
          </w:p>
        </w:tc>
        <w:tc>
          <w:tcPr>
            <w:tcW w:w="0" w:type="dxa"/>
            <w:vAlign w:val="bottom"/>
          </w:tcPr>
          <w:p>
            <w:pPr>
              <w:spacing w:after="0"/>
              <w:rPr>
                <w:sz w:val="1"/>
                <w:szCs w:val="1"/>
                <w:color w:val="auto"/>
              </w:rPr>
            </w:pPr>
          </w:p>
        </w:tc>
      </w:tr>
      <w:tr>
        <w:trPr>
          <w:trHeight w:val="168"/>
        </w:trPr>
        <w:tc>
          <w:tcPr>
            <w:tcW w:w="578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1800" w:type="dxa"/>
            <w:vAlign w:val="bottom"/>
            <w:gridSpan w:val="2"/>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780" w:type="dxa"/>
            <w:vAlign w:val="bottom"/>
            <w:gridSpan w:val="2"/>
            <w:vMerge w:val="continue"/>
          </w:tcPr>
          <w:p>
            <w:pPr>
              <w:spacing w:after="0"/>
              <w:rPr>
                <w:sz w:val="14"/>
                <w:szCs w:val="14"/>
                <w:color w:val="auto"/>
              </w:rPr>
            </w:pPr>
          </w:p>
        </w:tc>
        <w:tc>
          <w:tcPr>
            <w:tcW w:w="1800" w:type="dxa"/>
            <w:vAlign w:val="bottom"/>
            <w:gridSpan w:val="2"/>
          </w:tcPr>
          <w:p>
            <w:pPr>
              <w:jc w:val="right"/>
              <w:ind w:right="767"/>
              <w:spacing w:after="0" w:line="168" w:lineRule="exact"/>
              <w:rPr>
                <w:sz w:val="20"/>
                <w:szCs w:val="20"/>
                <w:color w:val="auto"/>
              </w:rPr>
            </w:pPr>
            <w:r>
              <w:rPr>
                <w:rFonts w:ascii="Courier New" w:cs="Courier New" w:eastAsia="Courier New" w:hAnsi="Courier New"/>
                <w:sz w:val="15"/>
                <w:szCs w:val="15"/>
                <w:color w:val="auto"/>
              </w:rPr>
              <w:t>$ 1.80</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1.54</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$ 1.48</w:t>
            </w:r>
          </w:p>
        </w:tc>
        <w:tc>
          <w:tcPr>
            <w:tcW w:w="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2.89</w:t>
            </w:r>
          </w:p>
        </w:tc>
        <w:tc>
          <w:tcPr>
            <w:tcW w:w="0" w:type="dxa"/>
            <w:vAlign w:val="bottom"/>
          </w:tcPr>
          <w:p>
            <w:pPr>
              <w:spacing w:after="0"/>
              <w:rPr>
                <w:sz w:val="1"/>
                <w:szCs w:val="1"/>
                <w:color w:val="auto"/>
              </w:rPr>
            </w:pPr>
          </w:p>
        </w:tc>
      </w:tr>
      <w:tr>
        <w:trPr>
          <w:trHeight w:val="245"/>
        </w:trPr>
        <w:tc>
          <w:tcPr>
            <w:tcW w:w="500" w:type="dxa"/>
            <w:vAlign w:val="bottom"/>
          </w:tcPr>
          <w:p>
            <w:pPr>
              <w:spacing w:after="0"/>
              <w:rPr>
                <w:sz w:val="21"/>
                <w:szCs w:val="21"/>
                <w:color w:val="auto"/>
              </w:rPr>
            </w:pPr>
          </w:p>
        </w:tc>
        <w:tc>
          <w:tcPr>
            <w:tcW w:w="5280" w:type="dxa"/>
            <w:vAlign w:val="bottom"/>
          </w:tcPr>
          <w:p>
            <w:pPr>
              <w:spacing w:after="0"/>
              <w:rPr>
                <w:sz w:val="21"/>
                <w:szCs w:val="21"/>
                <w:color w:val="auto"/>
              </w:rPr>
            </w:pPr>
          </w:p>
        </w:tc>
        <w:tc>
          <w:tcPr>
            <w:tcW w:w="180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780" w:type="dxa"/>
            <w:vAlign w:val="bottom"/>
            <w:gridSpan w:val="2"/>
          </w:tcPr>
          <w:p>
            <w:pPr>
              <w:spacing w:after="0"/>
              <w:rPr>
                <w:sz w:val="20"/>
                <w:szCs w:val="20"/>
                <w:color w:val="auto"/>
              </w:rPr>
            </w:pPr>
            <w:r>
              <w:rPr>
                <w:rFonts w:ascii="Courier New" w:cs="Courier New" w:eastAsia="Courier New" w:hAnsi="Courier New"/>
                <w:sz w:val="15"/>
                <w:szCs w:val="15"/>
                <w:color w:val="auto"/>
              </w:rPr>
              <w:t>Assuming Full Dilution</w:t>
            </w:r>
          </w:p>
        </w:tc>
        <w:tc>
          <w:tcPr>
            <w:tcW w:w="5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Earnings:</w:t>
            </w: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767"/>
              <w:spacing w:after="0"/>
              <w:rPr>
                <w:sz w:val="20"/>
                <w:szCs w:val="20"/>
                <w:color w:val="auto"/>
              </w:rPr>
            </w:pPr>
            <w:r>
              <w:rPr>
                <w:rFonts w:ascii="Courier New" w:cs="Courier New" w:eastAsia="Courier New" w:hAnsi="Courier New"/>
                <w:sz w:val="15"/>
                <w:szCs w:val="15"/>
                <w:color w:val="auto"/>
              </w:rPr>
              <w:t>801</w:t>
            </w:r>
          </w:p>
        </w:tc>
        <w:tc>
          <w:tcPr>
            <w:tcW w:w="1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673</w:t>
            </w:r>
          </w:p>
        </w:tc>
        <w:tc>
          <w:tcPr>
            <w:tcW w:w="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658</w:t>
            </w:r>
          </w:p>
        </w:tc>
        <w:tc>
          <w:tcPr>
            <w:tcW w:w="92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1,251</w:t>
            </w:r>
          </w:p>
        </w:tc>
        <w:tc>
          <w:tcPr>
            <w:tcW w:w="0" w:type="dxa"/>
            <w:vAlign w:val="bottom"/>
          </w:tcPr>
          <w:p>
            <w:pPr>
              <w:spacing w:after="0"/>
              <w:rPr>
                <w:sz w:val="1"/>
                <w:szCs w:val="1"/>
                <w:color w:val="auto"/>
              </w:rPr>
            </w:pPr>
          </w:p>
        </w:tc>
      </w:tr>
      <w:tr>
        <w:trPr>
          <w:trHeight w:val="168"/>
        </w:trPr>
        <w:tc>
          <w:tcPr>
            <w:tcW w:w="5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Income Applicable to Common Stock</w:t>
            </w:r>
          </w:p>
        </w:tc>
        <w:tc>
          <w:tcPr>
            <w:tcW w:w="5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Add:</w:t>
            </w:r>
          </w:p>
        </w:tc>
        <w:tc>
          <w:tcPr>
            <w:tcW w:w="5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Applicable Dividend on Convertible Preferred Stock</w:t>
            </w:r>
          </w:p>
        </w:tc>
        <w:tc>
          <w:tcPr>
            <w:tcW w:w="520" w:type="dxa"/>
            <w:vAlign w:val="bottom"/>
          </w:tcPr>
          <w:p>
            <w:pPr>
              <w:spacing w:after="0"/>
              <w:rPr>
                <w:sz w:val="14"/>
                <w:szCs w:val="14"/>
                <w:color w:val="auto"/>
              </w:rPr>
            </w:pPr>
          </w:p>
        </w:tc>
        <w:tc>
          <w:tcPr>
            <w:tcW w:w="12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w:t>
            </w:r>
          </w:p>
        </w:tc>
        <w:tc>
          <w:tcPr>
            <w:tcW w:w="56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68"/>
        </w:trPr>
        <w:tc>
          <w:tcPr>
            <w:tcW w:w="578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Adjusted Net Income</w:t>
            </w:r>
          </w:p>
        </w:tc>
        <w:tc>
          <w:tcPr>
            <w:tcW w:w="1800" w:type="dxa"/>
            <w:vAlign w:val="bottom"/>
            <w:gridSpan w:val="2"/>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780" w:type="dxa"/>
            <w:vAlign w:val="bottom"/>
            <w:gridSpan w:val="2"/>
            <w:vMerge w:val="continue"/>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801</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675</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658</w:t>
            </w:r>
          </w:p>
        </w:tc>
        <w:tc>
          <w:tcPr>
            <w:tcW w:w="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1,258</w:t>
            </w:r>
          </w:p>
        </w:tc>
        <w:tc>
          <w:tcPr>
            <w:tcW w:w="0" w:type="dxa"/>
            <w:vAlign w:val="bottom"/>
          </w:tcPr>
          <w:p>
            <w:pPr>
              <w:spacing w:after="0"/>
              <w:rPr>
                <w:sz w:val="1"/>
                <w:szCs w:val="1"/>
                <w:color w:val="auto"/>
              </w:rPr>
            </w:pPr>
          </w:p>
        </w:tc>
      </w:tr>
      <w:tr>
        <w:trPr>
          <w:trHeight w:val="245"/>
        </w:trPr>
        <w:tc>
          <w:tcPr>
            <w:tcW w:w="578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Shares:</w:t>
            </w:r>
          </w:p>
        </w:tc>
        <w:tc>
          <w:tcPr>
            <w:tcW w:w="180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78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1280" w:type="dxa"/>
            <w:vAlign w:val="bottom"/>
            <w:vMerge w:val="restart"/>
          </w:tcPr>
          <w:p>
            <w:pPr>
              <w:jc w:val="right"/>
              <w:ind w:right="767"/>
              <w:spacing w:after="0"/>
              <w:rPr>
                <w:sz w:val="20"/>
                <w:szCs w:val="20"/>
                <w:color w:val="auto"/>
              </w:rPr>
            </w:pPr>
            <w:r>
              <w:rPr>
                <w:rFonts w:ascii="Courier New" w:cs="Courier New" w:eastAsia="Courier New" w:hAnsi="Courier New"/>
                <w:sz w:val="15"/>
                <w:szCs w:val="15"/>
                <w:color w:val="auto"/>
                <w:w w:val="93"/>
              </w:rPr>
              <w:t>444.8</w:t>
            </w:r>
          </w:p>
        </w:tc>
        <w:tc>
          <w:tcPr>
            <w:tcW w:w="180" w:type="dxa"/>
            <w:vAlign w:val="bottom"/>
          </w:tcPr>
          <w:p>
            <w:pPr>
              <w:spacing w:after="0"/>
              <w:rPr>
                <w:sz w:val="7"/>
                <w:szCs w:val="7"/>
                <w:color w:val="auto"/>
              </w:rPr>
            </w:pPr>
          </w:p>
        </w:tc>
        <w:tc>
          <w:tcPr>
            <w:tcW w:w="96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436.2</w:t>
            </w:r>
          </w:p>
        </w:tc>
        <w:tc>
          <w:tcPr>
            <w:tcW w:w="560" w:type="dxa"/>
            <w:vAlign w:val="bottom"/>
          </w:tcPr>
          <w:p>
            <w:pPr>
              <w:spacing w:after="0"/>
              <w:rPr>
                <w:sz w:val="7"/>
                <w:szCs w:val="7"/>
                <w:color w:val="auto"/>
              </w:rPr>
            </w:pPr>
          </w:p>
        </w:tc>
        <w:tc>
          <w:tcPr>
            <w:tcW w:w="5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3"/>
              </w:rPr>
              <w:t>445.4</w:t>
            </w:r>
          </w:p>
        </w:tc>
        <w:tc>
          <w:tcPr>
            <w:tcW w:w="920" w:type="dxa"/>
            <w:vAlign w:val="bottom"/>
          </w:tcPr>
          <w:p>
            <w:pPr>
              <w:spacing w:after="0"/>
              <w:rPr>
                <w:sz w:val="7"/>
                <w:szCs w:val="7"/>
                <w:color w:val="auto"/>
              </w:rPr>
            </w:pPr>
          </w:p>
        </w:tc>
        <w:tc>
          <w:tcPr>
            <w:tcW w:w="8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433.5</w:t>
            </w:r>
          </w:p>
        </w:tc>
        <w:tc>
          <w:tcPr>
            <w:tcW w:w="0" w:type="dxa"/>
            <w:vAlign w:val="bottom"/>
          </w:tcPr>
          <w:p>
            <w:pPr>
              <w:spacing w:after="0"/>
              <w:rPr>
                <w:sz w:val="1"/>
                <w:szCs w:val="1"/>
                <w:color w:val="auto"/>
              </w:rPr>
            </w:pPr>
          </w:p>
        </w:tc>
      </w:tr>
      <w:tr>
        <w:trPr>
          <w:trHeight w:val="168"/>
        </w:trPr>
        <w:tc>
          <w:tcPr>
            <w:tcW w:w="5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Average Common and Common Equivalent Shares Outstanding</w:t>
            </w:r>
          </w:p>
        </w:tc>
        <w:tc>
          <w:tcPr>
            <w:tcW w:w="5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Additional Shares Issuable Upon Exercise of Stock Options for</w:t>
            </w:r>
          </w:p>
        </w:tc>
        <w:tc>
          <w:tcPr>
            <w:tcW w:w="520" w:type="dxa"/>
            <w:vAlign w:val="bottom"/>
          </w:tcPr>
          <w:p>
            <w:pPr>
              <w:spacing w:after="0"/>
              <w:rPr>
                <w:sz w:val="14"/>
                <w:szCs w:val="14"/>
                <w:color w:val="auto"/>
              </w:rPr>
            </w:pPr>
          </w:p>
        </w:tc>
        <w:tc>
          <w:tcPr>
            <w:tcW w:w="1280" w:type="dxa"/>
            <w:vAlign w:val="bottom"/>
            <w:vMerge w:val="restart"/>
          </w:tcPr>
          <w:p>
            <w:pPr>
              <w:jc w:val="right"/>
              <w:ind w:right="767"/>
              <w:spacing w:after="0"/>
              <w:rPr>
                <w:sz w:val="20"/>
                <w:szCs w:val="20"/>
                <w:color w:val="auto"/>
              </w:rPr>
            </w:pPr>
            <w:r>
              <w:rPr>
                <w:rFonts w:ascii="Courier New" w:cs="Courier New" w:eastAsia="Courier New" w:hAnsi="Courier New"/>
                <w:sz w:val="15"/>
                <w:szCs w:val="15"/>
                <w:color w:val="auto"/>
              </w:rPr>
              <w:t>3.6</w:t>
            </w:r>
          </w:p>
        </w:tc>
        <w:tc>
          <w:tcPr>
            <w:tcW w:w="180" w:type="dxa"/>
            <w:vAlign w:val="bottom"/>
          </w:tcPr>
          <w:p>
            <w:pPr>
              <w:spacing w:after="0"/>
              <w:rPr>
                <w:sz w:val="14"/>
                <w:szCs w:val="14"/>
                <w:color w:val="auto"/>
              </w:rPr>
            </w:pPr>
          </w:p>
        </w:tc>
        <w:tc>
          <w:tcPr>
            <w:tcW w:w="96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8.2</w:t>
            </w:r>
          </w:p>
        </w:tc>
        <w:tc>
          <w:tcPr>
            <w:tcW w:w="560" w:type="dxa"/>
            <w:vAlign w:val="bottom"/>
          </w:tcPr>
          <w:p>
            <w:pPr>
              <w:spacing w:after="0"/>
              <w:rPr>
                <w:sz w:val="14"/>
                <w:szCs w:val="14"/>
                <w:color w:val="auto"/>
              </w:rPr>
            </w:pPr>
          </w:p>
        </w:tc>
        <w:tc>
          <w:tcPr>
            <w:tcW w:w="5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4.8</w:t>
            </w:r>
          </w:p>
        </w:tc>
        <w:tc>
          <w:tcPr>
            <w:tcW w:w="920" w:type="dxa"/>
            <w:vAlign w:val="bottom"/>
          </w:tcPr>
          <w:p>
            <w:pPr>
              <w:spacing w:after="0"/>
              <w:rPr>
                <w:sz w:val="14"/>
                <w:szCs w:val="14"/>
                <w:color w:val="auto"/>
              </w:rPr>
            </w:pPr>
          </w:p>
        </w:tc>
        <w:tc>
          <w:tcPr>
            <w:tcW w:w="8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11.2</w:t>
            </w:r>
          </w:p>
        </w:tc>
        <w:tc>
          <w:tcPr>
            <w:tcW w:w="0" w:type="dxa"/>
            <w:vAlign w:val="bottom"/>
          </w:tcPr>
          <w:p>
            <w:pPr>
              <w:spacing w:after="0"/>
              <w:rPr>
                <w:sz w:val="1"/>
                <w:szCs w:val="1"/>
                <w:color w:val="auto"/>
              </w:rPr>
            </w:pPr>
          </w:p>
        </w:tc>
      </w:tr>
      <w:tr>
        <w:trPr>
          <w:trHeight w:val="168"/>
        </w:trPr>
        <w:tc>
          <w:tcPr>
            <w:tcW w:w="57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Dilutive Effect and Conversion of Preferred Stock (b)</w:t>
            </w:r>
          </w:p>
        </w:tc>
        <w:tc>
          <w:tcPr>
            <w:tcW w:w="5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8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Adjusted Shares of Common and Equivalent Shares Outstanding</w:t>
            </w:r>
          </w:p>
        </w:tc>
        <w:tc>
          <w:tcPr>
            <w:tcW w:w="1800" w:type="dxa"/>
            <w:vAlign w:val="bottom"/>
            <w:gridSpan w:val="2"/>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78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w w:val="93"/>
              </w:rPr>
              <w:t>448.4</w:t>
            </w:r>
          </w:p>
        </w:tc>
        <w:tc>
          <w:tcPr>
            <w:tcW w:w="18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444.4</w:t>
            </w:r>
          </w:p>
        </w:tc>
        <w:tc>
          <w:tcPr>
            <w:tcW w:w="56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450.2</w:t>
            </w:r>
          </w:p>
        </w:tc>
        <w:tc>
          <w:tcPr>
            <w:tcW w:w="92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444.7</w:t>
            </w:r>
          </w:p>
        </w:tc>
        <w:tc>
          <w:tcPr>
            <w:tcW w:w="0" w:type="dxa"/>
            <w:vAlign w:val="bottom"/>
          </w:tcPr>
          <w:p>
            <w:pPr>
              <w:spacing w:after="0"/>
              <w:rPr>
                <w:sz w:val="1"/>
                <w:szCs w:val="1"/>
                <w:color w:val="auto"/>
              </w:rPr>
            </w:pPr>
          </w:p>
        </w:tc>
      </w:tr>
      <w:tr>
        <w:trPr>
          <w:trHeight w:val="168"/>
        </w:trPr>
        <w:tc>
          <w:tcPr>
            <w:tcW w:w="5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Earnings Per Share Assuming Full Dilution:</w:t>
            </w:r>
          </w:p>
        </w:tc>
        <w:tc>
          <w:tcPr>
            <w:tcW w:w="1800" w:type="dxa"/>
            <w:vAlign w:val="bottom"/>
            <w:gridSpan w:val="2"/>
            <w:vMerge w:val="restart"/>
          </w:tcPr>
          <w:p>
            <w:pPr>
              <w:jc w:val="right"/>
              <w:ind w:right="767"/>
              <w:spacing w:after="0"/>
              <w:rPr>
                <w:sz w:val="20"/>
                <w:szCs w:val="20"/>
                <w:color w:val="auto"/>
              </w:rPr>
            </w:pPr>
            <w:r>
              <w:rPr>
                <w:rFonts w:ascii="Courier New" w:cs="Courier New" w:eastAsia="Courier New" w:hAnsi="Courier New"/>
                <w:sz w:val="15"/>
                <w:szCs w:val="15"/>
                <w:color w:val="auto"/>
              </w:rPr>
              <w:t>$ 1.79</w:t>
            </w:r>
          </w:p>
        </w:tc>
        <w:tc>
          <w:tcPr>
            <w:tcW w:w="1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1.52</w:t>
            </w:r>
          </w:p>
        </w:tc>
        <w:tc>
          <w:tcPr>
            <w:tcW w:w="108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rPr>
              <w:t>$ 1.46</w:t>
            </w:r>
          </w:p>
        </w:tc>
        <w:tc>
          <w:tcPr>
            <w:tcW w:w="92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2.85</w:t>
            </w:r>
          </w:p>
        </w:tc>
        <w:tc>
          <w:tcPr>
            <w:tcW w:w="0" w:type="dxa"/>
            <w:vAlign w:val="bottom"/>
          </w:tcPr>
          <w:p>
            <w:pPr>
              <w:spacing w:after="0"/>
              <w:rPr>
                <w:sz w:val="1"/>
                <w:szCs w:val="1"/>
                <w:color w:val="auto"/>
              </w:rPr>
            </w:pPr>
          </w:p>
        </w:tc>
      </w:tr>
      <w:tr>
        <w:trPr>
          <w:trHeight w:val="168"/>
        </w:trPr>
        <w:tc>
          <w:tcPr>
            <w:tcW w:w="5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Before Effect of Accounting Change</w:t>
            </w:r>
          </w:p>
        </w:tc>
        <w:tc>
          <w:tcPr>
            <w:tcW w:w="180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Effect of Change in Accounting Principle</w:t>
            </w:r>
          </w:p>
        </w:tc>
        <w:tc>
          <w:tcPr>
            <w:tcW w:w="520" w:type="dxa"/>
            <w:vAlign w:val="bottom"/>
          </w:tcPr>
          <w:p>
            <w:pPr>
              <w:spacing w:after="0"/>
              <w:rPr>
                <w:sz w:val="14"/>
                <w:szCs w:val="14"/>
                <w:color w:val="auto"/>
              </w:rPr>
            </w:pPr>
          </w:p>
        </w:tc>
        <w:tc>
          <w:tcPr>
            <w:tcW w:w="12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(0.02)(a)</w:t>
            </w:r>
          </w:p>
        </w:tc>
        <w:tc>
          <w:tcPr>
            <w:tcW w:w="0" w:type="dxa"/>
            <w:vAlign w:val="bottom"/>
          </w:tcPr>
          <w:p>
            <w:pPr>
              <w:spacing w:after="0"/>
              <w:rPr>
                <w:sz w:val="1"/>
                <w:szCs w:val="1"/>
                <w:color w:val="auto"/>
              </w:rPr>
            </w:pPr>
          </w:p>
        </w:tc>
      </w:tr>
      <w:tr>
        <w:trPr>
          <w:trHeight w:val="168"/>
        </w:trPr>
        <w:tc>
          <w:tcPr>
            <w:tcW w:w="578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1800" w:type="dxa"/>
            <w:vAlign w:val="bottom"/>
            <w:gridSpan w:val="2"/>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780" w:type="dxa"/>
            <w:vAlign w:val="bottom"/>
            <w:gridSpan w:val="2"/>
            <w:vMerge w:val="continue"/>
          </w:tcPr>
          <w:p>
            <w:pPr>
              <w:spacing w:after="0"/>
              <w:rPr>
                <w:sz w:val="14"/>
                <w:szCs w:val="14"/>
                <w:color w:val="auto"/>
              </w:rPr>
            </w:pPr>
          </w:p>
        </w:tc>
        <w:tc>
          <w:tcPr>
            <w:tcW w:w="1800" w:type="dxa"/>
            <w:vAlign w:val="bottom"/>
            <w:gridSpan w:val="2"/>
          </w:tcPr>
          <w:p>
            <w:pPr>
              <w:jc w:val="right"/>
              <w:ind w:right="767"/>
              <w:spacing w:after="0" w:line="168" w:lineRule="exact"/>
              <w:rPr>
                <w:sz w:val="20"/>
                <w:szCs w:val="20"/>
                <w:color w:val="auto"/>
              </w:rPr>
            </w:pPr>
            <w:r>
              <w:rPr>
                <w:rFonts w:ascii="Courier New" w:cs="Courier New" w:eastAsia="Courier New" w:hAnsi="Courier New"/>
                <w:sz w:val="15"/>
                <w:szCs w:val="15"/>
                <w:color w:val="auto"/>
              </w:rPr>
              <w:t>$ 1.79</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1.52</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$ 1.46</w:t>
            </w:r>
          </w:p>
        </w:tc>
        <w:tc>
          <w:tcPr>
            <w:tcW w:w="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2.83</w:t>
            </w:r>
          </w:p>
        </w:tc>
        <w:tc>
          <w:tcPr>
            <w:tcW w:w="0" w:type="dxa"/>
            <w:vAlign w:val="bottom"/>
          </w:tcPr>
          <w:p>
            <w:pPr>
              <w:spacing w:after="0"/>
              <w:rPr>
                <w:sz w:val="1"/>
                <w:szCs w:val="1"/>
                <w:color w:val="auto"/>
              </w:rPr>
            </w:pPr>
          </w:p>
        </w:tc>
      </w:tr>
      <w:tr>
        <w:trPr>
          <w:trHeight w:val="245"/>
        </w:trPr>
        <w:tc>
          <w:tcPr>
            <w:tcW w:w="500" w:type="dxa"/>
            <w:vAlign w:val="bottom"/>
          </w:tcPr>
          <w:p>
            <w:pPr>
              <w:spacing w:after="0"/>
              <w:rPr>
                <w:sz w:val="21"/>
                <w:szCs w:val="21"/>
                <w:color w:val="auto"/>
              </w:rPr>
            </w:pPr>
          </w:p>
        </w:tc>
        <w:tc>
          <w:tcPr>
            <w:tcW w:w="5280" w:type="dxa"/>
            <w:vAlign w:val="bottom"/>
          </w:tcPr>
          <w:p>
            <w:pPr>
              <w:spacing w:after="0"/>
              <w:rPr>
                <w:sz w:val="21"/>
                <w:szCs w:val="21"/>
                <w:color w:val="auto"/>
              </w:rPr>
            </w:pPr>
          </w:p>
        </w:tc>
        <w:tc>
          <w:tcPr>
            <w:tcW w:w="180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440" w:right="4540" w:hanging="430"/>
        <w:spacing w:after="0" w:line="255" w:lineRule="auto"/>
        <w:tabs>
          <w:tab w:leader="none" w:pos="4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January 1, 1995, the Corporation adopted SFAS 106 for the accounting for other postretirement benefits relating to its foreign plans.</w:t>
      </w:r>
    </w:p>
    <w:p>
      <w:pPr>
        <w:spacing w:after="0" w:line="1" w:lineRule="exact"/>
        <w:rPr>
          <w:rFonts w:ascii="Courier New" w:cs="Courier New" w:eastAsia="Courier New" w:hAnsi="Courier New"/>
          <w:sz w:val="15"/>
          <w:szCs w:val="15"/>
          <w:color w:val="auto"/>
        </w:rPr>
      </w:pPr>
    </w:p>
    <w:p>
      <w:pPr>
        <w:jc w:val="both"/>
        <w:ind w:left="440" w:right="4540" w:hanging="430"/>
        <w:spacing w:after="0" w:line="255" w:lineRule="auto"/>
        <w:tabs>
          <w:tab w:leader="none" w:pos="4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second quarter of 1995, the Corporation called all of the outstanding shares of its 10% convertible preferred stock for redemption. Substantially all of the 10% convertible preferred stock was converted, at the option of the holders thereof, to common stock. The common stock was issued from treasury.</w:t>
      </w:r>
    </w:p>
    <w:p>
      <w:pPr>
        <w:spacing w:after="0" w:line="200" w:lineRule="exact"/>
        <w:rPr>
          <w:sz w:val="20"/>
          <w:szCs w:val="20"/>
          <w:color w:val="auto"/>
        </w:rPr>
      </w:pPr>
    </w:p>
    <w:p>
      <w:pPr>
        <w:spacing w:after="0" w:line="2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1540"/>
          </w:cols>
          <w:pgMar w:left="220" w:top="934" w:right="139" w:bottom="1440" w:gutter="0" w:footer="0" w:header="0"/>
        </w:sectPr>
      </w:pPr>
    </w:p>
    <w:bookmarkStart w:id="52" w:name="page53"/>
    <w:bookmarkEnd w:id="52"/>
    <w:p>
      <w:pPr>
        <w:jc w:val="center"/>
        <w:ind w:right="3139"/>
        <w:spacing w:after="0"/>
        <w:rPr>
          <w:sz w:val="20"/>
          <w:szCs w:val="20"/>
          <w:color w:val="auto"/>
        </w:rPr>
      </w:pPr>
      <w:r>
        <w:rPr>
          <w:rFonts w:ascii="Courier New" w:cs="Courier New" w:eastAsia="Courier New" w:hAnsi="Courier New"/>
          <w:sz w:val="15"/>
          <w:szCs w:val="15"/>
          <w:color w:val="auto"/>
        </w:rPr>
        <w:t>EXHIBIT 12(a)</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THE CHASE MANHATTAN CORPORATION and Subsidiaries</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Computation of ratio of earnings to fixed charges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0" w:type="dxa"/>
            <w:vAlign w:val="bottom"/>
          </w:tcPr>
          <w:p>
            <w:pPr>
              <w:spacing w:after="0"/>
              <w:rPr>
                <w:sz w:val="21"/>
                <w:szCs w:val="21"/>
                <w:color w:val="auto"/>
              </w:rPr>
            </w:pPr>
          </w:p>
        </w:tc>
        <w:tc>
          <w:tcPr>
            <w:tcW w:w="6860" w:type="dxa"/>
            <w:vAlign w:val="bottom"/>
          </w:tcPr>
          <w:p>
            <w:pPr>
              <w:ind w:left="1780"/>
              <w:spacing w:after="0"/>
              <w:rPr>
                <w:sz w:val="20"/>
                <w:szCs w:val="20"/>
                <w:color w:val="auto"/>
              </w:rPr>
            </w:pPr>
            <w:r>
              <w:rPr>
                <w:rFonts w:ascii="Courier New" w:cs="Courier New" w:eastAsia="Courier New" w:hAnsi="Courier New"/>
                <w:sz w:val="15"/>
                <w:szCs w:val="15"/>
                <w:color w:val="auto"/>
              </w:rPr>
              <w:t>(in millions, except ratios)</w:t>
            </w:r>
          </w:p>
        </w:tc>
        <w:tc>
          <w:tcPr>
            <w:tcW w:w="1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1"/>
        </w:trPr>
        <w:tc>
          <w:tcPr>
            <w:tcW w:w="50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 Ended</w:t>
            </w:r>
          </w:p>
        </w:tc>
        <w:tc>
          <w:tcPr>
            <w:tcW w:w="0" w:type="dxa"/>
            <w:vAlign w:val="bottom"/>
          </w:tcPr>
          <w:p>
            <w:pPr>
              <w:spacing w:after="0"/>
              <w:rPr>
                <w:sz w:val="1"/>
                <w:szCs w:val="1"/>
                <w:color w:val="auto"/>
              </w:rPr>
            </w:pPr>
          </w:p>
        </w:tc>
      </w:tr>
      <w:tr>
        <w:trPr>
          <w:trHeight w:val="168"/>
        </w:trPr>
        <w:tc>
          <w:tcPr>
            <w:tcW w:w="50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2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June 30, 1996</w:t>
            </w:r>
          </w:p>
        </w:tc>
        <w:tc>
          <w:tcPr>
            <w:tcW w:w="0" w:type="dxa"/>
            <w:vAlign w:val="bottom"/>
          </w:tcPr>
          <w:p>
            <w:pPr>
              <w:spacing w:after="0"/>
              <w:rPr>
                <w:sz w:val="1"/>
                <w:szCs w:val="1"/>
                <w:color w:val="auto"/>
              </w:rPr>
            </w:pPr>
          </w:p>
        </w:tc>
      </w:tr>
      <w:tr>
        <w:trPr>
          <w:trHeight w:val="245"/>
        </w:trPr>
        <w:tc>
          <w:tcPr>
            <w:tcW w:w="736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EXCLUDING INTEREST ON DEPOSITS</w:t>
            </w: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7360" w:type="dxa"/>
            <w:vAlign w:val="bottom"/>
            <w:gridSpan w:val="2"/>
            <w:vMerge w:val="continue"/>
          </w:tcPr>
          <w:p>
            <w:pPr>
              <w:spacing w:after="0"/>
              <w:rPr>
                <w:sz w:val="7"/>
                <w:szCs w:val="7"/>
                <w:color w:val="auto"/>
              </w:rPr>
            </w:pPr>
          </w:p>
        </w:tc>
        <w:tc>
          <w:tcPr>
            <w:tcW w:w="1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Income before Income Taxes</w:t>
            </w:r>
          </w:p>
        </w:tc>
        <w:tc>
          <w:tcPr>
            <w:tcW w:w="1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1,077</w:t>
            </w:r>
          </w:p>
        </w:tc>
        <w:tc>
          <w:tcPr>
            <w:tcW w:w="0" w:type="dxa"/>
            <w:vAlign w:val="bottom"/>
          </w:tcPr>
          <w:p>
            <w:pPr>
              <w:spacing w:after="0"/>
              <w:rPr>
                <w:sz w:val="1"/>
                <w:szCs w:val="1"/>
                <w:color w:val="auto"/>
              </w:rPr>
            </w:pPr>
          </w:p>
        </w:tc>
      </w:tr>
      <w:tr>
        <w:trPr>
          <w:trHeight w:val="245"/>
        </w:trPr>
        <w:tc>
          <w:tcPr>
            <w:tcW w:w="500" w:type="dxa"/>
            <w:vAlign w:val="bottom"/>
          </w:tcPr>
          <w:p>
            <w:pPr>
              <w:spacing w:after="0"/>
              <w:rPr>
                <w:sz w:val="21"/>
                <w:szCs w:val="21"/>
                <w:color w:val="auto"/>
              </w:rPr>
            </w:pPr>
          </w:p>
        </w:tc>
        <w:tc>
          <w:tcPr>
            <w:tcW w:w="6860" w:type="dxa"/>
            <w:vAlign w:val="bottom"/>
          </w:tcPr>
          <w:p>
            <w:pPr>
              <w:spacing w:after="0"/>
              <w:rPr>
                <w:sz w:val="21"/>
                <w:szCs w:val="21"/>
                <w:color w:val="auto"/>
              </w:rPr>
            </w:pPr>
          </w:p>
        </w:tc>
        <w:tc>
          <w:tcPr>
            <w:tcW w:w="24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Fixed charges:</w:t>
            </w:r>
          </w:p>
        </w:tc>
        <w:tc>
          <w:tcPr>
            <w:tcW w:w="1740" w:type="dxa"/>
            <w:vAlign w:val="bottom"/>
          </w:tcPr>
          <w:p>
            <w:pPr>
              <w:spacing w:after="0"/>
              <w:rPr>
                <w:sz w:val="22"/>
                <w:szCs w:val="22"/>
                <w:color w:val="auto"/>
              </w:rPr>
            </w:pPr>
          </w:p>
        </w:tc>
        <w:tc>
          <w:tcPr>
            <w:tcW w:w="7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2,561</w:t>
            </w:r>
          </w:p>
        </w:tc>
        <w:tc>
          <w:tcPr>
            <w:tcW w:w="0" w:type="dxa"/>
            <w:vAlign w:val="bottom"/>
          </w:tcPr>
          <w:p>
            <w:pPr>
              <w:spacing w:after="0"/>
              <w:rPr>
                <w:sz w:val="1"/>
                <w:szCs w:val="1"/>
                <w:color w:val="auto"/>
              </w:rPr>
            </w:pPr>
          </w:p>
        </w:tc>
      </w:tr>
      <w:tr>
        <w:trPr>
          <w:trHeight w:val="168"/>
        </w:trPr>
        <w:tc>
          <w:tcPr>
            <w:tcW w:w="500" w:type="dxa"/>
            <w:vAlign w:val="bottom"/>
          </w:tcPr>
          <w:p>
            <w:pPr>
              <w:spacing w:after="0"/>
              <w:rPr>
                <w:sz w:val="14"/>
                <w:szCs w:val="14"/>
                <w:color w:val="auto"/>
              </w:rPr>
            </w:pPr>
          </w:p>
        </w:tc>
        <w:tc>
          <w:tcPr>
            <w:tcW w:w="68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Interest expense</w:t>
            </w:r>
          </w:p>
        </w:tc>
        <w:tc>
          <w:tcPr>
            <w:tcW w:w="17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0" w:type="dxa"/>
            <w:vAlign w:val="bottom"/>
          </w:tcPr>
          <w:p>
            <w:pPr>
              <w:spacing w:after="0"/>
              <w:rPr>
                <w:sz w:val="14"/>
                <w:szCs w:val="14"/>
                <w:color w:val="auto"/>
              </w:rPr>
            </w:pPr>
          </w:p>
        </w:tc>
        <w:tc>
          <w:tcPr>
            <w:tcW w:w="68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One third of rents, net of income from subleases (a)</w:t>
            </w:r>
          </w:p>
        </w:tc>
        <w:tc>
          <w:tcPr>
            <w:tcW w:w="174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62</w:t>
            </w:r>
          </w:p>
        </w:tc>
        <w:tc>
          <w:tcPr>
            <w:tcW w:w="0" w:type="dxa"/>
            <w:vAlign w:val="bottom"/>
          </w:tcPr>
          <w:p>
            <w:pPr>
              <w:spacing w:after="0"/>
              <w:rPr>
                <w:sz w:val="1"/>
                <w:szCs w:val="1"/>
                <w:color w:val="auto"/>
              </w:rPr>
            </w:pPr>
          </w:p>
        </w:tc>
      </w:tr>
      <w:tr>
        <w:trPr>
          <w:trHeight w:val="168"/>
        </w:trPr>
        <w:tc>
          <w:tcPr>
            <w:tcW w:w="736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Total fixed charges</w:t>
            </w:r>
          </w:p>
        </w:tc>
        <w:tc>
          <w:tcPr>
            <w:tcW w:w="24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7360" w:type="dxa"/>
            <w:vAlign w:val="bottom"/>
            <w:gridSpan w:val="2"/>
            <w:vMerge w:val="continue"/>
          </w:tcPr>
          <w:p>
            <w:pPr>
              <w:spacing w:after="0"/>
              <w:rPr>
                <w:sz w:val="21"/>
                <w:szCs w:val="21"/>
                <w:color w:val="auto"/>
              </w:rPr>
            </w:pPr>
          </w:p>
        </w:tc>
        <w:tc>
          <w:tcPr>
            <w:tcW w:w="1740" w:type="dxa"/>
            <w:vAlign w:val="bottom"/>
          </w:tcPr>
          <w:p>
            <w:pPr>
              <w:spacing w:after="0"/>
              <w:rPr>
                <w:sz w:val="21"/>
                <w:szCs w:val="21"/>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2,623</w:t>
            </w:r>
          </w:p>
        </w:tc>
        <w:tc>
          <w:tcPr>
            <w:tcW w:w="0" w:type="dxa"/>
            <w:vAlign w:val="bottom"/>
          </w:tcPr>
          <w:p>
            <w:pPr>
              <w:spacing w:after="0"/>
              <w:rPr>
                <w:sz w:val="1"/>
                <w:szCs w:val="1"/>
                <w:color w:val="auto"/>
              </w:rPr>
            </w:pPr>
          </w:p>
        </w:tc>
      </w:tr>
      <w:tr>
        <w:trPr>
          <w:trHeight w:val="259"/>
        </w:trPr>
        <w:tc>
          <w:tcPr>
            <w:tcW w:w="500" w:type="dxa"/>
            <w:vAlign w:val="bottom"/>
          </w:tcPr>
          <w:p>
            <w:pPr>
              <w:spacing w:after="0"/>
              <w:rPr>
                <w:sz w:val="20"/>
                <w:szCs w:val="20"/>
                <w:color w:val="auto"/>
              </w:rPr>
            </w:pPr>
            <w:r>
              <w:rPr>
                <w:rFonts w:ascii="Courier New" w:cs="Courier New" w:eastAsia="Courier New" w:hAnsi="Courier New"/>
                <w:sz w:val="15"/>
                <w:szCs w:val="15"/>
                <w:color w:val="auto"/>
              </w:rPr>
              <w:t>Less:</w:t>
            </w:r>
          </w:p>
        </w:tc>
        <w:tc>
          <w:tcPr>
            <w:tcW w:w="6860" w:type="dxa"/>
            <w:vAlign w:val="bottom"/>
          </w:tcPr>
          <w:p>
            <w:pPr>
              <w:ind w:left="120"/>
              <w:spacing w:after="0"/>
              <w:rPr>
                <w:sz w:val="20"/>
                <w:szCs w:val="20"/>
                <w:color w:val="auto"/>
              </w:rPr>
            </w:pPr>
            <w:r>
              <w:rPr>
                <w:rFonts w:ascii="Courier New" w:cs="Courier New" w:eastAsia="Courier New" w:hAnsi="Courier New"/>
                <w:sz w:val="15"/>
                <w:szCs w:val="15"/>
                <w:color w:val="auto"/>
              </w:rPr>
              <w:t>Equity in undistributed income of affiliates</w:t>
            </w:r>
          </w:p>
        </w:tc>
        <w:tc>
          <w:tcPr>
            <w:tcW w:w="1740" w:type="dxa"/>
            <w:vAlign w:val="bottom"/>
          </w:tcPr>
          <w:p>
            <w:pPr>
              <w:spacing w:after="0"/>
              <w:rPr>
                <w:sz w:val="22"/>
                <w:szCs w:val="22"/>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245"/>
        </w:trPr>
        <w:tc>
          <w:tcPr>
            <w:tcW w:w="500" w:type="dxa"/>
            <w:vAlign w:val="bottom"/>
          </w:tcPr>
          <w:p>
            <w:pPr>
              <w:spacing w:after="0"/>
              <w:rPr>
                <w:sz w:val="21"/>
                <w:szCs w:val="21"/>
                <w:color w:val="auto"/>
              </w:rPr>
            </w:pPr>
          </w:p>
        </w:tc>
        <w:tc>
          <w:tcPr>
            <w:tcW w:w="6860" w:type="dxa"/>
            <w:vAlign w:val="bottom"/>
          </w:tcPr>
          <w:p>
            <w:pPr>
              <w:spacing w:after="0"/>
              <w:rPr>
                <w:sz w:val="21"/>
                <w:szCs w:val="21"/>
                <w:color w:val="auto"/>
              </w:rPr>
            </w:pPr>
          </w:p>
        </w:tc>
        <w:tc>
          <w:tcPr>
            <w:tcW w:w="24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Earnings before taxes and fixed charges, excluding capitalized interest</w:t>
            </w:r>
          </w:p>
        </w:tc>
        <w:tc>
          <w:tcPr>
            <w:tcW w:w="1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3,670</w:t>
            </w:r>
          </w:p>
        </w:tc>
        <w:tc>
          <w:tcPr>
            <w:tcW w:w="0" w:type="dxa"/>
            <w:vAlign w:val="bottom"/>
          </w:tcPr>
          <w:p>
            <w:pPr>
              <w:spacing w:after="0"/>
              <w:rPr>
                <w:sz w:val="1"/>
                <w:szCs w:val="1"/>
                <w:color w:val="auto"/>
              </w:rPr>
            </w:pPr>
          </w:p>
        </w:tc>
      </w:tr>
      <w:tr>
        <w:trPr>
          <w:trHeight w:val="245"/>
        </w:trPr>
        <w:tc>
          <w:tcPr>
            <w:tcW w:w="500" w:type="dxa"/>
            <w:vAlign w:val="bottom"/>
          </w:tcPr>
          <w:p>
            <w:pPr>
              <w:spacing w:after="0"/>
              <w:rPr>
                <w:sz w:val="21"/>
                <w:szCs w:val="21"/>
                <w:color w:val="auto"/>
              </w:rPr>
            </w:pPr>
          </w:p>
        </w:tc>
        <w:tc>
          <w:tcPr>
            <w:tcW w:w="6860" w:type="dxa"/>
            <w:vAlign w:val="bottom"/>
          </w:tcPr>
          <w:p>
            <w:pPr>
              <w:spacing w:after="0"/>
              <w:rPr>
                <w:sz w:val="21"/>
                <w:szCs w:val="21"/>
                <w:color w:val="auto"/>
              </w:rPr>
            </w:pPr>
          </w:p>
        </w:tc>
        <w:tc>
          <w:tcPr>
            <w:tcW w:w="24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Fixed charges, as above</w:t>
            </w:r>
          </w:p>
        </w:tc>
        <w:tc>
          <w:tcPr>
            <w:tcW w:w="1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2,623</w:t>
            </w:r>
          </w:p>
        </w:tc>
        <w:tc>
          <w:tcPr>
            <w:tcW w:w="0" w:type="dxa"/>
            <w:vAlign w:val="bottom"/>
          </w:tcPr>
          <w:p>
            <w:pPr>
              <w:spacing w:after="0"/>
              <w:rPr>
                <w:sz w:val="1"/>
                <w:szCs w:val="1"/>
                <w:color w:val="auto"/>
              </w:rPr>
            </w:pPr>
          </w:p>
        </w:tc>
      </w:tr>
      <w:tr>
        <w:trPr>
          <w:trHeight w:val="245"/>
        </w:trPr>
        <w:tc>
          <w:tcPr>
            <w:tcW w:w="500" w:type="dxa"/>
            <w:vAlign w:val="bottom"/>
          </w:tcPr>
          <w:p>
            <w:pPr>
              <w:spacing w:after="0"/>
              <w:rPr>
                <w:sz w:val="21"/>
                <w:szCs w:val="21"/>
                <w:color w:val="auto"/>
              </w:rPr>
            </w:pPr>
          </w:p>
        </w:tc>
        <w:tc>
          <w:tcPr>
            <w:tcW w:w="6860" w:type="dxa"/>
            <w:vAlign w:val="bottom"/>
          </w:tcPr>
          <w:p>
            <w:pPr>
              <w:spacing w:after="0"/>
              <w:rPr>
                <w:sz w:val="21"/>
                <w:szCs w:val="21"/>
                <w:color w:val="auto"/>
              </w:rPr>
            </w:pPr>
          </w:p>
        </w:tc>
        <w:tc>
          <w:tcPr>
            <w:tcW w:w="24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1740" w:type="dxa"/>
            <w:vAlign w:val="bottom"/>
          </w:tcPr>
          <w:p>
            <w:pPr>
              <w:spacing w:after="0"/>
              <w:rPr>
                <w:sz w:val="22"/>
                <w:szCs w:val="22"/>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1.40</w:t>
            </w:r>
          </w:p>
        </w:tc>
        <w:tc>
          <w:tcPr>
            <w:tcW w:w="0" w:type="dxa"/>
            <w:vAlign w:val="bottom"/>
          </w:tcPr>
          <w:p>
            <w:pPr>
              <w:spacing w:after="0"/>
              <w:rPr>
                <w:sz w:val="1"/>
                <w:szCs w:val="1"/>
                <w:color w:val="auto"/>
              </w:rPr>
            </w:pPr>
          </w:p>
        </w:tc>
      </w:tr>
      <w:tr>
        <w:trPr>
          <w:trHeight w:val="245"/>
        </w:trPr>
        <w:tc>
          <w:tcPr>
            <w:tcW w:w="500" w:type="dxa"/>
            <w:vAlign w:val="bottom"/>
          </w:tcPr>
          <w:p>
            <w:pPr>
              <w:spacing w:after="0"/>
              <w:rPr>
                <w:sz w:val="21"/>
                <w:szCs w:val="21"/>
                <w:color w:val="auto"/>
              </w:rPr>
            </w:pPr>
          </w:p>
        </w:tc>
        <w:tc>
          <w:tcPr>
            <w:tcW w:w="6860" w:type="dxa"/>
            <w:vAlign w:val="bottom"/>
          </w:tcPr>
          <w:p>
            <w:pPr>
              <w:spacing w:after="0"/>
              <w:rPr>
                <w:sz w:val="21"/>
                <w:szCs w:val="21"/>
                <w:color w:val="auto"/>
              </w:rPr>
            </w:pPr>
          </w:p>
        </w:tc>
        <w:tc>
          <w:tcPr>
            <w:tcW w:w="24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INCLUDING INTEREST ON DEPOSITS</w:t>
            </w:r>
          </w:p>
        </w:tc>
        <w:tc>
          <w:tcPr>
            <w:tcW w:w="1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73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2,623</w:t>
            </w:r>
          </w:p>
        </w:tc>
        <w:tc>
          <w:tcPr>
            <w:tcW w:w="0" w:type="dxa"/>
            <w:vAlign w:val="bottom"/>
          </w:tcPr>
          <w:p>
            <w:pPr>
              <w:spacing w:after="0"/>
              <w:rPr>
                <w:sz w:val="1"/>
                <w:szCs w:val="1"/>
                <w:color w:val="auto"/>
              </w:rPr>
            </w:pPr>
          </w:p>
        </w:tc>
      </w:tr>
      <w:tr>
        <w:trPr>
          <w:trHeight w:val="245"/>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Fixed charges, as above</w:t>
            </w:r>
          </w:p>
        </w:tc>
        <w:tc>
          <w:tcPr>
            <w:tcW w:w="174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500" w:type="dxa"/>
            <w:vAlign w:val="bottom"/>
          </w:tcPr>
          <w:p>
            <w:pPr>
              <w:spacing w:after="0"/>
              <w:rPr>
                <w:sz w:val="20"/>
                <w:szCs w:val="20"/>
                <w:color w:val="auto"/>
              </w:rPr>
            </w:pPr>
            <w:r>
              <w:rPr>
                <w:rFonts w:ascii="Courier New" w:cs="Courier New" w:eastAsia="Courier New" w:hAnsi="Courier New"/>
                <w:sz w:val="15"/>
                <w:szCs w:val="15"/>
                <w:color w:val="auto"/>
              </w:rPr>
              <w:t>Add:</w:t>
            </w:r>
          </w:p>
        </w:tc>
        <w:tc>
          <w:tcPr>
            <w:tcW w:w="6860" w:type="dxa"/>
            <w:vAlign w:val="bottom"/>
          </w:tcPr>
          <w:p>
            <w:pPr>
              <w:ind w:left="40"/>
              <w:spacing w:after="0"/>
              <w:rPr>
                <w:sz w:val="20"/>
                <w:szCs w:val="20"/>
                <w:color w:val="auto"/>
              </w:rPr>
            </w:pPr>
            <w:r>
              <w:rPr>
                <w:rFonts w:ascii="Courier New" w:cs="Courier New" w:eastAsia="Courier New" w:hAnsi="Courier New"/>
                <w:sz w:val="15"/>
                <w:szCs w:val="15"/>
                <w:color w:val="auto"/>
              </w:rPr>
              <w:t>Interest on deposits</w:t>
            </w:r>
          </w:p>
        </w:tc>
        <w:tc>
          <w:tcPr>
            <w:tcW w:w="1740" w:type="dxa"/>
            <w:vAlign w:val="bottom"/>
          </w:tcPr>
          <w:p>
            <w:pPr>
              <w:spacing w:after="0"/>
              <w:rPr>
                <w:sz w:val="24"/>
                <w:szCs w:val="2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3,102</w:t>
            </w:r>
          </w:p>
        </w:tc>
        <w:tc>
          <w:tcPr>
            <w:tcW w:w="0" w:type="dxa"/>
            <w:vAlign w:val="bottom"/>
          </w:tcPr>
          <w:p>
            <w:pPr>
              <w:spacing w:after="0"/>
              <w:rPr>
                <w:sz w:val="1"/>
                <w:szCs w:val="1"/>
                <w:color w:val="auto"/>
              </w:rPr>
            </w:pPr>
          </w:p>
        </w:tc>
      </w:tr>
      <w:tr>
        <w:trPr>
          <w:trHeight w:val="259"/>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Total fixed charges and interest on deposits</w:t>
            </w:r>
          </w:p>
        </w:tc>
        <w:tc>
          <w:tcPr>
            <w:tcW w:w="1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5,725</w:t>
            </w:r>
          </w:p>
        </w:tc>
        <w:tc>
          <w:tcPr>
            <w:tcW w:w="0" w:type="dxa"/>
            <w:vAlign w:val="bottom"/>
          </w:tcPr>
          <w:p>
            <w:pPr>
              <w:spacing w:after="0"/>
              <w:rPr>
                <w:sz w:val="1"/>
                <w:szCs w:val="1"/>
                <w:color w:val="auto"/>
              </w:rPr>
            </w:pPr>
          </w:p>
        </w:tc>
      </w:tr>
      <w:tr>
        <w:trPr>
          <w:trHeight w:val="245"/>
        </w:trPr>
        <w:tc>
          <w:tcPr>
            <w:tcW w:w="500" w:type="dxa"/>
            <w:vAlign w:val="bottom"/>
          </w:tcPr>
          <w:p>
            <w:pPr>
              <w:spacing w:after="0"/>
              <w:rPr>
                <w:sz w:val="21"/>
                <w:szCs w:val="21"/>
                <w:color w:val="auto"/>
              </w:rPr>
            </w:pPr>
          </w:p>
        </w:tc>
        <w:tc>
          <w:tcPr>
            <w:tcW w:w="6860" w:type="dxa"/>
            <w:vAlign w:val="bottom"/>
          </w:tcPr>
          <w:p>
            <w:pPr>
              <w:spacing w:after="0"/>
              <w:rPr>
                <w:sz w:val="21"/>
                <w:szCs w:val="21"/>
                <w:color w:val="auto"/>
              </w:rPr>
            </w:pPr>
          </w:p>
        </w:tc>
        <w:tc>
          <w:tcPr>
            <w:tcW w:w="24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Earnings before taxes and fixed charges, excluding capitalized interest,</w:t>
            </w:r>
          </w:p>
        </w:tc>
        <w:tc>
          <w:tcPr>
            <w:tcW w:w="1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3,670</w:t>
            </w:r>
          </w:p>
        </w:tc>
        <w:tc>
          <w:tcPr>
            <w:tcW w:w="0" w:type="dxa"/>
            <w:vAlign w:val="bottom"/>
          </w:tcPr>
          <w:p>
            <w:pPr>
              <w:spacing w:after="0"/>
              <w:rPr>
                <w:sz w:val="1"/>
                <w:szCs w:val="1"/>
                <w:color w:val="auto"/>
              </w:rPr>
            </w:pPr>
          </w:p>
        </w:tc>
      </w:tr>
      <w:tr>
        <w:trPr>
          <w:trHeight w:val="245"/>
        </w:trPr>
        <w:tc>
          <w:tcPr>
            <w:tcW w:w="73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as above</w:t>
            </w:r>
          </w:p>
        </w:tc>
        <w:tc>
          <w:tcPr>
            <w:tcW w:w="174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500" w:type="dxa"/>
            <w:vAlign w:val="bottom"/>
          </w:tcPr>
          <w:p>
            <w:pPr>
              <w:spacing w:after="0"/>
              <w:rPr>
                <w:sz w:val="20"/>
                <w:szCs w:val="20"/>
                <w:color w:val="auto"/>
              </w:rPr>
            </w:pPr>
            <w:r>
              <w:rPr>
                <w:rFonts w:ascii="Courier New" w:cs="Courier New" w:eastAsia="Courier New" w:hAnsi="Courier New"/>
                <w:sz w:val="15"/>
                <w:szCs w:val="15"/>
                <w:color w:val="auto"/>
              </w:rPr>
              <w:t>Add:</w:t>
            </w:r>
          </w:p>
        </w:tc>
        <w:tc>
          <w:tcPr>
            <w:tcW w:w="6860" w:type="dxa"/>
            <w:vAlign w:val="bottom"/>
          </w:tcPr>
          <w:p>
            <w:pPr>
              <w:ind w:left="40"/>
              <w:spacing w:after="0"/>
              <w:rPr>
                <w:sz w:val="20"/>
                <w:szCs w:val="20"/>
                <w:color w:val="auto"/>
              </w:rPr>
            </w:pPr>
            <w:r>
              <w:rPr>
                <w:rFonts w:ascii="Courier New" w:cs="Courier New" w:eastAsia="Courier New" w:hAnsi="Courier New"/>
                <w:sz w:val="15"/>
                <w:szCs w:val="15"/>
                <w:color w:val="auto"/>
              </w:rPr>
              <w:t>Interest on deposits</w:t>
            </w:r>
          </w:p>
        </w:tc>
        <w:tc>
          <w:tcPr>
            <w:tcW w:w="1740" w:type="dxa"/>
            <w:vAlign w:val="bottom"/>
          </w:tcPr>
          <w:p>
            <w:pPr>
              <w:spacing w:after="0"/>
              <w:rPr>
                <w:sz w:val="24"/>
                <w:szCs w:val="2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3,102</w:t>
            </w:r>
          </w:p>
        </w:tc>
        <w:tc>
          <w:tcPr>
            <w:tcW w:w="0" w:type="dxa"/>
            <w:vAlign w:val="bottom"/>
          </w:tcPr>
          <w:p>
            <w:pPr>
              <w:spacing w:after="0"/>
              <w:rPr>
                <w:sz w:val="1"/>
                <w:szCs w:val="1"/>
                <w:color w:val="auto"/>
              </w:rPr>
            </w:pPr>
          </w:p>
        </w:tc>
      </w:tr>
      <w:tr>
        <w:trPr>
          <w:trHeight w:val="259"/>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Total earnings before taxes, fixed charges, and interest on deposits</w:t>
            </w:r>
          </w:p>
        </w:tc>
        <w:tc>
          <w:tcPr>
            <w:tcW w:w="1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6,772</w:t>
            </w:r>
          </w:p>
        </w:tc>
        <w:tc>
          <w:tcPr>
            <w:tcW w:w="0" w:type="dxa"/>
            <w:vAlign w:val="bottom"/>
          </w:tcPr>
          <w:p>
            <w:pPr>
              <w:spacing w:after="0"/>
              <w:rPr>
                <w:sz w:val="1"/>
                <w:szCs w:val="1"/>
                <w:color w:val="auto"/>
              </w:rPr>
            </w:pPr>
          </w:p>
        </w:tc>
      </w:tr>
      <w:tr>
        <w:trPr>
          <w:trHeight w:val="245"/>
        </w:trPr>
        <w:tc>
          <w:tcPr>
            <w:tcW w:w="500" w:type="dxa"/>
            <w:vAlign w:val="bottom"/>
          </w:tcPr>
          <w:p>
            <w:pPr>
              <w:spacing w:after="0"/>
              <w:rPr>
                <w:sz w:val="21"/>
                <w:szCs w:val="21"/>
                <w:color w:val="auto"/>
              </w:rPr>
            </w:pPr>
          </w:p>
        </w:tc>
        <w:tc>
          <w:tcPr>
            <w:tcW w:w="6860" w:type="dxa"/>
            <w:vAlign w:val="bottom"/>
          </w:tcPr>
          <w:p>
            <w:pPr>
              <w:spacing w:after="0"/>
              <w:rPr>
                <w:sz w:val="21"/>
                <w:szCs w:val="21"/>
                <w:color w:val="auto"/>
              </w:rPr>
            </w:pPr>
          </w:p>
        </w:tc>
        <w:tc>
          <w:tcPr>
            <w:tcW w:w="24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27"/>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1740" w:type="dxa"/>
            <w:vAlign w:val="bottom"/>
          </w:tcPr>
          <w:p>
            <w:pPr>
              <w:spacing w:after="0"/>
              <w:rPr>
                <w:sz w:val="24"/>
                <w:szCs w:val="2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1.18</w:t>
            </w:r>
          </w:p>
        </w:tc>
        <w:tc>
          <w:tcPr>
            <w:tcW w:w="0" w:type="dxa"/>
            <w:vAlign w:val="bottom"/>
          </w:tcPr>
          <w:p>
            <w:pPr>
              <w:spacing w:after="0"/>
              <w:rPr>
                <w:sz w:val="1"/>
                <w:szCs w:val="1"/>
                <w:color w:val="auto"/>
              </w:rPr>
            </w:pPr>
          </w:p>
        </w:tc>
      </w:tr>
      <w:tr>
        <w:trPr>
          <w:trHeight w:val="245"/>
        </w:trPr>
        <w:tc>
          <w:tcPr>
            <w:tcW w:w="500" w:type="dxa"/>
            <w:vAlign w:val="bottom"/>
          </w:tcPr>
          <w:p>
            <w:pPr>
              <w:spacing w:after="0"/>
              <w:rPr>
                <w:sz w:val="21"/>
                <w:szCs w:val="21"/>
                <w:color w:val="auto"/>
              </w:rPr>
            </w:pPr>
          </w:p>
        </w:tc>
        <w:tc>
          <w:tcPr>
            <w:tcW w:w="6860" w:type="dxa"/>
            <w:vAlign w:val="bottom"/>
          </w:tcPr>
          <w:p>
            <w:pPr>
              <w:spacing w:after="0"/>
              <w:rPr>
                <w:sz w:val="21"/>
                <w:szCs w:val="21"/>
                <w:color w:val="auto"/>
              </w:rPr>
            </w:pPr>
          </w:p>
        </w:tc>
        <w:tc>
          <w:tcPr>
            <w:tcW w:w="24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340" w:right="4459" w:hanging="3330"/>
        <w:spacing w:after="0" w:line="1056" w:lineRule="auto"/>
        <w:tabs>
          <w:tab w:leader="none" w:pos="541"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proportion deemed representative of the interest factor. -53-</w:t>
      </w:r>
    </w:p>
    <w:p>
      <w:pPr>
        <w:sectPr>
          <w:pgSz w:w="11900" w:h="16838" w:orient="portrait"/>
          <w:cols w:equalWidth="0" w:num="1">
            <w:col w:w="10239"/>
          </w:cols>
          <w:pgMar w:left="220" w:top="934" w:right="1440"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45"/>
        </w:trPr>
        <w:tc>
          <w:tcPr>
            <w:tcW w:w="500" w:type="dxa"/>
            <w:vAlign w:val="bottom"/>
          </w:tcPr>
          <w:p>
            <w:pPr>
              <w:spacing w:after="0"/>
              <w:rPr>
                <w:sz w:val="21"/>
                <w:szCs w:val="21"/>
                <w:color w:val="auto"/>
              </w:rPr>
            </w:pPr>
          </w:p>
        </w:tc>
        <w:tc>
          <w:tcPr>
            <w:tcW w:w="6860" w:type="dxa"/>
            <w:vAlign w:val="bottom"/>
          </w:tcPr>
          <w:p>
            <w:pPr>
              <w:jc w:val="center"/>
              <w:ind w:right="687"/>
              <w:spacing w:after="0"/>
              <w:rPr>
                <w:sz w:val="20"/>
                <w:szCs w:val="20"/>
                <w:color w:val="auto"/>
              </w:rPr>
            </w:pPr>
            <w:r>
              <w:rPr>
                <w:rFonts w:ascii="Courier New" w:cs="Courier New" w:eastAsia="Courier New" w:hAnsi="Courier New"/>
                <w:sz w:val="15"/>
                <w:szCs w:val="15"/>
                <w:color w:val="auto"/>
                <w:w w:val="97"/>
              </w:rPr>
              <w:t>EXHIBIT 12(b)</w:t>
            </w:r>
          </w:p>
        </w:tc>
        <w:tc>
          <w:tcPr>
            <w:tcW w:w="1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500" w:type="dxa"/>
            <w:vAlign w:val="bottom"/>
          </w:tcPr>
          <w:p>
            <w:pPr>
              <w:spacing w:after="0"/>
              <w:rPr>
                <w:sz w:val="24"/>
                <w:szCs w:val="24"/>
                <w:color w:val="auto"/>
              </w:rPr>
            </w:pPr>
          </w:p>
        </w:tc>
        <w:tc>
          <w:tcPr>
            <w:tcW w:w="6860" w:type="dxa"/>
            <w:vAlign w:val="bottom"/>
          </w:tcPr>
          <w:p>
            <w:pPr>
              <w:ind w:left="900"/>
              <w:spacing w:after="0"/>
              <w:rPr>
                <w:sz w:val="20"/>
                <w:szCs w:val="20"/>
                <w:color w:val="auto"/>
              </w:rPr>
            </w:pPr>
            <w:r>
              <w:rPr>
                <w:rFonts w:ascii="Courier New" w:cs="Courier New" w:eastAsia="Courier New" w:hAnsi="Courier New"/>
                <w:sz w:val="15"/>
                <w:szCs w:val="15"/>
                <w:color w:val="auto"/>
              </w:rPr>
              <w:t>THE CHASE MANHATTAN CORPORATION and Subsidiaries</w:t>
            </w:r>
          </w:p>
        </w:tc>
        <w:tc>
          <w:tcPr>
            <w:tcW w:w="1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00" w:type="dxa"/>
            <w:vAlign w:val="bottom"/>
          </w:tcPr>
          <w:p>
            <w:pPr>
              <w:spacing w:after="0"/>
              <w:rPr>
                <w:sz w:val="22"/>
                <w:szCs w:val="22"/>
                <w:color w:val="auto"/>
              </w:rPr>
            </w:pPr>
          </w:p>
        </w:tc>
        <w:tc>
          <w:tcPr>
            <w:tcW w:w="6860" w:type="dxa"/>
            <w:vAlign w:val="bottom"/>
          </w:tcPr>
          <w:p>
            <w:pPr>
              <w:jc w:val="center"/>
              <w:ind w:right="687"/>
              <w:spacing w:after="0"/>
              <w:rPr>
                <w:sz w:val="20"/>
                <w:szCs w:val="20"/>
                <w:color w:val="auto"/>
              </w:rPr>
            </w:pPr>
            <w:r>
              <w:rPr>
                <w:rFonts w:ascii="Courier New" w:cs="Courier New" w:eastAsia="Courier New" w:hAnsi="Courier New"/>
                <w:sz w:val="15"/>
                <w:szCs w:val="15"/>
                <w:color w:val="auto"/>
                <w:w w:val="97"/>
              </w:rPr>
              <w:t>Computation of ratio of earnings to fixed charges</w:t>
            </w:r>
          </w:p>
        </w:tc>
        <w:tc>
          <w:tcPr>
            <w:tcW w:w="1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00" w:type="dxa"/>
            <w:vAlign w:val="bottom"/>
          </w:tcPr>
          <w:p>
            <w:pPr>
              <w:spacing w:after="0"/>
              <w:rPr>
                <w:sz w:val="14"/>
                <w:szCs w:val="14"/>
                <w:color w:val="auto"/>
              </w:rPr>
            </w:pPr>
          </w:p>
        </w:tc>
        <w:tc>
          <w:tcPr>
            <w:tcW w:w="6860" w:type="dxa"/>
            <w:vAlign w:val="bottom"/>
          </w:tcPr>
          <w:p>
            <w:pPr>
              <w:jc w:val="center"/>
              <w:ind w:right="687"/>
              <w:spacing w:after="0" w:line="168" w:lineRule="exact"/>
              <w:rPr>
                <w:sz w:val="20"/>
                <w:szCs w:val="20"/>
                <w:color w:val="auto"/>
              </w:rPr>
            </w:pPr>
            <w:r>
              <w:rPr>
                <w:rFonts w:ascii="Courier New" w:cs="Courier New" w:eastAsia="Courier New" w:hAnsi="Courier New"/>
                <w:sz w:val="15"/>
                <w:szCs w:val="15"/>
                <w:color w:val="auto"/>
                <w:w w:val="97"/>
              </w:rPr>
              <w:t>and preferred stock dividend requirements</w:t>
            </w:r>
          </w:p>
        </w:tc>
        <w:tc>
          <w:tcPr>
            <w:tcW w:w="1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00" w:type="dxa"/>
            <w:vAlign w:val="bottom"/>
          </w:tcPr>
          <w:p>
            <w:pPr>
              <w:spacing w:after="0"/>
              <w:rPr>
                <w:sz w:val="21"/>
                <w:szCs w:val="21"/>
                <w:color w:val="auto"/>
              </w:rPr>
            </w:pPr>
          </w:p>
        </w:tc>
        <w:tc>
          <w:tcPr>
            <w:tcW w:w="6860" w:type="dxa"/>
            <w:vAlign w:val="bottom"/>
          </w:tcPr>
          <w:p>
            <w:pPr>
              <w:ind w:left="1780"/>
              <w:spacing w:after="0"/>
              <w:rPr>
                <w:sz w:val="20"/>
                <w:szCs w:val="20"/>
                <w:color w:val="auto"/>
              </w:rPr>
            </w:pPr>
            <w:r>
              <w:rPr>
                <w:rFonts w:ascii="Courier New" w:cs="Courier New" w:eastAsia="Courier New" w:hAnsi="Courier New"/>
                <w:sz w:val="15"/>
                <w:szCs w:val="15"/>
                <w:color w:val="auto"/>
              </w:rPr>
              <w:t>(in millions, except ratios)</w:t>
            </w:r>
          </w:p>
        </w:tc>
        <w:tc>
          <w:tcPr>
            <w:tcW w:w="1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00" w:type="dxa"/>
            <w:vAlign w:val="bottom"/>
          </w:tcPr>
          <w:p>
            <w:pPr>
              <w:spacing w:after="0"/>
              <w:rPr>
                <w:sz w:val="22"/>
                <w:szCs w:val="22"/>
                <w:color w:val="auto"/>
              </w:rPr>
            </w:pPr>
          </w:p>
        </w:tc>
        <w:tc>
          <w:tcPr>
            <w:tcW w:w="6860" w:type="dxa"/>
            <w:vAlign w:val="bottom"/>
          </w:tcPr>
          <w:p>
            <w:pPr>
              <w:spacing w:after="0"/>
              <w:rPr>
                <w:sz w:val="22"/>
                <w:szCs w:val="22"/>
                <w:color w:val="auto"/>
              </w:rPr>
            </w:pP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 Ended</w:t>
            </w:r>
          </w:p>
        </w:tc>
        <w:tc>
          <w:tcPr>
            <w:tcW w:w="0" w:type="dxa"/>
            <w:vAlign w:val="bottom"/>
          </w:tcPr>
          <w:p>
            <w:pPr>
              <w:spacing w:after="0"/>
              <w:rPr>
                <w:sz w:val="1"/>
                <w:szCs w:val="1"/>
                <w:color w:val="auto"/>
              </w:rPr>
            </w:pPr>
          </w:p>
        </w:tc>
      </w:tr>
      <w:tr>
        <w:trPr>
          <w:trHeight w:val="168"/>
        </w:trPr>
        <w:tc>
          <w:tcPr>
            <w:tcW w:w="50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2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June 30, 1996</w:t>
            </w:r>
          </w:p>
        </w:tc>
        <w:tc>
          <w:tcPr>
            <w:tcW w:w="0" w:type="dxa"/>
            <w:vAlign w:val="bottom"/>
          </w:tcPr>
          <w:p>
            <w:pPr>
              <w:spacing w:after="0"/>
              <w:rPr>
                <w:sz w:val="1"/>
                <w:szCs w:val="1"/>
                <w:color w:val="auto"/>
              </w:rPr>
            </w:pPr>
          </w:p>
        </w:tc>
      </w:tr>
      <w:tr>
        <w:trPr>
          <w:trHeight w:val="245"/>
        </w:trPr>
        <w:tc>
          <w:tcPr>
            <w:tcW w:w="736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EXCLUDING INTEREST ON DEPOSITS</w:t>
            </w: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7360" w:type="dxa"/>
            <w:vAlign w:val="bottom"/>
            <w:gridSpan w:val="2"/>
            <w:vMerge w:val="continue"/>
          </w:tcPr>
          <w:p>
            <w:pPr>
              <w:spacing w:after="0"/>
              <w:rPr>
                <w:sz w:val="7"/>
                <w:szCs w:val="7"/>
                <w:color w:val="auto"/>
              </w:rPr>
            </w:pPr>
          </w:p>
        </w:tc>
        <w:tc>
          <w:tcPr>
            <w:tcW w:w="1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Income before Income Taxes</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1,077</w:t>
            </w:r>
          </w:p>
        </w:tc>
        <w:tc>
          <w:tcPr>
            <w:tcW w:w="0" w:type="dxa"/>
            <w:vAlign w:val="bottom"/>
          </w:tcPr>
          <w:p>
            <w:pPr>
              <w:spacing w:after="0"/>
              <w:rPr>
                <w:sz w:val="1"/>
                <w:szCs w:val="1"/>
                <w:color w:val="auto"/>
              </w:rPr>
            </w:pPr>
          </w:p>
        </w:tc>
      </w:tr>
      <w:tr>
        <w:trPr>
          <w:trHeight w:val="245"/>
        </w:trPr>
        <w:tc>
          <w:tcPr>
            <w:tcW w:w="736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Fixed charges:</w:t>
            </w:r>
          </w:p>
        </w:tc>
        <w:tc>
          <w:tcPr>
            <w:tcW w:w="24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7360" w:type="dxa"/>
            <w:vAlign w:val="bottom"/>
            <w:gridSpan w:val="2"/>
            <w:vMerge w:val="continue"/>
          </w:tcPr>
          <w:p>
            <w:pPr>
              <w:spacing w:after="0"/>
              <w:rPr>
                <w:sz w:val="7"/>
                <w:szCs w:val="7"/>
                <w:color w:val="auto"/>
              </w:rPr>
            </w:pPr>
          </w:p>
        </w:tc>
        <w:tc>
          <w:tcPr>
            <w:tcW w:w="1660" w:type="dxa"/>
            <w:vAlign w:val="bottom"/>
          </w:tcPr>
          <w:p>
            <w:pPr>
              <w:spacing w:after="0"/>
              <w:rPr>
                <w:sz w:val="7"/>
                <w:szCs w:val="7"/>
                <w:color w:val="auto"/>
              </w:rPr>
            </w:pP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2,561</w:t>
            </w:r>
          </w:p>
        </w:tc>
        <w:tc>
          <w:tcPr>
            <w:tcW w:w="0" w:type="dxa"/>
            <w:vAlign w:val="bottom"/>
          </w:tcPr>
          <w:p>
            <w:pPr>
              <w:spacing w:after="0"/>
              <w:rPr>
                <w:sz w:val="1"/>
                <w:szCs w:val="1"/>
                <w:color w:val="auto"/>
              </w:rPr>
            </w:pPr>
          </w:p>
        </w:tc>
      </w:tr>
      <w:tr>
        <w:trPr>
          <w:trHeight w:val="168"/>
        </w:trPr>
        <w:tc>
          <w:tcPr>
            <w:tcW w:w="500" w:type="dxa"/>
            <w:vAlign w:val="bottom"/>
          </w:tcPr>
          <w:p>
            <w:pPr>
              <w:spacing w:after="0"/>
              <w:rPr>
                <w:sz w:val="14"/>
                <w:szCs w:val="14"/>
                <w:color w:val="auto"/>
              </w:rPr>
            </w:pPr>
          </w:p>
        </w:tc>
        <w:tc>
          <w:tcPr>
            <w:tcW w:w="68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Interest expense</w:t>
            </w:r>
          </w:p>
        </w:tc>
        <w:tc>
          <w:tcPr>
            <w:tcW w:w="16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0" w:type="dxa"/>
            <w:vAlign w:val="bottom"/>
          </w:tcPr>
          <w:p>
            <w:pPr>
              <w:spacing w:after="0"/>
              <w:rPr>
                <w:sz w:val="14"/>
                <w:szCs w:val="14"/>
                <w:color w:val="auto"/>
              </w:rPr>
            </w:pPr>
          </w:p>
        </w:tc>
        <w:tc>
          <w:tcPr>
            <w:tcW w:w="68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One third of rents, net of income from subleases (a)</w:t>
            </w:r>
          </w:p>
        </w:tc>
        <w:tc>
          <w:tcPr>
            <w:tcW w:w="16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62</w:t>
            </w:r>
          </w:p>
        </w:tc>
        <w:tc>
          <w:tcPr>
            <w:tcW w:w="0" w:type="dxa"/>
            <w:vAlign w:val="bottom"/>
          </w:tcPr>
          <w:p>
            <w:pPr>
              <w:spacing w:after="0"/>
              <w:rPr>
                <w:sz w:val="1"/>
                <w:szCs w:val="1"/>
                <w:color w:val="auto"/>
              </w:rPr>
            </w:pPr>
          </w:p>
        </w:tc>
      </w:tr>
      <w:tr>
        <w:trPr>
          <w:trHeight w:val="168"/>
        </w:trPr>
        <w:tc>
          <w:tcPr>
            <w:tcW w:w="736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Total fixed charges</w:t>
            </w:r>
          </w:p>
        </w:tc>
        <w:tc>
          <w:tcPr>
            <w:tcW w:w="24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7360" w:type="dxa"/>
            <w:vAlign w:val="bottom"/>
            <w:gridSpan w:val="2"/>
            <w:vMerge w:val="continue"/>
          </w:tcPr>
          <w:p>
            <w:pPr>
              <w:spacing w:after="0"/>
              <w:rPr>
                <w:sz w:val="21"/>
                <w:szCs w:val="21"/>
                <w:color w:val="auto"/>
              </w:rPr>
            </w:pPr>
          </w:p>
        </w:tc>
        <w:tc>
          <w:tcPr>
            <w:tcW w:w="1660" w:type="dxa"/>
            <w:vAlign w:val="bottom"/>
          </w:tcPr>
          <w:p>
            <w:pPr>
              <w:spacing w:after="0"/>
              <w:rPr>
                <w:sz w:val="21"/>
                <w:szCs w:val="21"/>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2,623</w:t>
            </w:r>
          </w:p>
        </w:tc>
        <w:tc>
          <w:tcPr>
            <w:tcW w:w="0" w:type="dxa"/>
            <w:vAlign w:val="bottom"/>
          </w:tcPr>
          <w:p>
            <w:pPr>
              <w:spacing w:after="0"/>
              <w:rPr>
                <w:sz w:val="1"/>
                <w:szCs w:val="1"/>
                <w:color w:val="auto"/>
              </w:rPr>
            </w:pPr>
          </w:p>
        </w:tc>
      </w:tr>
      <w:tr>
        <w:trPr>
          <w:trHeight w:val="259"/>
        </w:trPr>
        <w:tc>
          <w:tcPr>
            <w:tcW w:w="500" w:type="dxa"/>
            <w:vAlign w:val="bottom"/>
          </w:tcPr>
          <w:p>
            <w:pPr>
              <w:spacing w:after="0"/>
              <w:rPr>
                <w:sz w:val="20"/>
                <w:szCs w:val="20"/>
                <w:color w:val="auto"/>
              </w:rPr>
            </w:pPr>
            <w:r>
              <w:rPr>
                <w:rFonts w:ascii="Courier New" w:cs="Courier New" w:eastAsia="Courier New" w:hAnsi="Courier New"/>
                <w:sz w:val="15"/>
                <w:szCs w:val="15"/>
                <w:color w:val="auto"/>
              </w:rPr>
              <w:t>Less:</w:t>
            </w:r>
          </w:p>
        </w:tc>
        <w:tc>
          <w:tcPr>
            <w:tcW w:w="6860" w:type="dxa"/>
            <w:vAlign w:val="bottom"/>
          </w:tcPr>
          <w:p>
            <w:pPr>
              <w:ind w:left="120"/>
              <w:spacing w:after="0"/>
              <w:rPr>
                <w:sz w:val="20"/>
                <w:szCs w:val="20"/>
                <w:color w:val="auto"/>
              </w:rPr>
            </w:pPr>
            <w:r>
              <w:rPr>
                <w:rFonts w:ascii="Courier New" w:cs="Courier New" w:eastAsia="Courier New" w:hAnsi="Courier New"/>
                <w:sz w:val="15"/>
                <w:szCs w:val="15"/>
                <w:color w:val="auto"/>
              </w:rPr>
              <w:t>Equity in undistributed income of affiliates</w:t>
            </w:r>
          </w:p>
        </w:tc>
        <w:tc>
          <w:tcPr>
            <w:tcW w:w="1660" w:type="dxa"/>
            <w:vAlign w:val="bottom"/>
          </w:tcPr>
          <w:p>
            <w:pPr>
              <w:spacing w:after="0"/>
              <w:rPr>
                <w:sz w:val="22"/>
                <w:szCs w:val="22"/>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245"/>
        </w:trPr>
        <w:tc>
          <w:tcPr>
            <w:tcW w:w="500" w:type="dxa"/>
            <w:vAlign w:val="bottom"/>
          </w:tcPr>
          <w:p>
            <w:pPr>
              <w:spacing w:after="0"/>
              <w:rPr>
                <w:sz w:val="21"/>
                <w:szCs w:val="21"/>
                <w:color w:val="auto"/>
              </w:rPr>
            </w:pPr>
          </w:p>
        </w:tc>
        <w:tc>
          <w:tcPr>
            <w:tcW w:w="6860" w:type="dxa"/>
            <w:vAlign w:val="bottom"/>
          </w:tcPr>
          <w:p>
            <w:pPr>
              <w:spacing w:after="0"/>
              <w:rPr>
                <w:sz w:val="21"/>
                <w:szCs w:val="21"/>
                <w:color w:val="auto"/>
              </w:rPr>
            </w:pPr>
          </w:p>
        </w:tc>
        <w:tc>
          <w:tcPr>
            <w:tcW w:w="24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Earnings before taxes and fixed charges, excluding capitalized interest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3,670</w:t>
            </w:r>
          </w:p>
        </w:tc>
        <w:tc>
          <w:tcPr>
            <w:tcW w:w="0" w:type="dxa"/>
            <w:vAlign w:val="bottom"/>
          </w:tcPr>
          <w:p>
            <w:pPr>
              <w:spacing w:after="0"/>
              <w:rPr>
                <w:sz w:val="1"/>
                <w:szCs w:val="1"/>
                <w:color w:val="auto"/>
              </w:rPr>
            </w:pPr>
          </w:p>
        </w:tc>
      </w:tr>
      <w:tr>
        <w:trPr>
          <w:trHeight w:val="245"/>
        </w:trPr>
        <w:tc>
          <w:tcPr>
            <w:tcW w:w="500" w:type="dxa"/>
            <w:vAlign w:val="bottom"/>
          </w:tcPr>
          <w:p>
            <w:pPr>
              <w:spacing w:after="0"/>
              <w:rPr>
                <w:sz w:val="21"/>
                <w:szCs w:val="21"/>
                <w:color w:val="auto"/>
              </w:rPr>
            </w:pPr>
          </w:p>
        </w:tc>
        <w:tc>
          <w:tcPr>
            <w:tcW w:w="6860" w:type="dxa"/>
            <w:vAlign w:val="bottom"/>
          </w:tcPr>
          <w:p>
            <w:pPr>
              <w:spacing w:after="0"/>
              <w:rPr>
                <w:sz w:val="21"/>
                <w:szCs w:val="21"/>
                <w:color w:val="auto"/>
              </w:rPr>
            </w:pPr>
          </w:p>
        </w:tc>
        <w:tc>
          <w:tcPr>
            <w:tcW w:w="24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Fixed charges, as above</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2,623</w:t>
            </w:r>
          </w:p>
        </w:tc>
        <w:tc>
          <w:tcPr>
            <w:tcW w:w="0" w:type="dxa"/>
            <w:vAlign w:val="bottom"/>
          </w:tcPr>
          <w:p>
            <w:pPr>
              <w:spacing w:after="0"/>
              <w:rPr>
                <w:sz w:val="1"/>
                <w:szCs w:val="1"/>
                <w:color w:val="auto"/>
              </w:rPr>
            </w:pPr>
          </w:p>
        </w:tc>
      </w:tr>
      <w:tr>
        <w:trPr>
          <w:trHeight w:val="259"/>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Preferred stock dividends</w:t>
            </w:r>
          </w:p>
        </w:tc>
        <w:tc>
          <w:tcPr>
            <w:tcW w:w="1660" w:type="dxa"/>
            <w:vAlign w:val="bottom"/>
          </w:tcPr>
          <w:p>
            <w:pPr>
              <w:spacing w:after="0"/>
              <w:rPr>
                <w:sz w:val="22"/>
                <w:szCs w:val="22"/>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109</w:t>
            </w:r>
          </w:p>
        </w:tc>
        <w:tc>
          <w:tcPr>
            <w:tcW w:w="0" w:type="dxa"/>
            <w:vAlign w:val="bottom"/>
          </w:tcPr>
          <w:p>
            <w:pPr>
              <w:spacing w:after="0"/>
              <w:rPr>
                <w:sz w:val="1"/>
                <w:szCs w:val="1"/>
                <w:color w:val="auto"/>
              </w:rPr>
            </w:pPr>
          </w:p>
        </w:tc>
      </w:tr>
      <w:tr>
        <w:trPr>
          <w:trHeight w:val="245"/>
        </w:trPr>
        <w:tc>
          <w:tcPr>
            <w:tcW w:w="500" w:type="dxa"/>
            <w:vAlign w:val="bottom"/>
          </w:tcPr>
          <w:p>
            <w:pPr>
              <w:spacing w:after="0"/>
              <w:rPr>
                <w:sz w:val="21"/>
                <w:szCs w:val="21"/>
                <w:color w:val="auto"/>
              </w:rPr>
            </w:pPr>
          </w:p>
        </w:tc>
        <w:tc>
          <w:tcPr>
            <w:tcW w:w="6860" w:type="dxa"/>
            <w:vAlign w:val="bottom"/>
          </w:tcPr>
          <w:p>
            <w:pPr>
              <w:spacing w:after="0"/>
              <w:rPr>
                <w:sz w:val="21"/>
                <w:szCs w:val="21"/>
                <w:color w:val="auto"/>
              </w:rPr>
            </w:pPr>
          </w:p>
        </w:tc>
        <w:tc>
          <w:tcPr>
            <w:tcW w:w="24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Fixed charges including preferred stock dividends</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2,732</w:t>
            </w:r>
          </w:p>
        </w:tc>
        <w:tc>
          <w:tcPr>
            <w:tcW w:w="0" w:type="dxa"/>
            <w:vAlign w:val="bottom"/>
          </w:tcPr>
          <w:p>
            <w:pPr>
              <w:spacing w:after="0"/>
              <w:rPr>
                <w:sz w:val="1"/>
                <w:szCs w:val="1"/>
                <w:color w:val="auto"/>
              </w:rPr>
            </w:pPr>
          </w:p>
        </w:tc>
      </w:tr>
      <w:tr>
        <w:trPr>
          <w:trHeight w:val="245"/>
        </w:trPr>
        <w:tc>
          <w:tcPr>
            <w:tcW w:w="500" w:type="dxa"/>
            <w:vAlign w:val="bottom"/>
          </w:tcPr>
          <w:p>
            <w:pPr>
              <w:spacing w:after="0"/>
              <w:rPr>
                <w:sz w:val="21"/>
                <w:szCs w:val="21"/>
                <w:color w:val="auto"/>
              </w:rPr>
            </w:pPr>
          </w:p>
        </w:tc>
        <w:tc>
          <w:tcPr>
            <w:tcW w:w="6860" w:type="dxa"/>
            <w:vAlign w:val="bottom"/>
          </w:tcPr>
          <w:p>
            <w:pPr>
              <w:spacing w:after="0"/>
              <w:rPr>
                <w:sz w:val="21"/>
                <w:szCs w:val="21"/>
                <w:color w:val="auto"/>
              </w:rPr>
            </w:pPr>
          </w:p>
        </w:tc>
        <w:tc>
          <w:tcPr>
            <w:tcW w:w="24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Ratio of earnings to fixed charges and</w:t>
            </w:r>
          </w:p>
        </w:tc>
        <w:tc>
          <w:tcPr>
            <w:tcW w:w="1660" w:type="dxa"/>
            <w:vAlign w:val="bottom"/>
          </w:tcPr>
          <w:p>
            <w:pPr>
              <w:spacing w:after="0"/>
              <w:rPr>
                <w:sz w:val="22"/>
                <w:szCs w:val="22"/>
                <w:color w:val="auto"/>
              </w:rPr>
            </w:pP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1.34</w:t>
            </w:r>
          </w:p>
        </w:tc>
        <w:tc>
          <w:tcPr>
            <w:tcW w:w="0" w:type="dxa"/>
            <w:vAlign w:val="bottom"/>
          </w:tcPr>
          <w:p>
            <w:pPr>
              <w:spacing w:after="0"/>
              <w:rPr>
                <w:sz w:val="1"/>
                <w:szCs w:val="1"/>
                <w:color w:val="auto"/>
              </w:rPr>
            </w:pPr>
          </w:p>
        </w:tc>
      </w:tr>
      <w:tr>
        <w:trPr>
          <w:trHeight w:val="168"/>
        </w:trPr>
        <w:tc>
          <w:tcPr>
            <w:tcW w:w="500" w:type="dxa"/>
            <w:vAlign w:val="bottom"/>
          </w:tcPr>
          <w:p>
            <w:pPr>
              <w:spacing w:after="0"/>
              <w:rPr>
                <w:sz w:val="14"/>
                <w:szCs w:val="14"/>
                <w:color w:val="auto"/>
              </w:rPr>
            </w:pPr>
          </w:p>
        </w:tc>
        <w:tc>
          <w:tcPr>
            <w:tcW w:w="68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preferred stock dividend requirements</w:t>
            </w:r>
          </w:p>
        </w:tc>
        <w:tc>
          <w:tcPr>
            <w:tcW w:w="16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00" w:type="dxa"/>
            <w:vAlign w:val="bottom"/>
          </w:tcPr>
          <w:p>
            <w:pPr>
              <w:spacing w:after="0"/>
              <w:rPr>
                <w:sz w:val="21"/>
                <w:szCs w:val="21"/>
                <w:color w:val="auto"/>
              </w:rPr>
            </w:pPr>
          </w:p>
        </w:tc>
        <w:tc>
          <w:tcPr>
            <w:tcW w:w="6860" w:type="dxa"/>
            <w:vAlign w:val="bottom"/>
          </w:tcPr>
          <w:p>
            <w:pPr>
              <w:spacing w:after="0"/>
              <w:rPr>
                <w:sz w:val="21"/>
                <w:szCs w:val="21"/>
                <w:color w:val="auto"/>
              </w:rPr>
            </w:pPr>
          </w:p>
        </w:tc>
        <w:tc>
          <w:tcPr>
            <w:tcW w:w="24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INCLUDING INTEREST ON DEPOSITS</w:t>
            </w:r>
          </w:p>
        </w:tc>
        <w:tc>
          <w:tcPr>
            <w:tcW w:w="1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73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2,732</w:t>
            </w:r>
          </w:p>
        </w:tc>
        <w:tc>
          <w:tcPr>
            <w:tcW w:w="0" w:type="dxa"/>
            <w:vAlign w:val="bottom"/>
          </w:tcPr>
          <w:p>
            <w:pPr>
              <w:spacing w:after="0"/>
              <w:rPr>
                <w:sz w:val="1"/>
                <w:szCs w:val="1"/>
                <w:color w:val="auto"/>
              </w:rPr>
            </w:pPr>
          </w:p>
        </w:tc>
      </w:tr>
      <w:tr>
        <w:trPr>
          <w:trHeight w:val="245"/>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Fixed charges including preferred stock dividends</w:t>
            </w:r>
          </w:p>
        </w:tc>
        <w:tc>
          <w:tcPr>
            <w:tcW w:w="166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00" w:type="dxa"/>
            <w:vAlign w:val="bottom"/>
          </w:tcPr>
          <w:p>
            <w:pPr>
              <w:spacing w:after="0"/>
              <w:rPr>
                <w:sz w:val="20"/>
                <w:szCs w:val="20"/>
                <w:color w:val="auto"/>
              </w:rPr>
            </w:pPr>
            <w:r>
              <w:rPr>
                <w:rFonts w:ascii="Courier New" w:cs="Courier New" w:eastAsia="Courier New" w:hAnsi="Courier New"/>
                <w:sz w:val="15"/>
                <w:szCs w:val="15"/>
                <w:color w:val="auto"/>
              </w:rPr>
              <w:t>Add:</w:t>
            </w:r>
          </w:p>
        </w:tc>
        <w:tc>
          <w:tcPr>
            <w:tcW w:w="6860" w:type="dxa"/>
            <w:vAlign w:val="bottom"/>
          </w:tcPr>
          <w:p>
            <w:pPr>
              <w:ind w:left="40"/>
              <w:spacing w:after="0"/>
              <w:rPr>
                <w:sz w:val="20"/>
                <w:szCs w:val="20"/>
                <w:color w:val="auto"/>
              </w:rPr>
            </w:pPr>
            <w:r>
              <w:rPr>
                <w:rFonts w:ascii="Courier New" w:cs="Courier New" w:eastAsia="Courier New" w:hAnsi="Courier New"/>
                <w:sz w:val="15"/>
                <w:szCs w:val="15"/>
                <w:color w:val="auto"/>
              </w:rPr>
              <w:t>Interest on deposits</w:t>
            </w:r>
          </w:p>
        </w:tc>
        <w:tc>
          <w:tcPr>
            <w:tcW w:w="1660" w:type="dxa"/>
            <w:vAlign w:val="bottom"/>
          </w:tcPr>
          <w:p>
            <w:pPr>
              <w:spacing w:after="0"/>
              <w:rPr>
                <w:sz w:val="22"/>
                <w:szCs w:val="22"/>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3,102</w:t>
            </w:r>
          </w:p>
        </w:tc>
        <w:tc>
          <w:tcPr>
            <w:tcW w:w="0" w:type="dxa"/>
            <w:vAlign w:val="bottom"/>
          </w:tcPr>
          <w:p>
            <w:pPr>
              <w:spacing w:after="0"/>
              <w:rPr>
                <w:sz w:val="1"/>
                <w:szCs w:val="1"/>
                <w:color w:val="auto"/>
              </w:rPr>
            </w:pPr>
          </w:p>
        </w:tc>
      </w:tr>
      <w:tr>
        <w:trPr>
          <w:trHeight w:val="245"/>
        </w:trPr>
        <w:tc>
          <w:tcPr>
            <w:tcW w:w="736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Total fixed charges including preferred stock</w:t>
            </w:r>
          </w:p>
        </w:tc>
        <w:tc>
          <w:tcPr>
            <w:tcW w:w="1660" w:type="dxa"/>
            <w:vAlign w:val="bottom"/>
          </w:tcPr>
          <w:p>
            <w:pPr>
              <w:spacing w:after="0"/>
              <w:rPr>
                <w:sz w:val="21"/>
                <w:szCs w:val="21"/>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91"/>
        </w:trPr>
        <w:tc>
          <w:tcPr>
            <w:tcW w:w="7360" w:type="dxa"/>
            <w:vAlign w:val="bottom"/>
            <w:gridSpan w:val="2"/>
            <w:vMerge w:val="continue"/>
          </w:tcPr>
          <w:p>
            <w:pPr>
              <w:spacing w:after="0"/>
              <w:rPr>
                <w:sz w:val="7"/>
                <w:szCs w:val="7"/>
                <w:color w:val="auto"/>
              </w:rPr>
            </w:pPr>
          </w:p>
        </w:tc>
        <w:tc>
          <w:tcPr>
            <w:tcW w:w="1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5,834</w:t>
            </w:r>
          </w:p>
        </w:tc>
        <w:tc>
          <w:tcPr>
            <w:tcW w:w="0" w:type="dxa"/>
            <w:vAlign w:val="bottom"/>
          </w:tcPr>
          <w:p>
            <w:pPr>
              <w:spacing w:after="0"/>
              <w:rPr>
                <w:sz w:val="1"/>
                <w:szCs w:val="1"/>
                <w:color w:val="auto"/>
              </w:rPr>
            </w:pPr>
          </w:p>
        </w:tc>
      </w:tr>
      <w:tr>
        <w:trPr>
          <w:trHeight w:val="168"/>
        </w:trPr>
        <w:tc>
          <w:tcPr>
            <w:tcW w:w="73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dividends and interest on deposits</w:t>
            </w:r>
          </w:p>
        </w:tc>
        <w:tc>
          <w:tcPr>
            <w:tcW w:w="16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00" w:type="dxa"/>
            <w:vAlign w:val="bottom"/>
          </w:tcPr>
          <w:p>
            <w:pPr>
              <w:spacing w:after="0"/>
              <w:rPr>
                <w:sz w:val="21"/>
                <w:szCs w:val="21"/>
                <w:color w:val="auto"/>
              </w:rPr>
            </w:pPr>
          </w:p>
        </w:tc>
        <w:tc>
          <w:tcPr>
            <w:tcW w:w="6860" w:type="dxa"/>
            <w:vAlign w:val="bottom"/>
          </w:tcPr>
          <w:p>
            <w:pPr>
              <w:spacing w:after="0"/>
              <w:rPr>
                <w:sz w:val="21"/>
                <w:szCs w:val="21"/>
                <w:color w:val="auto"/>
              </w:rPr>
            </w:pPr>
          </w:p>
        </w:tc>
        <w:tc>
          <w:tcPr>
            <w:tcW w:w="24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Earnings before taxes and fixed charges, excluding capitalized interest,</w:t>
            </w:r>
          </w:p>
        </w:tc>
        <w:tc>
          <w:tcPr>
            <w:tcW w:w="1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3,670</w:t>
            </w:r>
          </w:p>
        </w:tc>
        <w:tc>
          <w:tcPr>
            <w:tcW w:w="0" w:type="dxa"/>
            <w:vAlign w:val="bottom"/>
          </w:tcPr>
          <w:p>
            <w:pPr>
              <w:spacing w:after="0"/>
              <w:rPr>
                <w:sz w:val="1"/>
                <w:szCs w:val="1"/>
                <w:color w:val="auto"/>
              </w:rPr>
            </w:pPr>
          </w:p>
        </w:tc>
      </w:tr>
      <w:tr>
        <w:trPr>
          <w:trHeight w:val="245"/>
        </w:trPr>
        <w:tc>
          <w:tcPr>
            <w:tcW w:w="73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as above</w:t>
            </w:r>
          </w:p>
        </w:tc>
        <w:tc>
          <w:tcPr>
            <w:tcW w:w="166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00" w:type="dxa"/>
            <w:vAlign w:val="bottom"/>
          </w:tcPr>
          <w:p>
            <w:pPr>
              <w:spacing w:after="0"/>
              <w:rPr>
                <w:sz w:val="20"/>
                <w:szCs w:val="20"/>
                <w:color w:val="auto"/>
              </w:rPr>
            </w:pPr>
            <w:r>
              <w:rPr>
                <w:rFonts w:ascii="Courier New" w:cs="Courier New" w:eastAsia="Courier New" w:hAnsi="Courier New"/>
                <w:sz w:val="15"/>
                <w:szCs w:val="15"/>
                <w:color w:val="auto"/>
              </w:rPr>
              <w:t>Add:</w:t>
            </w:r>
          </w:p>
        </w:tc>
        <w:tc>
          <w:tcPr>
            <w:tcW w:w="6860" w:type="dxa"/>
            <w:vAlign w:val="bottom"/>
          </w:tcPr>
          <w:p>
            <w:pPr>
              <w:ind w:left="40"/>
              <w:spacing w:after="0"/>
              <w:rPr>
                <w:sz w:val="20"/>
                <w:szCs w:val="20"/>
                <w:color w:val="auto"/>
              </w:rPr>
            </w:pPr>
            <w:r>
              <w:rPr>
                <w:rFonts w:ascii="Courier New" w:cs="Courier New" w:eastAsia="Courier New" w:hAnsi="Courier New"/>
                <w:sz w:val="15"/>
                <w:szCs w:val="15"/>
                <w:color w:val="auto"/>
              </w:rPr>
              <w:t>Interest on deposits</w:t>
            </w:r>
          </w:p>
        </w:tc>
        <w:tc>
          <w:tcPr>
            <w:tcW w:w="1660" w:type="dxa"/>
            <w:vAlign w:val="bottom"/>
          </w:tcPr>
          <w:p>
            <w:pPr>
              <w:spacing w:after="0"/>
              <w:rPr>
                <w:sz w:val="22"/>
                <w:szCs w:val="22"/>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3,102</w:t>
            </w:r>
          </w:p>
        </w:tc>
        <w:tc>
          <w:tcPr>
            <w:tcW w:w="0" w:type="dxa"/>
            <w:vAlign w:val="bottom"/>
          </w:tcPr>
          <w:p>
            <w:pPr>
              <w:spacing w:after="0"/>
              <w:rPr>
                <w:sz w:val="1"/>
                <w:szCs w:val="1"/>
                <w:color w:val="auto"/>
              </w:rPr>
            </w:pPr>
          </w:p>
        </w:tc>
      </w:tr>
      <w:tr>
        <w:trPr>
          <w:trHeight w:val="245"/>
        </w:trPr>
        <w:tc>
          <w:tcPr>
            <w:tcW w:w="500" w:type="dxa"/>
            <w:vAlign w:val="bottom"/>
          </w:tcPr>
          <w:p>
            <w:pPr>
              <w:spacing w:after="0"/>
              <w:rPr>
                <w:sz w:val="21"/>
                <w:szCs w:val="21"/>
                <w:color w:val="auto"/>
              </w:rPr>
            </w:pPr>
          </w:p>
        </w:tc>
        <w:tc>
          <w:tcPr>
            <w:tcW w:w="6860" w:type="dxa"/>
            <w:vAlign w:val="bottom"/>
          </w:tcPr>
          <w:p>
            <w:pPr>
              <w:spacing w:after="0"/>
              <w:rPr>
                <w:sz w:val="21"/>
                <w:szCs w:val="21"/>
                <w:color w:val="auto"/>
              </w:rPr>
            </w:pPr>
          </w:p>
        </w:tc>
        <w:tc>
          <w:tcPr>
            <w:tcW w:w="24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Total earnings before taxes, fixed charges, and interest on deposits</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6,772</w:t>
            </w:r>
          </w:p>
        </w:tc>
        <w:tc>
          <w:tcPr>
            <w:tcW w:w="0" w:type="dxa"/>
            <w:vAlign w:val="bottom"/>
          </w:tcPr>
          <w:p>
            <w:pPr>
              <w:spacing w:after="0"/>
              <w:rPr>
                <w:sz w:val="1"/>
                <w:szCs w:val="1"/>
                <w:color w:val="auto"/>
              </w:rPr>
            </w:pPr>
          </w:p>
        </w:tc>
      </w:tr>
      <w:tr>
        <w:trPr>
          <w:trHeight w:val="245"/>
        </w:trPr>
        <w:tc>
          <w:tcPr>
            <w:tcW w:w="500" w:type="dxa"/>
            <w:vAlign w:val="bottom"/>
          </w:tcPr>
          <w:p>
            <w:pPr>
              <w:spacing w:after="0"/>
              <w:rPr>
                <w:sz w:val="21"/>
                <w:szCs w:val="21"/>
                <w:color w:val="auto"/>
              </w:rPr>
            </w:pPr>
          </w:p>
        </w:tc>
        <w:tc>
          <w:tcPr>
            <w:tcW w:w="6860" w:type="dxa"/>
            <w:vAlign w:val="bottom"/>
          </w:tcPr>
          <w:p>
            <w:pPr>
              <w:spacing w:after="0"/>
              <w:rPr>
                <w:sz w:val="21"/>
                <w:szCs w:val="21"/>
                <w:color w:val="auto"/>
              </w:rPr>
            </w:pPr>
          </w:p>
        </w:tc>
        <w:tc>
          <w:tcPr>
            <w:tcW w:w="24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1660" w:type="dxa"/>
            <w:vAlign w:val="bottom"/>
          </w:tcPr>
          <w:p>
            <w:pPr>
              <w:spacing w:after="0"/>
              <w:rPr>
                <w:sz w:val="22"/>
                <w:szCs w:val="22"/>
                <w:color w:val="auto"/>
              </w:rPr>
            </w:pP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1.16</w:t>
            </w:r>
          </w:p>
        </w:tc>
        <w:tc>
          <w:tcPr>
            <w:tcW w:w="0" w:type="dxa"/>
            <w:vAlign w:val="bottom"/>
          </w:tcPr>
          <w:p>
            <w:pPr>
              <w:spacing w:after="0"/>
              <w:rPr>
                <w:sz w:val="1"/>
                <w:szCs w:val="1"/>
                <w:color w:val="auto"/>
              </w:rPr>
            </w:pPr>
          </w:p>
        </w:tc>
      </w:tr>
      <w:tr>
        <w:trPr>
          <w:trHeight w:val="168"/>
        </w:trPr>
        <w:tc>
          <w:tcPr>
            <w:tcW w:w="500" w:type="dxa"/>
            <w:vAlign w:val="bottom"/>
          </w:tcPr>
          <w:p>
            <w:pPr>
              <w:spacing w:after="0"/>
              <w:rPr>
                <w:sz w:val="14"/>
                <w:szCs w:val="14"/>
                <w:color w:val="auto"/>
              </w:rPr>
            </w:pPr>
          </w:p>
        </w:tc>
        <w:tc>
          <w:tcPr>
            <w:tcW w:w="68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preferred stock dividend requirements</w:t>
            </w:r>
          </w:p>
        </w:tc>
        <w:tc>
          <w:tcPr>
            <w:tcW w:w="16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00" w:type="dxa"/>
            <w:vAlign w:val="bottom"/>
          </w:tcPr>
          <w:p>
            <w:pPr>
              <w:spacing w:after="0"/>
              <w:rPr>
                <w:sz w:val="21"/>
                <w:szCs w:val="21"/>
                <w:color w:val="auto"/>
              </w:rPr>
            </w:pPr>
          </w:p>
        </w:tc>
        <w:tc>
          <w:tcPr>
            <w:tcW w:w="6860" w:type="dxa"/>
            <w:vAlign w:val="bottom"/>
          </w:tcPr>
          <w:p>
            <w:pPr>
              <w:spacing w:after="0"/>
              <w:rPr>
                <w:sz w:val="21"/>
                <w:szCs w:val="21"/>
                <w:color w:val="auto"/>
              </w:rPr>
            </w:pPr>
          </w:p>
        </w:tc>
        <w:tc>
          <w:tcPr>
            <w:tcW w:w="24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340" w:right="4639" w:hanging="3330"/>
        <w:spacing w:after="0" w:line="1056" w:lineRule="auto"/>
        <w:tabs>
          <w:tab w:leader="none" w:pos="366"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proportion deemed representative of the interest factor. -54-</w:t>
      </w:r>
    </w:p>
    <w:p>
      <w:pPr>
        <w:sectPr>
          <w:pgSz w:w="11900" w:h="16838" w:orient="portrait"/>
          <w:cols w:equalWidth="0" w:num="1">
            <w:col w:w="10239"/>
          </w:cols>
          <w:pgMar w:left="220" w:top="934" w:right="1440"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[ARTICLE]</w:t>
            </w:r>
          </w:p>
        </w:tc>
        <w:tc>
          <w:tcPr>
            <w:tcW w:w="80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[CIK]</w:t>
            </w:r>
          </w:p>
        </w:tc>
        <w:tc>
          <w:tcPr>
            <w:tcW w:w="800" w:type="dxa"/>
            <w:vAlign w:val="bottom"/>
          </w:tcPr>
          <w:p>
            <w:pPr>
              <w:spacing w:after="0"/>
              <w:rPr>
                <w:sz w:val="14"/>
                <w:szCs w:val="14"/>
                <w:color w:val="auto"/>
              </w:rPr>
            </w:pP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0000019617</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27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THE CHASE MANHATTAN CORPORATION</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[MULTIPLIER]</w:t>
            </w:r>
          </w:p>
        </w:tc>
        <w:tc>
          <w:tcPr>
            <w:tcW w:w="800" w:type="dxa"/>
            <w:vAlign w:val="bottom"/>
          </w:tcPr>
          <w:p>
            <w:pPr>
              <w:spacing w:after="0"/>
              <w:rPr>
                <w:sz w:val="14"/>
                <w:szCs w:val="14"/>
                <w:color w:val="auto"/>
              </w:rPr>
            </w:pP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1,000,000</w:t>
            </w:r>
          </w:p>
        </w:tc>
      </w:tr>
      <w:tr>
        <w:trPr>
          <w:trHeight w:val="245"/>
        </w:trPr>
        <w:tc>
          <w:tcPr>
            <w:tcW w:w="2060" w:type="dxa"/>
            <w:vAlign w:val="bottom"/>
          </w:tcPr>
          <w:p>
            <w:pPr>
              <w:spacing w:after="0"/>
              <w:rPr>
                <w:sz w:val="20"/>
                <w:szCs w:val="20"/>
                <w:color w:val="auto"/>
              </w:rPr>
            </w:pPr>
            <w:r>
              <w:rPr>
                <w:rFonts w:ascii="Courier New" w:cs="Courier New" w:eastAsia="Courier New" w:hAnsi="Courier New"/>
                <w:sz w:val="15"/>
                <w:szCs w:val="15"/>
                <w:color w:val="auto"/>
              </w:rPr>
              <w:t>[CURRENCY]</w:t>
            </w:r>
          </w:p>
        </w:tc>
        <w:tc>
          <w:tcPr>
            <w:tcW w:w="8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UNITED STATES DOLLAR</w:t>
            </w:r>
          </w:p>
        </w:tc>
      </w:tr>
      <w:tr>
        <w:trPr>
          <w:trHeight w:val="427"/>
        </w:trPr>
        <w:tc>
          <w:tcPr>
            <w:tcW w:w="2060" w:type="dxa"/>
            <w:vAlign w:val="bottom"/>
          </w:tcPr>
          <w:p>
            <w:pPr>
              <w:spacing w:after="0"/>
              <w:rPr>
                <w:sz w:val="20"/>
                <w:szCs w:val="20"/>
                <w:color w:val="auto"/>
              </w:rPr>
            </w:pPr>
            <w:r>
              <w:rPr>
                <w:rFonts w:ascii="Courier New" w:cs="Courier New" w:eastAsia="Courier New" w:hAnsi="Courier New"/>
                <w:sz w:val="15"/>
                <w:szCs w:val="15"/>
                <w:color w:val="auto"/>
              </w:rPr>
              <w:t>[PERIOD-TYPE]</w:t>
            </w:r>
          </w:p>
        </w:tc>
        <w:tc>
          <w:tcPr>
            <w:tcW w:w="800" w:type="dxa"/>
            <w:vAlign w:val="bottom"/>
          </w:tcPr>
          <w:p>
            <w:pPr>
              <w:spacing w:after="0"/>
              <w:rPr>
                <w:sz w:val="24"/>
                <w:szCs w:val="24"/>
                <w:color w:val="auto"/>
              </w:rPr>
            </w:pPr>
          </w:p>
        </w:tc>
        <w:tc>
          <w:tcPr>
            <w:tcW w:w="196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6-MOS</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[FISCAL-YEAR-END]</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DEC-31-1996</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[PERIOD-START]</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JAN-01-1996</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[PERIOD-END]</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JUN-30-1996</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[EXCHANGE-RATE]</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13,291</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[INT-BEARING-DEPOSITS]</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5,805</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[FED-FUNDS-SOLD]</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33,039</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[TRADING-ASSETS]</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51,711</w:t>
            </w: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[INVESTMENTS-HELD-FOR-SALE]</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37,855</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[INVESTMENTS-CARRYING]</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4,125</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[INVESTMENTS-MARKET]</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4,080</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151,274</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[ALLOWANCE]</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3,692</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[TOTAL-ASSETS]</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321,761</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[DEPOSITS]</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168,343</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[SHORT-TERM]</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68,465</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[LIABILITIES-OTHER]</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49,398</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12,770</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[PREFERRED-MANDATORY]</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2,650</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438</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[OTHER-SE]</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17,252</w:t>
            </w: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[TOTAL-LIABILITIES-AND-EQUITY]</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321,761</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[INTEREST-LOAN]</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6,269</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[INTEREST-INVEST]</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1,405</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[INTEREST-OTHER]</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1,343</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[INTEREST-TOTAL]</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9,852</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[INTEREST-DEPOSIT]</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3,102</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[INTEREST-EXPENSE]</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5,663</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[INTEREST-INCOME-NET]</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4,189</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[LOAN-LOSSES]</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495</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[SECURITIES-GAINS]</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[EXPENSE-OTHER]</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6,417</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[INCOME-PRETAX]</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1,077</w:t>
            </w: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[INCOME-PRE-EXTRAORDINARY]</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767</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[CHANGES]</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[NET-INCOME]</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767</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[EPS-PRIMARY]</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[EPS-DILUTED]</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[YIELD-ACTUAL]</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3.31</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[LOANS-NON]</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1,498</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[LOANS-PAST]</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486</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[LOANS-TROUBLED]</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[LOANS-PROBLEM]</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[ALLOWANCE-OPEN]</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3,784</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[CHARGE-OFFS]</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732</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[RECOVERIES]</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[ALLOWANCE-CLOSE]</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3,692</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[ALLOWANCE-DOMESTIC]</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[ALLOWANCE-FOREIGN]</w:t>
            </w:r>
          </w:p>
        </w:tc>
        <w:tc>
          <w:tcPr>
            <w:tcW w:w="80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245"/>
        </w:trPr>
        <w:tc>
          <w:tcPr>
            <w:tcW w:w="2060" w:type="dxa"/>
            <w:vAlign w:val="bottom"/>
          </w:tcPr>
          <w:p>
            <w:pPr>
              <w:spacing w:after="0"/>
              <w:rPr>
                <w:sz w:val="20"/>
                <w:szCs w:val="20"/>
                <w:color w:val="auto"/>
              </w:rPr>
            </w:pPr>
            <w:r>
              <w:rPr>
                <w:rFonts w:ascii="Courier New" w:cs="Courier New" w:eastAsia="Courier New" w:hAnsi="Courier New"/>
                <w:sz w:val="15"/>
                <w:szCs w:val="15"/>
                <w:color w:val="auto"/>
                <w:w w:val="98"/>
              </w:rPr>
              <w:t>[ALLOWANCE-UNALLOCATED]</w:t>
            </w:r>
          </w:p>
        </w:tc>
        <w:tc>
          <w:tcPr>
            <w:tcW w:w="800" w:type="dxa"/>
            <w:vAlign w:val="bottom"/>
          </w:tcPr>
          <w:p>
            <w:pPr>
              <w:spacing w:after="0"/>
              <w:rPr>
                <w:sz w:val="21"/>
                <w:szCs w:val="21"/>
                <w:color w:val="auto"/>
              </w:rPr>
            </w:pPr>
          </w:p>
        </w:tc>
        <w:tc>
          <w:tcPr>
            <w:tcW w:w="1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673"/>
        </w:trPr>
        <w:tc>
          <w:tcPr>
            <w:tcW w:w="2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-55-</w:t>
            </w:r>
          </w:p>
        </w:tc>
      </w:tr>
    </w:tbl>
    <w:p>
      <w:pPr>
        <w:sectPr>
          <w:pgSz w:w="11900" w:h="16838" w:orient="portrait"/>
          <w:cols w:equalWidth="0" w:num="1">
            <w:col w:w="10239"/>
          </w:cols>
          <w:pgMar w:left="220" w:top="596" w:right="1440" w:bottom="1440" w:gutter="0" w:footer="0" w:header="0"/>
        </w:sectPr>
      </w:pPr>
    </w:p>
    <w:bookmarkStart w:id="55" w:name="page56"/>
    <w:bookmarkEnd w:id="55"/>
    <w:p>
      <w:pPr>
        <w:ind w:left="3580"/>
        <w:spacing w:after="0"/>
        <w:rPr>
          <w:sz w:val="20"/>
          <w:szCs w:val="20"/>
          <w:color w:val="auto"/>
        </w:rPr>
      </w:pPr>
      <w:r>
        <w:rPr>
          <w:rFonts w:ascii="Courier New" w:cs="Courier New" w:eastAsia="Courier New" w:hAnsi="Courier New"/>
          <w:sz w:val="15"/>
          <w:szCs w:val="15"/>
          <w:color w:val="auto"/>
        </w:rPr>
        <w:t>APPENDIX 1</w:t>
      </w:r>
    </w:p>
    <w:p>
      <w:pPr>
        <w:spacing w:after="0" w:line="24"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40" w:type="dxa"/>
            <w:vAlign w:val="bottom"/>
          </w:tcPr>
          <w:p>
            <w:pPr>
              <w:spacing w:after="0"/>
              <w:rPr>
                <w:sz w:val="14"/>
                <w:szCs w:val="14"/>
                <w:color w:val="auto"/>
              </w:rPr>
            </w:pPr>
          </w:p>
        </w:tc>
        <w:tc>
          <w:tcPr>
            <w:tcW w:w="8320" w:type="dxa"/>
            <w:vAlign w:val="bottom"/>
            <w:gridSpan w:val="2"/>
          </w:tcPr>
          <w:p>
            <w:pPr>
              <w:ind w:left="960"/>
              <w:spacing w:after="0"/>
              <w:rPr>
                <w:sz w:val="20"/>
                <w:szCs w:val="20"/>
                <w:color w:val="auto"/>
              </w:rPr>
            </w:pPr>
            <w:r>
              <w:rPr>
                <w:rFonts w:ascii="Courier New" w:cs="Courier New" w:eastAsia="Courier New" w:hAnsi="Courier New"/>
                <w:sz w:val="15"/>
                <w:szCs w:val="15"/>
                <w:color w:val="auto"/>
              </w:rPr>
              <w:t>NARRATIVE DESCRIPTION OF GRAPHIC IMAGE MATERIAL</w:t>
            </w:r>
          </w:p>
        </w:tc>
        <w:tc>
          <w:tcPr>
            <w:tcW w:w="0" w:type="dxa"/>
            <w:vAlign w:val="bottom"/>
          </w:tcPr>
          <w:p>
            <w:pPr>
              <w:spacing w:after="0"/>
              <w:rPr>
                <w:sz w:val="1"/>
                <w:szCs w:val="1"/>
                <w:color w:val="auto"/>
              </w:rPr>
            </w:pPr>
          </w:p>
        </w:tc>
      </w:tr>
      <w:tr>
        <w:trPr>
          <w:trHeight w:val="245"/>
        </w:trPr>
        <w:tc>
          <w:tcPr>
            <w:tcW w:w="1040" w:type="dxa"/>
            <w:vAlign w:val="bottom"/>
          </w:tcPr>
          <w:p>
            <w:pPr>
              <w:spacing w:after="0"/>
              <w:rPr>
                <w:sz w:val="21"/>
                <w:szCs w:val="21"/>
                <w:color w:val="auto"/>
              </w:rPr>
            </w:pPr>
          </w:p>
        </w:tc>
        <w:tc>
          <w:tcPr>
            <w:tcW w:w="8320" w:type="dxa"/>
            <w:vAlign w:val="bottom"/>
            <w:gridSpan w:val="2"/>
          </w:tcPr>
          <w:p>
            <w:pPr>
              <w:ind w:left="9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9360" w:type="dxa"/>
            <w:vAlign w:val="bottom"/>
            <w:gridSpan w:val="3"/>
          </w:tcPr>
          <w:p>
            <w:pPr>
              <w:spacing w:after="0"/>
              <w:rPr>
                <w:sz w:val="20"/>
                <w:szCs w:val="20"/>
                <w:color w:val="auto"/>
              </w:rPr>
            </w:pPr>
            <w:r>
              <w:rPr>
                <w:rFonts w:ascii="Courier New" w:cs="Courier New" w:eastAsia="Courier New" w:hAnsi="Courier New"/>
                <w:sz w:val="15"/>
                <w:szCs w:val="15"/>
                <w:color w:val="auto"/>
              </w:rPr>
              <w:t>Pursuant to Item 304 of Regulation S-T, the following is a description of the</w:t>
            </w:r>
          </w:p>
        </w:tc>
        <w:tc>
          <w:tcPr>
            <w:tcW w:w="0" w:type="dxa"/>
            <w:vAlign w:val="bottom"/>
          </w:tcPr>
          <w:p>
            <w:pPr>
              <w:spacing w:after="0"/>
              <w:rPr>
                <w:sz w:val="1"/>
                <w:szCs w:val="1"/>
                <w:color w:val="auto"/>
              </w:rPr>
            </w:pPr>
          </w:p>
        </w:tc>
      </w:tr>
      <w:tr>
        <w:trPr>
          <w:trHeight w:val="168"/>
        </w:trPr>
        <w:tc>
          <w:tcPr>
            <w:tcW w:w="93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graphic image material included in the foregoing Management's Discussion and</w:t>
            </w:r>
          </w:p>
        </w:tc>
        <w:tc>
          <w:tcPr>
            <w:tcW w:w="0" w:type="dxa"/>
            <w:vAlign w:val="bottom"/>
          </w:tcPr>
          <w:p>
            <w:pPr>
              <w:spacing w:after="0"/>
              <w:rPr>
                <w:sz w:val="1"/>
                <w:szCs w:val="1"/>
                <w:color w:val="auto"/>
              </w:rPr>
            </w:pPr>
          </w:p>
        </w:tc>
      </w:tr>
      <w:tr>
        <w:trPr>
          <w:trHeight w:val="245"/>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Analysis of Financial Condition.</w:t>
            </w:r>
          </w:p>
        </w:tc>
        <w:tc>
          <w:tcPr>
            <w:tcW w:w="6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4"/>
        </w:trPr>
        <w:tc>
          <w:tcPr>
            <w:tcW w:w="1040" w:type="dxa"/>
            <w:vAlign w:val="bottom"/>
          </w:tcPr>
          <w:p>
            <w:pPr>
              <w:spacing w:after="0"/>
              <w:rPr>
                <w:sz w:val="20"/>
                <w:szCs w:val="20"/>
                <w:color w:val="auto"/>
              </w:rPr>
            </w:pPr>
            <w:r>
              <w:rPr>
                <w:rFonts w:ascii="Courier New" w:cs="Courier New" w:eastAsia="Courier New" w:hAnsi="Courier New"/>
                <w:sz w:val="15"/>
                <w:szCs w:val="15"/>
                <w:color w:val="auto"/>
              </w:rPr>
              <w:t>GRAPHIC</w:t>
            </w:r>
          </w:p>
        </w:tc>
        <w:tc>
          <w:tcPr>
            <w:tcW w:w="1940" w:type="dxa"/>
            <w:vAlign w:val="bottom"/>
            <w:vMerge w:val="restart"/>
          </w:tcPr>
          <w:p>
            <w:pPr>
              <w:jc w:val="center"/>
              <w:ind w:right="627"/>
              <w:spacing w:after="0"/>
              <w:rPr>
                <w:sz w:val="20"/>
                <w:szCs w:val="20"/>
                <w:color w:val="auto"/>
              </w:rPr>
            </w:pPr>
            <w:r>
              <w:rPr>
                <w:rFonts w:ascii="Courier New" w:cs="Courier New" w:eastAsia="Courier New" w:hAnsi="Courier New"/>
                <w:sz w:val="15"/>
                <w:szCs w:val="15"/>
                <w:color w:val="auto"/>
                <w:w w:val="99"/>
              </w:rPr>
              <w:t>PAGE</w:t>
            </w:r>
          </w:p>
        </w:tc>
        <w:tc>
          <w:tcPr>
            <w:tcW w:w="638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DESCRIPTION</w:t>
            </w:r>
          </w:p>
        </w:tc>
        <w:tc>
          <w:tcPr>
            <w:tcW w:w="0" w:type="dxa"/>
            <w:vAlign w:val="bottom"/>
          </w:tcPr>
          <w:p>
            <w:pPr>
              <w:spacing w:after="0"/>
              <w:rPr>
                <w:sz w:val="1"/>
                <w:szCs w:val="1"/>
                <w:color w:val="auto"/>
              </w:rPr>
            </w:pPr>
          </w:p>
        </w:tc>
      </w:tr>
      <w:tr>
        <w:trPr>
          <w:trHeight w:val="168"/>
        </w:trPr>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w:t>
            </w:r>
          </w:p>
        </w:tc>
        <w:tc>
          <w:tcPr>
            <w:tcW w:w="1940" w:type="dxa"/>
            <w:vAlign w:val="bottom"/>
            <w:vMerge w:val="continue"/>
          </w:tcPr>
          <w:p>
            <w:pPr>
              <w:spacing w:after="0"/>
              <w:rPr>
                <w:sz w:val="14"/>
                <w:szCs w:val="14"/>
                <w:color w:val="auto"/>
              </w:rPr>
            </w:pPr>
          </w:p>
        </w:tc>
        <w:tc>
          <w:tcPr>
            <w:tcW w:w="6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0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6380" w:type="dxa"/>
            <w:vAlign w:val="bottom"/>
          </w:tcPr>
          <w:p>
            <w:pPr>
              <w:ind w:left="16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59"/>
        </w:trPr>
        <w:tc>
          <w:tcPr>
            <w:tcW w:w="104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194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38</w:t>
            </w:r>
          </w:p>
        </w:tc>
        <w:tc>
          <w:tcPr>
            <w:tcW w:w="6380" w:type="dxa"/>
            <w:vAlign w:val="bottom"/>
          </w:tcPr>
          <w:p>
            <w:pPr>
              <w:ind w:left="260"/>
              <w:spacing w:after="0"/>
              <w:rPr>
                <w:sz w:val="20"/>
                <w:szCs w:val="20"/>
                <w:color w:val="auto"/>
              </w:rPr>
            </w:pPr>
            <w:r>
              <w:rPr>
                <w:rFonts w:ascii="Courier New" w:cs="Courier New" w:eastAsia="Courier New" w:hAnsi="Courier New"/>
                <w:sz w:val="15"/>
                <w:szCs w:val="15"/>
                <w:color w:val="auto"/>
              </w:rPr>
              <w:t>Bar Graph entitled "Histogram of Daily Market Risk-Related</w:t>
            </w:r>
          </w:p>
        </w:tc>
        <w:tc>
          <w:tcPr>
            <w:tcW w:w="0" w:type="dxa"/>
            <w:vAlign w:val="bottom"/>
          </w:tcPr>
          <w:p>
            <w:pPr>
              <w:spacing w:after="0"/>
              <w:rPr>
                <w:sz w:val="1"/>
                <w:szCs w:val="1"/>
                <w:color w:val="auto"/>
              </w:rPr>
            </w:pPr>
          </w:p>
        </w:tc>
      </w:tr>
      <w:tr>
        <w:trPr>
          <w:trHeight w:val="168"/>
        </w:trPr>
        <w:tc>
          <w:tcPr>
            <w:tcW w:w="10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Revenue For the Twelve Months ended June 30, 1996" presenting the</w:t>
            </w:r>
          </w:p>
        </w:tc>
        <w:tc>
          <w:tcPr>
            <w:tcW w:w="0" w:type="dxa"/>
            <w:vAlign w:val="bottom"/>
          </w:tcPr>
          <w:p>
            <w:pPr>
              <w:spacing w:after="0"/>
              <w:rPr>
                <w:sz w:val="1"/>
                <w:szCs w:val="1"/>
                <w:color w:val="auto"/>
              </w:rPr>
            </w:pPr>
          </w:p>
        </w:tc>
      </w:tr>
      <w:tr>
        <w:trPr>
          <w:trHeight w:val="245"/>
        </w:trPr>
        <w:tc>
          <w:tcPr>
            <w:tcW w:w="10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6380" w:type="dxa"/>
            <w:vAlign w:val="bottom"/>
          </w:tcPr>
          <w:p>
            <w:pPr>
              <w:ind w:left="260"/>
              <w:spacing w:after="0"/>
              <w:rPr>
                <w:sz w:val="20"/>
                <w:szCs w:val="20"/>
                <w:color w:val="auto"/>
              </w:rPr>
            </w:pPr>
            <w:r>
              <w:rPr>
                <w:rFonts w:ascii="Courier New" w:cs="Courier New" w:eastAsia="Courier New" w:hAnsi="Courier New"/>
                <w:sz w:val="15"/>
                <w:szCs w:val="15"/>
                <w:color w:val="auto"/>
              </w:rPr>
              <w:t>following information:</w:t>
            </w:r>
          </w:p>
        </w:tc>
        <w:tc>
          <w:tcPr>
            <w:tcW w:w="0" w:type="dxa"/>
            <w:vAlign w:val="bottom"/>
          </w:tcPr>
          <w:p>
            <w:pPr>
              <w:spacing w:after="0"/>
              <w:rPr>
                <w:sz w:val="1"/>
                <w:szCs w:val="1"/>
                <w:color w:val="auto"/>
              </w:rPr>
            </w:pPr>
          </w:p>
        </w:tc>
      </w:tr>
    </w:tbl>
    <w:p>
      <w:pPr>
        <w:spacing w:after="0" w:line="89" w:lineRule="exact"/>
        <w:rPr>
          <w:sz w:val="20"/>
          <w:szCs w:val="20"/>
          <w:color w:val="auto"/>
        </w:rPr>
      </w:pPr>
    </w:p>
    <w:tbl>
      <w:tblPr>
        <w:tblLayout w:type="fixed"/>
        <w:tblInd w:w="3320" w:type="dxa"/>
        <w:tblCellMar>
          <w:top w:w="0" w:type="dxa"/>
          <w:left w:w="0" w:type="dxa"/>
          <w:bottom w:w="0" w:type="dxa"/>
          <w:right w:w="0" w:type="dxa"/>
        </w:tblCellMar>
      </w:tblP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Millions of Dollars</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0 -5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5 - 10</w:t>
            </w:r>
          </w:p>
        </w:tc>
        <w:tc>
          <w:tcPr>
            <w:tcW w:w="860" w:type="dxa"/>
            <w:vAlign w:val="bottom"/>
            <w:gridSpan w:val="2"/>
          </w:tcPr>
          <w:p>
            <w:pPr>
              <w:jc w:val="center"/>
              <w:ind w:left="108"/>
              <w:spacing w:after="0"/>
              <w:rPr>
                <w:sz w:val="20"/>
                <w:szCs w:val="20"/>
                <w:color w:val="auto"/>
              </w:rPr>
            </w:pPr>
            <w:r>
              <w:rPr>
                <w:rFonts w:ascii="Courier New" w:cs="Courier New" w:eastAsia="Courier New" w:hAnsi="Courier New"/>
                <w:sz w:val="15"/>
                <w:szCs w:val="15"/>
                <w:color w:val="auto"/>
                <w:w w:val="96"/>
              </w:rPr>
              <w:t>10 -15</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15 - 20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20 -25</w:t>
            </w:r>
          </w:p>
        </w:tc>
        <w:tc>
          <w:tcPr>
            <w:tcW w:w="0" w:type="dxa"/>
            <w:vAlign w:val="bottom"/>
          </w:tcPr>
          <w:p>
            <w:pPr>
              <w:spacing w:after="0"/>
              <w:rPr>
                <w:sz w:val="1"/>
                <w:szCs w:val="1"/>
                <w:color w:val="auto"/>
              </w:rPr>
            </w:pPr>
          </w:p>
        </w:tc>
      </w:tr>
      <w:tr>
        <w:trPr>
          <w:trHeight w:val="245"/>
        </w:trPr>
        <w:tc>
          <w:tcPr>
            <w:tcW w:w="20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center"/>
              <w:ind w:left="108"/>
              <w:spacing w:after="0"/>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020" w:type="dxa"/>
            <w:vAlign w:val="bottom"/>
          </w:tcPr>
          <w:p>
            <w:pPr>
              <w:spacing w:after="0"/>
              <w:rPr>
                <w:sz w:val="20"/>
                <w:szCs w:val="20"/>
                <w:color w:val="auto"/>
              </w:rPr>
            </w:pPr>
            <w:r>
              <w:rPr>
                <w:rFonts w:ascii="Courier New" w:cs="Courier New" w:eastAsia="Courier New" w:hAnsi="Courier New"/>
                <w:sz w:val="15"/>
                <w:szCs w:val="15"/>
                <w:color w:val="auto"/>
              </w:rPr>
              <w:t>Number of days trading</w:t>
            </w: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 was within the</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above prescribed posi-</w:t>
            </w:r>
          </w:p>
        </w:tc>
        <w:tc>
          <w:tcPr>
            <w:tcW w:w="74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62</w:t>
            </w:r>
          </w:p>
        </w:tc>
        <w:tc>
          <w:tcPr>
            <w:tcW w:w="66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96</w:t>
            </w:r>
          </w:p>
        </w:tc>
        <w:tc>
          <w:tcPr>
            <w:tcW w:w="600" w:type="dxa"/>
            <w:vAlign w:val="bottom"/>
            <w:vMerge w:val="restart"/>
          </w:tcPr>
          <w:p>
            <w:pPr>
              <w:jc w:val="center"/>
              <w:ind w:left="348"/>
              <w:spacing w:after="0"/>
              <w:rPr>
                <w:sz w:val="20"/>
                <w:szCs w:val="20"/>
                <w:color w:val="auto"/>
              </w:rPr>
            </w:pPr>
            <w:r>
              <w:rPr>
                <w:rFonts w:ascii="Courier New" w:cs="Courier New" w:eastAsia="Courier New" w:hAnsi="Courier New"/>
                <w:sz w:val="15"/>
                <w:szCs w:val="15"/>
                <w:color w:val="auto"/>
                <w:w w:val="99"/>
              </w:rPr>
              <w:t>59</w:t>
            </w:r>
          </w:p>
        </w:tc>
        <w:tc>
          <w:tcPr>
            <w:tcW w:w="260" w:type="dxa"/>
            <w:vAlign w:val="bottom"/>
          </w:tcPr>
          <w:p>
            <w:pPr>
              <w:spacing w:after="0"/>
              <w:rPr>
                <w:sz w:val="14"/>
                <w:szCs w:val="14"/>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22</w:t>
            </w: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245"/>
        </w:trPr>
        <w:tc>
          <w:tcPr>
            <w:tcW w:w="2020" w:type="dxa"/>
            <w:vAlign w:val="bottom"/>
          </w:tcPr>
          <w:p>
            <w:pPr>
              <w:spacing w:after="0"/>
              <w:rPr>
                <w:sz w:val="20"/>
                <w:szCs w:val="20"/>
                <w:color w:val="auto"/>
              </w:rPr>
            </w:pPr>
            <w:r>
              <w:rPr>
                <w:rFonts w:ascii="Courier New" w:cs="Courier New" w:eastAsia="Courier New" w:hAnsi="Courier New"/>
                <w:sz w:val="15"/>
                <w:szCs w:val="15"/>
                <w:color w:val="auto"/>
              </w:rPr>
              <w:t>tive range</w:t>
            </w:r>
          </w:p>
        </w:tc>
        <w:tc>
          <w:tcPr>
            <w:tcW w:w="740" w:type="dxa"/>
            <w:vAlign w:val="bottom"/>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6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6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2020" w:type="dxa"/>
            <w:vAlign w:val="bottom"/>
          </w:tcPr>
          <w:p>
            <w:pPr>
              <w:spacing w:after="0"/>
              <w:rPr>
                <w:sz w:val="20"/>
                <w:szCs w:val="20"/>
                <w:color w:val="auto"/>
              </w:rPr>
            </w:pPr>
            <w:r>
              <w:rPr>
                <w:rFonts w:ascii="Courier New" w:cs="Courier New" w:eastAsia="Courier New" w:hAnsi="Courier New"/>
                <w:sz w:val="15"/>
                <w:szCs w:val="15"/>
                <w:color w:val="auto"/>
              </w:rPr>
              <w:t>Millions of Dollars</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0 -(5)</w:t>
            </w:r>
          </w:p>
        </w:tc>
        <w:tc>
          <w:tcPr>
            <w:tcW w:w="126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(5)-(10)</w:t>
            </w:r>
          </w:p>
        </w:tc>
        <w:tc>
          <w:tcPr>
            <w:tcW w:w="1140" w:type="dxa"/>
            <w:vAlign w:val="bottom"/>
            <w:gridSpan w:val="2"/>
          </w:tcPr>
          <w:p>
            <w:pPr>
              <w:jc w:val="center"/>
              <w:ind w:right="267"/>
              <w:spacing w:after="0"/>
              <w:rPr>
                <w:sz w:val="20"/>
                <w:szCs w:val="20"/>
                <w:color w:val="auto"/>
              </w:rPr>
            </w:pPr>
            <w:r>
              <w:rPr>
                <w:rFonts w:ascii="Courier New" w:cs="Courier New" w:eastAsia="Courier New" w:hAnsi="Courier New"/>
                <w:sz w:val="15"/>
                <w:szCs w:val="15"/>
                <w:color w:val="auto"/>
                <w:w w:val="98"/>
              </w:rPr>
              <w:t>(10)-(15)</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ind w:right="267"/>
              <w:spacing w:after="0"/>
              <w:rPr>
                <w:sz w:val="20"/>
                <w:szCs w:val="20"/>
                <w:color w:val="auto"/>
              </w:rPr>
            </w:pPr>
            <w:r>
              <w:rPr>
                <w:rFonts w:ascii="Courier New" w:cs="Courier New" w:eastAsia="Courier New" w:hAnsi="Courier New"/>
                <w:sz w:val="15"/>
                <w:szCs w:val="15"/>
                <w:color w:val="auto"/>
                <w:w w:val="98"/>
              </w:rPr>
              <w:t>---------</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020" w:type="dxa"/>
            <w:vAlign w:val="bottom"/>
          </w:tcPr>
          <w:p>
            <w:pPr>
              <w:spacing w:after="0"/>
              <w:rPr>
                <w:sz w:val="20"/>
                <w:szCs w:val="20"/>
                <w:color w:val="auto"/>
              </w:rPr>
            </w:pPr>
            <w:r>
              <w:rPr>
                <w:rFonts w:ascii="Courier New" w:cs="Courier New" w:eastAsia="Courier New" w:hAnsi="Courier New"/>
                <w:sz w:val="15"/>
                <w:szCs w:val="15"/>
                <w:color w:val="auto"/>
              </w:rPr>
              <w:t>Number of days trading</w:t>
            </w: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 was within the</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above prescribed nega-</w:t>
            </w:r>
          </w:p>
        </w:tc>
        <w:tc>
          <w:tcPr>
            <w:tcW w:w="74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14</w:t>
            </w:r>
          </w:p>
        </w:tc>
        <w:tc>
          <w:tcPr>
            <w:tcW w:w="660" w:type="dxa"/>
            <w:vAlign w:val="bottom"/>
          </w:tcPr>
          <w:p>
            <w:pPr>
              <w:spacing w:after="0"/>
              <w:rPr>
                <w:sz w:val="14"/>
                <w:szCs w:val="14"/>
                <w:color w:val="auto"/>
              </w:rPr>
            </w:pPr>
          </w:p>
        </w:tc>
        <w:tc>
          <w:tcPr>
            <w:tcW w:w="60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w w:val="70"/>
              </w:rPr>
              <w:t>1</w:t>
            </w:r>
          </w:p>
        </w:tc>
        <w:tc>
          <w:tcPr>
            <w:tcW w:w="260" w:type="dxa"/>
            <w:vAlign w:val="bottom"/>
          </w:tcPr>
          <w:p>
            <w:pPr>
              <w:spacing w:after="0"/>
              <w:rPr>
                <w:sz w:val="14"/>
                <w:szCs w:val="14"/>
                <w:color w:val="auto"/>
              </w:rPr>
            </w:pPr>
          </w:p>
        </w:tc>
        <w:tc>
          <w:tcPr>
            <w:tcW w:w="880" w:type="dxa"/>
            <w:vAlign w:val="bottom"/>
            <w:vMerge w:val="restart"/>
          </w:tcPr>
          <w:p>
            <w:pPr>
              <w:jc w:val="center"/>
              <w:ind w:right="527"/>
              <w:spacing w:after="0"/>
              <w:rPr>
                <w:sz w:val="20"/>
                <w:szCs w:val="20"/>
                <w:color w:val="auto"/>
              </w:rPr>
            </w:pPr>
            <w:r>
              <w:rPr>
                <w:rFonts w:ascii="Courier New" w:cs="Courier New" w:eastAsia="Courier New" w:hAnsi="Courier New"/>
                <w:sz w:val="15"/>
                <w:szCs w:val="15"/>
                <w:color w:val="auto"/>
                <w:w w:val="88"/>
              </w:rPr>
              <w:t>1</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20" w:type="dxa"/>
            <w:vAlign w:val="bottom"/>
          </w:tcPr>
          <w:p>
            <w:pPr>
              <w:spacing w:after="0"/>
              <w:rPr>
                <w:sz w:val="20"/>
                <w:szCs w:val="20"/>
                <w:color w:val="auto"/>
              </w:rPr>
            </w:pPr>
            <w:r>
              <w:rPr>
                <w:rFonts w:ascii="Courier New" w:cs="Courier New" w:eastAsia="Courier New" w:hAnsi="Courier New"/>
                <w:sz w:val="15"/>
                <w:szCs w:val="15"/>
                <w:color w:val="auto"/>
              </w:rPr>
              <w:t>tive range</w:t>
            </w:r>
          </w:p>
        </w:tc>
        <w:tc>
          <w:tcPr>
            <w:tcW w:w="740" w:type="dxa"/>
            <w:vAlign w:val="bottom"/>
            <w:vMerge w:val="continue"/>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jc w:val="both"/>
        <w:ind w:left="3320" w:right="1039"/>
        <w:spacing w:after="0" w:line="344" w:lineRule="auto"/>
        <w:rPr>
          <w:sz w:val="20"/>
          <w:szCs w:val="20"/>
          <w:color w:val="auto"/>
        </w:rPr>
      </w:pPr>
      <w:r>
        <w:rPr>
          <w:rFonts w:ascii="Courier New" w:cs="Courier New" w:eastAsia="Courier New" w:hAnsi="Courier New"/>
          <w:sz w:val="15"/>
          <w:szCs w:val="15"/>
          <w:color w:val="auto"/>
        </w:rPr>
        <w:t>The Histogram includes all business trading days for international and domestic units.</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-56-</w:t>
      </w:r>
    </w:p>
    <w:sectPr>
      <w:pgSz w:w="11900" w:h="16838" w:orient="portrait"/>
      <w:cols w:equalWidth="0" w:num="1">
        <w:col w:w="10139"/>
      </w:cols>
      <w:pgMar w:left="320" w:top="5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1)"/>
      <w:numFmt w:val="lowerLetter"/>
      <w:start w:val="1"/>
    </w:lvl>
  </w:abstractNum>
  <w:abstractNum w:abstractNumId="2">
    <w:nsid w:val="54E49EB4"/>
    <w:multiLevelType w:val="hybridMultilevel"/>
    <w:lvl w:ilvl="0">
      <w:lvlJc w:val="left"/>
      <w:lvlText w:val="(%1)"/>
      <w:numFmt w:val="lowerLetter"/>
      <w:start w:val="1"/>
    </w:lvl>
  </w:abstractNum>
  <w:abstractNum w:abstractNumId="3">
    <w:nsid w:val="71F32454"/>
    <w:multiLevelType w:val="hybridMultilevel"/>
    <w:lvl w:ilvl="0">
      <w:lvlJc w:val="left"/>
      <w:lvlText w:val="(%1)"/>
      <w:numFmt w:val="lowerLetter"/>
      <w:start w:val="1"/>
    </w:lvl>
  </w:abstractNum>
  <w:abstractNum w:abstractNumId="4">
    <w:nsid w:val="2CA88611"/>
    <w:multiLevelType w:val="hybridMultilevel"/>
    <w:lvl w:ilvl="0">
      <w:lvlJc w:val="left"/>
      <w:lvlText w:val="(%1)"/>
      <w:numFmt w:val="lowerLetter"/>
      <w:start w:val="1"/>
    </w:lvl>
  </w:abstractNum>
  <w:abstractNum w:abstractNumId="5">
    <w:nsid w:val="836C40E"/>
    <w:multiLevelType w:val="hybridMultilevel"/>
    <w:lvl w:ilvl="0">
      <w:lvlJc w:val="left"/>
      <w:lvlText w:val="(%1)"/>
      <w:numFmt w:val="lowerLetter"/>
      <w:start w:val="1"/>
    </w:lvl>
  </w:abstractNum>
  <w:abstractNum w:abstractNumId="6">
    <w:nsid w:val="2901D82"/>
    <w:multiLevelType w:val="hybridMultilevel"/>
    <w:lvl w:ilvl="0">
      <w:lvlJc w:val="left"/>
      <w:lvlText w:val="(%1)"/>
      <w:numFmt w:val="lowerLetter"/>
      <w:start w:val="1"/>
    </w:lvl>
  </w:abstractNum>
  <w:abstractNum w:abstractNumId="7">
    <w:nsid w:val="3A95F874"/>
    <w:multiLevelType w:val="hybridMultilevel"/>
    <w:lvl w:ilvl="0">
      <w:lvlJc w:val="left"/>
      <w:lvlText w:val="(%1)"/>
      <w:numFmt w:val="lowerLetter"/>
      <w:start w:val="1"/>
    </w:lvl>
  </w:abstractNum>
  <w:abstractNum w:abstractNumId="8">
    <w:nsid w:val="8138641"/>
    <w:multiLevelType w:val="hybridMultilevel"/>
    <w:lvl w:ilvl="0">
      <w:lvlJc w:val="left"/>
      <w:lvlText w:val="(%1)"/>
      <w:numFmt w:val="lowerLetter"/>
      <w:start w:val="1"/>
    </w:lvl>
  </w:abstractNum>
  <w:abstractNum w:abstractNumId="9">
    <w:nsid w:val="1E7FF521"/>
    <w:multiLevelType w:val="hybridMultilevel"/>
    <w:lvl w:ilvl="0">
      <w:lvlJc w:val="left"/>
      <w:lvlText w:val="(%1)"/>
      <w:numFmt w:val="lowerLetter"/>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1)"/>
      <w:numFmt w:val="lowerLetter"/>
      <w:start w:val="1"/>
    </w:lvl>
  </w:abstractNum>
  <w:abstractNum w:abstractNumId="13">
    <w:nsid w:val="22221A70"/>
    <w:multiLevelType w:val="hybridMultilevel"/>
    <w:lvl w:ilvl="0">
      <w:lvlJc w:val="left"/>
      <w:lvlText w:val="%1"/>
      <w:numFmt w:val="decimal"/>
      <w:start w:val="199"/>
    </w:lvl>
  </w:abstractNum>
  <w:abstractNum w:abstractNumId="14">
    <w:nsid w:val="4516DDE9"/>
    <w:multiLevelType w:val="hybridMultilevel"/>
    <w:lvl w:ilvl="0">
      <w:lvlJc w:val="left"/>
      <w:lvlText w:val="%1"/>
      <w:numFmt w:val="decimal"/>
      <w:start w:val="759"/>
    </w:lvl>
  </w:abstractNum>
  <w:abstractNum w:abstractNumId="15">
    <w:nsid w:val="3006C83E"/>
    <w:multiLevelType w:val="hybridMultilevel"/>
    <w:lvl w:ilvl="0">
      <w:lvlJc w:val="left"/>
      <w:lvlText w:val="%1"/>
      <w:numFmt w:val="decimal"/>
      <w:start w:val="76"/>
    </w:lvl>
  </w:abstractNum>
  <w:abstractNum w:abstractNumId="16">
    <w:nsid w:val="614FD4A1"/>
    <w:multiLevelType w:val="hybridMultilevel"/>
    <w:lvl w:ilvl="0">
      <w:lvlJc w:val="left"/>
      <w:lvlText w:val="%1"/>
      <w:numFmt w:val="decimal"/>
      <w:start w:val="513"/>
    </w:lvl>
  </w:abstractNum>
  <w:abstractNum w:abstractNumId="17">
    <w:nsid w:val="419AC241"/>
    <w:multiLevelType w:val="hybridMultilevel"/>
    <w:lvl w:ilvl="0">
      <w:lvlJc w:val="left"/>
      <w:lvlText w:val="(%1)"/>
      <w:numFmt w:val="lowerLetter"/>
      <w:start w:val="1"/>
    </w:lvl>
  </w:abstractNum>
  <w:abstractNum w:abstractNumId="18">
    <w:nsid w:val="5577F8E1"/>
    <w:multiLevelType w:val="hybridMultilevel"/>
    <w:lvl w:ilvl="0">
      <w:lvlJc w:val="left"/>
      <w:lvlText w:val="(%1)"/>
      <w:numFmt w:val="decimal"/>
      <w:start w:val="65"/>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1)"/>
      <w:numFmt w:val="decimal"/>
      <w:start w:val="60"/>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1"/>
      <w:numFmt w:val="decimal"/>
      <w:start w:val="85"/>
    </w:lvl>
  </w:abstractNum>
  <w:abstractNum w:abstractNumId="23">
    <w:nsid w:val="7724C67E"/>
    <w:multiLevelType w:val="hybridMultilevel"/>
    <w:lvl w:ilvl="0">
      <w:lvlJc w:val="left"/>
      <w:lvlText w:val="%1"/>
      <w:numFmt w:val="decimal"/>
      <w:start w:val="624"/>
    </w:lvl>
  </w:abstractNum>
  <w:abstractNum w:abstractNumId="24">
    <w:nsid w:val="5C482A97"/>
    <w:multiLevelType w:val="hybridMultilevel"/>
    <w:lvl w:ilvl="0">
      <w:lvlJc w:val="left"/>
      <w:lvlText w:val="(%1)"/>
      <w:numFmt w:val="lowerLetter"/>
      <w:start w:val="1"/>
    </w:lvl>
  </w:abstractNum>
  <w:abstractNum w:abstractNumId="25">
    <w:nsid w:val="2463B9EA"/>
    <w:multiLevelType w:val="hybridMultilevel"/>
    <w:lvl w:ilvl="0">
      <w:lvlJc w:val="left"/>
      <w:lvlText w:val="(%1)"/>
      <w:numFmt w:val="lowerLetter"/>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1)"/>
      <w:numFmt w:val="lowerLetter"/>
      <w:start w:val="1"/>
    </w:lvl>
  </w:abstractNum>
  <w:abstractNum w:abstractNumId="28">
    <w:nsid w:val="2D517796"/>
    <w:multiLevelType w:val="hybridMultilevel"/>
    <w:lvl w:ilvl="0">
      <w:lvlJc w:val="left"/>
      <w:lvlText w:val="(%1)"/>
      <w:numFmt w:val="lowerLetter"/>
      <w:start w:val="1"/>
    </w:lvl>
  </w:abstractNum>
  <w:abstractNum w:abstractNumId="29">
    <w:nsid w:val="580BD78F"/>
    <w:multiLevelType w:val="hybridMultilevel"/>
    <w:lvl w:ilvl="0">
      <w:lvlJc w:val="left"/>
      <w:lvlText w:val="(%1)"/>
      <w:numFmt w:val="lowerRoman"/>
      <w:start w:val="1"/>
    </w:lvl>
  </w:abstractNum>
  <w:abstractNum w:abstractNumId="30">
    <w:nsid w:val="153EA438"/>
    <w:multiLevelType w:val="hybridMultilevel"/>
    <w:lvl w:ilvl="0">
      <w:lvlJc w:val="left"/>
      <w:lvlText w:val="(%1)"/>
      <w:numFmt w:val="lowerLetter"/>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1)"/>
      <w:numFmt w:val="lowerLetter"/>
      <w:start w:val="1"/>
    </w:lvl>
  </w:abstractNum>
  <w:abstractNum w:abstractNumId="33">
    <w:nsid w:val="6A2342EC"/>
    <w:multiLevelType w:val="hybridMultilevel"/>
    <w:lvl w:ilvl="0">
      <w:lvlJc w:val="left"/>
      <w:lvlText w:val="(%1)"/>
      <w:numFmt w:val="lowerLetter"/>
      <w:start w:val="1"/>
    </w:lvl>
  </w:abstractNum>
  <w:abstractNum w:abstractNumId="34">
    <w:nsid w:val="2A487CB0"/>
    <w:multiLevelType w:val="hybridMultilevel"/>
    <w:lvl w:ilvl="0">
      <w:lvlJc w:val="left"/>
      <w:lvlText w:val="(%1)"/>
      <w:numFmt w:val="lowerLetter"/>
      <w:start w:val="1"/>
    </w:lvl>
  </w:abstractNum>
  <w:abstractNum w:abstractNumId="35">
    <w:nsid w:val="1D4ED43B"/>
    <w:multiLevelType w:val="hybridMultilevel"/>
    <w:lvl w:ilvl="0">
      <w:lvlJc w:val="left"/>
      <w:lvlText w:val="(%1)"/>
      <w:numFmt w:val="lowerLetter"/>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1)"/>
      <w:numFmt w:val="lowerLetter"/>
      <w:start w:val="1"/>
    </w:lvl>
  </w:abstractNum>
  <w:abstractNum w:abstractNumId="39">
    <w:nsid w:val="7A6D8D3C"/>
    <w:multiLevelType w:val="hybridMultilevel"/>
    <w:lvl w:ilvl="0">
      <w:lvlJc w:val="left"/>
      <w:lvlText w:val="(%1)"/>
      <w:numFmt w:val="lowerLetter"/>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1)"/>
      <w:numFmt w:val="lowerLetter"/>
      <w:start w:val="1"/>
    </w:lvl>
  </w:abstractNum>
  <w:abstractNum w:abstractNumId="43">
    <w:nsid w:val="38437FDB"/>
    <w:multiLevelType w:val="hybridMultilevel"/>
    <w:lvl w:ilvl="0">
      <w:lvlJc w:val="left"/>
      <w:lvlText w:val="(%1)"/>
      <w:numFmt w:val="lowerLetter"/>
      <w:start w:val="1"/>
    </w:lvl>
  </w:abstractNum>
  <w:abstractNum w:abstractNumId="44">
    <w:nsid w:val="7644A45C"/>
    <w:multiLevelType w:val="hybridMultilevel"/>
    <w:lvl w:ilvl="0">
      <w:lvlJc w:val="left"/>
      <w:lvlText w:val="(%1)"/>
      <w:numFmt w:val="lowerRoman"/>
      <w:start w:val="1"/>
    </w:lvl>
  </w:abstractNum>
  <w:abstractNum w:abstractNumId="45">
    <w:nsid w:val="32FFF902"/>
    <w:multiLevelType w:val="hybridMultilevel"/>
    <w:lvl w:ilvl="0">
      <w:lvlJc w:val="left"/>
      <w:lvlText w:val="(%1)"/>
      <w:numFmt w:val="lowerLetter"/>
      <w:start w:val="1"/>
    </w:lvl>
  </w:abstractNum>
  <w:abstractNum w:abstractNumId="46">
    <w:nsid w:val="684A481A"/>
    <w:multiLevelType w:val="hybridMultilevel"/>
    <w:lvl w:ilvl="0">
      <w:lvlJc w:val="left"/>
      <w:lvlText w:val="(%1)"/>
      <w:numFmt w:val="decimal"/>
      <w:start w:val="2"/>
    </w:lvl>
  </w:abstractNum>
  <w:abstractNum w:abstractNumId="47">
    <w:nsid w:val="579478FE"/>
    <w:multiLevelType w:val="hybridMultilevel"/>
    <w:lvl w:ilvl="0">
      <w:lvlJc w:val="left"/>
      <w:lvlText w:val="(%1)"/>
      <w:numFmt w:val="upperLetter"/>
      <w:start w:val="2"/>
    </w:lvl>
  </w:abstractNum>
  <w:abstractNum w:abstractNumId="48">
    <w:nsid w:val="749ABB43"/>
    <w:multiLevelType w:val="hybridMultilevel"/>
    <w:lvl w:ilvl="0">
      <w:lvlJc w:val="left"/>
      <w:lvlText w:val="(%1)"/>
      <w:numFmt w:val="lowerLetter"/>
      <w:start w:val="1"/>
    </w:lvl>
  </w:abstractNum>
  <w:abstractNum w:abstractNumId="49">
    <w:nsid w:val="3DC240FB"/>
    <w:multiLevelType w:val="hybridMultilevel"/>
    <w:lvl w:ilvl="0">
      <w:lvlJc w:val="left"/>
      <w:lvlText w:val="(%1)"/>
      <w:numFmt w:val="lowerLetter"/>
      <w:start w:val="1"/>
    </w:lvl>
  </w:abstractNum>
  <w:abstractNum w:abstractNumId="50">
    <w:nsid w:val="1BA026F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2019-12-12T06:00:10Z</dcterms:created>
  <dcterms:modified xsi:type="dcterms:W3CDTF">2019-12-12T06:00:10Z</dcterms:modified>
</cp:coreProperties>
</file>