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186055</wp:posOffset>
            </wp:positionV>
            <wp:extent cx="2777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201930</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 January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231775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JPMorgan Chase &amp; Co.</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182880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tbl>
      <w:tblPr>
        <w:tblLayout w:type="fixed"/>
        <w:tblInd w:w="2620" w:type="dxa"/>
        <w:tblCellMar>
          <w:top w:w="0" w:type="dxa"/>
          <w:left w:w="0" w:type="dxa"/>
          <w:bottom w:w="0" w:type="dxa"/>
          <w:right w:w="0" w:type="dxa"/>
        </w:tblCellMar>
      </w:tblPr>
      <w:tr>
        <w:trPr>
          <w:trHeight w:val="172"/>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8"/>
              </w:rPr>
              <w:t>Delaware</w:t>
            </w:r>
          </w:p>
        </w:tc>
        <w:tc>
          <w:tcPr>
            <w:tcW w:w="1580" w:type="dxa"/>
            <w:vAlign w:val="bottom"/>
          </w:tcPr>
          <w:p>
            <w:pPr>
              <w:jc w:val="center"/>
              <w:ind w:right="197"/>
              <w:spacing w:after="0"/>
              <w:rPr>
                <w:sz w:val="20"/>
                <w:szCs w:val="20"/>
                <w:color w:val="auto"/>
              </w:rPr>
            </w:pPr>
            <w:r>
              <w:rPr>
                <w:rFonts w:ascii="Arial" w:cs="Arial" w:eastAsia="Arial" w:hAnsi="Arial"/>
                <w:sz w:val="13"/>
                <w:szCs w:val="13"/>
                <w:b w:val="1"/>
                <w:bCs w:val="1"/>
                <w:color w:val="auto"/>
                <w:w w:val="98"/>
              </w:rPr>
              <w:t>1-5805</w:t>
            </w:r>
          </w:p>
        </w:tc>
        <w:tc>
          <w:tcPr>
            <w:tcW w:w="1440" w:type="dxa"/>
            <w:vAlign w:val="bottom"/>
          </w:tcPr>
          <w:p>
            <w:pPr>
              <w:jc w:val="right"/>
              <w:ind w:right="137"/>
              <w:spacing w:after="0"/>
              <w:rPr>
                <w:sz w:val="20"/>
                <w:szCs w:val="20"/>
                <w:color w:val="auto"/>
              </w:rPr>
            </w:pPr>
            <w:r>
              <w:rPr>
                <w:rFonts w:ascii="Arial" w:cs="Arial" w:eastAsia="Arial" w:hAnsi="Arial"/>
                <w:sz w:val="13"/>
                <w:szCs w:val="13"/>
                <w:b w:val="1"/>
                <w:bCs w:val="1"/>
                <w:color w:val="auto"/>
              </w:rPr>
              <w:t>13-2624428</w:t>
            </w:r>
          </w:p>
        </w:tc>
      </w:tr>
      <w:tr>
        <w:trPr>
          <w:trHeight w:val="130"/>
        </w:trPr>
        <w:tc>
          <w:tcPr>
            <w:tcW w:w="2500" w:type="dxa"/>
            <w:vAlign w:val="bottom"/>
          </w:tcPr>
          <w:p>
            <w:pPr>
              <w:jc w:val="center"/>
              <w:ind w:right="77"/>
              <w:spacing w:after="0" w:line="129" w:lineRule="exact"/>
              <w:rPr>
                <w:sz w:val="20"/>
                <w:szCs w:val="20"/>
                <w:color w:val="auto"/>
              </w:rPr>
            </w:pPr>
            <w:r>
              <w:rPr>
                <w:rFonts w:ascii="Arial" w:cs="Arial" w:eastAsia="Arial" w:hAnsi="Arial"/>
                <w:sz w:val="13"/>
                <w:szCs w:val="13"/>
                <w:b w:val="1"/>
                <w:bCs w:val="1"/>
                <w:color w:val="auto"/>
                <w:w w:val="96"/>
              </w:rPr>
              <w:t>(State or other jurisdiction of</w:t>
            </w:r>
          </w:p>
        </w:tc>
        <w:tc>
          <w:tcPr>
            <w:tcW w:w="1580" w:type="dxa"/>
            <w:vAlign w:val="bottom"/>
          </w:tcPr>
          <w:p>
            <w:pPr>
              <w:jc w:val="center"/>
              <w:ind w:right="197"/>
              <w:spacing w:after="0" w:line="129" w:lineRule="exact"/>
              <w:rPr>
                <w:sz w:val="20"/>
                <w:szCs w:val="20"/>
                <w:color w:val="auto"/>
              </w:rPr>
            </w:pPr>
            <w:r>
              <w:rPr>
                <w:rFonts w:ascii="Arial" w:cs="Arial" w:eastAsia="Arial" w:hAnsi="Arial"/>
                <w:sz w:val="13"/>
                <w:szCs w:val="13"/>
                <w:b w:val="1"/>
                <w:bCs w:val="1"/>
                <w:color w:val="auto"/>
                <w:w w:val="95"/>
              </w:rPr>
              <w:t>(Commission File</w:t>
            </w:r>
          </w:p>
        </w:tc>
        <w:tc>
          <w:tcPr>
            <w:tcW w:w="1440" w:type="dxa"/>
            <w:vAlign w:val="bottom"/>
          </w:tcPr>
          <w:p>
            <w:pPr>
              <w:jc w:val="center"/>
              <w:ind w:left="317"/>
              <w:spacing w:after="0" w:line="129" w:lineRule="exact"/>
              <w:rPr>
                <w:sz w:val="20"/>
                <w:szCs w:val="20"/>
                <w:color w:val="auto"/>
              </w:rPr>
            </w:pPr>
            <w:r>
              <w:rPr>
                <w:rFonts w:ascii="Arial" w:cs="Arial" w:eastAsia="Arial" w:hAnsi="Arial"/>
                <w:sz w:val="13"/>
                <w:szCs w:val="13"/>
                <w:b w:val="1"/>
                <w:bCs w:val="1"/>
                <w:color w:val="auto"/>
                <w:w w:val="95"/>
              </w:rPr>
              <w:t>(I.R.S. employer</w:t>
            </w:r>
          </w:p>
        </w:tc>
      </w:tr>
      <w:tr>
        <w:trPr>
          <w:trHeight w:val="172"/>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incorporation or organization)</w:t>
            </w:r>
          </w:p>
        </w:tc>
        <w:tc>
          <w:tcPr>
            <w:tcW w:w="1580" w:type="dxa"/>
            <w:vAlign w:val="bottom"/>
          </w:tcPr>
          <w:p>
            <w:pPr>
              <w:jc w:val="center"/>
              <w:ind w:right="197"/>
              <w:spacing w:after="0"/>
              <w:rPr>
                <w:sz w:val="20"/>
                <w:szCs w:val="20"/>
                <w:color w:val="auto"/>
              </w:rPr>
            </w:pPr>
            <w:r>
              <w:rPr>
                <w:rFonts w:ascii="Arial" w:cs="Arial" w:eastAsia="Arial" w:hAnsi="Arial"/>
                <w:sz w:val="13"/>
                <w:szCs w:val="13"/>
                <w:b w:val="1"/>
                <w:bCs w:val="1"/>
                <w:color w:val="auto"/>
                <w:w w:val="97"/>
              </w:rPr>
              <w:t>Number)</w:t>
            </w:r>
          </w:p>
        </w:tc>
        <w:tc>
          <w:tcPr>
            <w:tcW w:w="1440" w:type="dxa"/>
            <w:vAlign w:val="bottom"/>
          </w:tcPr>
          <w:p>
            <w:pPr>
              <w:jc w:val="center"/>
              <w:ind w:left="317"/>
              <w:spacing w:after="0"/>
              <w:rPr>
                <w:sz w:val="20"/>
                <w:szCs w:val="20"/>
                <w:color w:val="auto"/>
              </w:rPr>
            </w:pPr>
            <w:r>
              <w:rPr>
                <w:rFonts w:ascii="Arial" w:cs="Arial" w:eastAsia="Arial" w:hAnsi="Arial"/>
                <w:sz w:val="13"/>
                <w:szCs w:val="13"/>
                <w:b w:val="1"/>
                <w:bCs w:val="1"/>
                <w:color w:val="auto"/>
                <w:w w:val="97"/>
              </w:rPr>
              <w:t>identification no.)</w:t>
            </w:r>
          </w:p>
        </w:tc>
      </w:tr>
      <w:tr>
        <w:trPr>
          <w:trHeight w:val="306"/>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383 Madison Avenue,</w:t>
            </w: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2500" w:type="dxa"/>
            <w:vAlign w:val="bottom"/>
          </w:tcPr>
          <w:p>
            <w:pPr>
              <w:ind w:left="540"/>
              <w:spacing w:after="0"/>
              <w:rPr>
                <w:sz w:val="20"/>
                <w:szCs w:val="20"/>
                <w:color w:val="auto"/>
              </w:rPr>
            </w:pPr>
            <w:r>
              <w:rPr>
                <w:rFonts w:ascii="Arial" w:cs="Arial" w:eastAsia="Arial" w:hAnsi="Arial"/>
                <w:sz w:val="13"/>
                <w:szCs w:val="13"/>
                <w:b w:val="1"/>
                <w:bCs w:val="1"/>
                <w:color w:val="auto"/>
              </w:rPr>
              <w:t>New York, New York</w:t>
            </w:r>
          </w:p>
        </w:tc>
        <w:tc>
          <w:tcPr>
            <w:tcW w:w="1580" w:type="dxa"/>
            <w:vAlign w:val="bottom"/>
          </w:tcPr>
          <w:p>
            <w:pPr>
              <w:spacing w:after="0"/>
              <w:rPr>
                <w:sz w:val="15"/>
                <w:szCs w:val="15"/>
                <w:color w:val="auto"/>
              </w:rPr>
            </w:pPr>
          </w:p>
        </w:tc>
        <w:tc>
          <w:tcPr>
            <w:tcW w:w="1440" w:type="dxa"/>
            <w:vAlign w:val="bottom"/>
          </w:tcPr>
          <w:p>
            <w:pPr>
              <w:jc w:val="right"/>
              <w:ind w:right="297"/>
              <w:spacing w:after="0"/>
              <w:rPr>
                <w:sz w:val="20"/>
                <w:szCs w:val="20"/>
                <w:color w:val="auto"/>
              </w:rPr>
            </w:pPr>
            <w:r>
              <w:rPr>
                <w:rFonts w:ascii="Arial" w:cs="Arial" w:eastAsia="Arial" w:hAnsi="Arial"/>
                <w:sz w:val="13"/>
                <w:szCs w:val="13"/>
                <w:b w:val="1"/>
                <w:bCs w:val="1"/>
                <w:color w:val="auto"/>
              </w:rPr>
              <w:t>10179</w:t>
            </w:r>
          </w:p>
        </w:tc>
      </w:tr>
      <w:tr>
        <w:trPr>
          <w:trHeight w:val="216"/>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1580" w:type="dxa"/>
            <w:vAlign w:val="bottom"/>
          </w:tcPr>
          <w:p>
            <w:pPr>
              <w:spacing w:after="0"/>
              <w:rPr>
                <w:sz w:val="18"/>
                <w:szCs w:val="18"/>
                <w:color w:val="auto"/>
              </w:rPr>
            </w:pPr>
          </w:p>
        </w:tc>
        <w:tc>
          <w:tcPr>
            <w:tcW w:w="144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(Zip Code)</w:t>
            </w:r>
          </w:p>
        </w:tc>
      </w:tr>
    </w:tbl>
    <w:p>
      <w:pPr>
        <w:spacing w:after="0" w:line="80"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 (212) 270-6000</w:t>
      </w:r>
    </w:p>
    <w:p>
      <w:pPr>
        <w:spacing w:after="0" w:line="11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Check the appropriate box below if the Form 8-K filing is intended to simultaneously satisfy the filing obligation of the registrant under any of the following provisions:</w:t>
      </w:r>
    </w:p>
    <w:p>
      <w:pPr>
        <w:spacing w:after="0" w:line="1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Written communications pursuant to Rule 425 under the Securities Act (17 CFR 230.425)</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Soliciting material pursuant to Rule 14a-12 under the Exchange Act (17 CFR 240.14a-12)</w:t>
      </w:r>
    </w:p>
    <w:p>
      <w:pPr>
        <w:spacing w:after="0" w:line="134"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14d-2(b) under the Exchange Act (17 CFR 240.14d-2(b))</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13e-4(c) under the Exchange Act (17 CFR 240.13e-4(c))</w:t>
      </w:r>
    </w:p>
    <w:p>
      <w:pPr>
        <w:spacing w:after="0" w:line="116"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17" w:lineRule="exact"/>
        <w:rPr>
          <w:sz w:val="24"/>
          <w:szCs w:val="24"/>
          <w:color w:val="auto"/>
        </w:rPr>
      </w:pPr>
    </w:p>
    <w:tbl>
      <w:tblPr>
        <w:tblLayout w:type="fixed"/>
        <w:tblInd w:w="100" w:type="dxa"/>
        <w:tblCellMar>
          <w:top w:w="0" w:type="dxa"/>
          <w:left w:w="0" w:type="dxa"/>
          <w:bottom w:w="0" w:type="dxa"/>
          <w:right w:w="0" w:type="dxa"/>
        </w:tblCellMar>
      </w:tblPr>
      <w:tr>
        <w:trPr>
          <w:trHeight w:val="149"/>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Title of each class</w:t>
            </w:r>
          </w:p>
        </w:tc>
        <w:tc>
          <w:tcPr>
            <w:tcW w:w="4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Trading Symbol(s)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88"/>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Common stock</w:t>
            </w:r>
          </w:p>
        </w:tc>
        <w:tc>
          <w:tcPr>
            <w:tcW w:w="1700" w:type="dxa"/>
            <w:vAlign w:val="bottom"/>
            <w:gridSpan w:val="3"/>
          </w:tcPr>
          <w:p>
            <w:pPr>
              <w:ind w:left="60"/>
              <w:spacing w:after="0"/>
              <w:rPr>
                <w:sz w:val="20"/>
                <w:szCs w:val="20"/>
                <w:color w:val="auto"/>
              </w:rPr>
            </w:pPr>
            <w:r>
              <w:rPr>
                <w:rFonts w:ascii="Arial" w:cs="Arial" w:eastAsia="Arial" w:hAnsi="Arial"/>
                <w:sz w:val="13"/>
                <w:szCs w:val="13"/>
                <w:b w:val="1"/>
                <w:bCs w:val="1"/>
                <w:color w:val="auto"/>
              </w:rPr>
              <w:t>JPM</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The New York Stock Exchange</w:t>
            </w: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5.75%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D</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DD</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6.00%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C</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EE</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4.75%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J</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GG</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4.55%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K</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JJ</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4.625%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L</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LL</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4.20%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M</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MM</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75"/>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Alerian MLP Index ETNs due May 24, 2024</w:t>
            </w:r>
          </w:p>
        </w:tc>
        <w:tc>
          <w:tcPr>
            <w:tcW w:w="1700" w:type="dxa"/>
            <w:vAlign w:val="bottom"/>
            <w:gridSpan w:val="3"/>
          </w:tcPr>
          <w:p>
            <w:pPr>
              <w:ind w:left="60"/>
              <w:spacing w:after="0"/>
              <w:rPr>
                <w:sz w:val="20"/>
                <w:szCs w:val="20"/>
                <w:color w:val="auto"/>
              </w:rPr>
            </w:pPr>
            <w:r>
              <w:rPr>
                <w:rFonts w:ascii="Arial" w:cs="Arial" w:eastAsia="Arial" w:hAnsi="Arial"/>
                <w:sz w:val="13"/>
                <w:szCs w:val="13"/>
                <w:b w:val="1"/>
                <w:bCs w:val="1"/>
                <w:color w:val="auto"/>
              </w:rPr>
              <w:t>AMJ</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NYSE Arca, Inc.</w:t>
            </w: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97"/>
              </w:rPr>
              <w:t>Guarantee of Callable Fixed Rate Notes due June 10, 2032 of JPMorgan Chase Financial Company</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JPM/32</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LLC</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bl>
    <w:p>
      <w:pPr>
        <w:spacing w:after="0" w:line="93" w:lineRule="exact"/>
        <w:rPr>
          <w:sz w:val="24"/>
          <w:szCs w:val="24"/>
          <w:color w:val="auto"/>
        </w:rPr>
      </w:pPr>
    </w:p>
    <w:p>
      <w:pPr>
        <w:spacing w:after="0" w:line="272"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4" w:lineRule="exact"/>
        <w:rPr>
          <w:sz w:val="24"/>
          <w:szCs w:val="24"/>
          <w:color w:val="auto"/>
        </w:rPr>
      </w:pPr>
    </w:p>
    <w:p>
      <w:pPr>
        <w:ind w:right="12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8"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6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On January 12, 2024, JPMorgan Chase &amp; Co. (“JPMorgan Chase” or the “Firm”) reported 2023 fourth quarter net income of $9.3 billion, or $3.04 per share, compared with net income of $11.0 billion, or $ 3.57 per share, in the fourth quarter of 2022. A copy of the 2023 fourth quarter earnings release is attached hereto as Exhibit 99.1, and a copy of the earnings release financial supplement is attached hereto as Exhibit 99.2.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Each of the Exhibits provided with this Form 8-K shall be deemed to be “filed” for purposes of the Securities Exchange Act of 1934.</w:t>
      </w:r>
    </w:p>
    <w:p>
      <w:pPr>
        <w:spacing w:after="0" w:line="22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This Current Report on Form 8-K (including the Exhibits hereto) contains forward-looking statements within the meaning of the Private Securities Litigation Reform Act of 1995. These statements are based on the current beliefs and expectations of JPMorgan Chase’s management and are subject to significant risks and uncertainties. Actual results may differ from those set forth in the forward-looking statements. Factors that could cause JPMorgan Chase’s actual results to differ materially from those described in the forward-looking statements can be found in JPMorgan Chase’s Annual Report on Form 10-K for the year ended December 31, 2022, and Quarterly Report on Form 10-Q for the quarters ended March 31, 2023, June 30, 2023 and September 30, 2023, which have been filed with the Securities and Exchange Commission and are available on JPMorgan Chase’s website (</w:t>
      </w:r>
      <w:r>
        <w:rPr>
          <w:rFonts w:ascii="Arial" w:cs="Arial" w:eastAsia="Arial" w:hAnsi="Arial"/>
          <w:sz w:val="18"/>
          <w:szCs w:val="18"/>
          <w:i w:val="1"/>
          <w:iCs w:val="1"/>
          <w:u w:val="single" w:color="auto"/>
          <w:color w:val="auto"/>
        </w:rPr>
        <w:t>https://jpmorganchaseco.gcs-web.com/financial-information/sec-filings</w:t>
      </w:r>
      <w:r>
        <w:rPr>
          <w:rFonts w:ascii="Arial" w:cs="Arial" w:eastAsia="Arial" w:hAnsi="Arial"/>
          <w:sz w:val="18"/>
          <w:szCs w:val="18"/>
          <w:i w:val="1"/>
          <w:iCs w:val="1"/>
          <w:color w:val="auto"/>
        </w:rPr>
        <w:t>) and on the Securities and Exchange Commission’s website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 JPMorgan Chase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35"/>
        </w:trPr>
        <w:tc>
          <w:tcPr>
            <w:tcW w:w="16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8440" w:type="dxa"/>
            <w:vAlign w:val="bottom"/>
            <w:gridSpan w:val="3"/>
          </w:tcPr>
          <w:p>
            <w:pPr>
              <w:ind w:left="3280"/>
              <w:spacing w:after="0"/>
              <w:rPr>
                <w:sz w:val="20"/>
                <w:szCs w:val="20"/>
                <w:color w:val="auto"/>
              </w:rPr>
            </w:pPr>
            <w:r>
              <w:rPr>
                <w:rFonts w:ascii="Arial" w:cs="Arial" w:eastAsia="Arial" w:hAnsi="Arial"/>
                <w:sz w:val="18"/>
                <w:szCs w:val="18"/>
                <w:b w:val="1"/>
                <w:bCs w:val="1"/>
                <w:color w:val="auto"/>
              </w:rPr>
              <w:t>Description of Exhibit</w:t>
            </w:r>
          </w:p>
        </w:tc>
      </w:tr>
      <w:tr>
        <w:trPr>
          <w:trHeight w:val="412"/>
        </w:trPr>
        <w:tc>
          <w:tcPr>
            <w:tcW w:w="1480" w:type="dxa"/>
            <w:vAlign w:val="bottom"/>
            <w:tcBorders>
              <w:top w:val="single" w:sz="8" w:color="auto"/>
            </w:tcBorders>
          </w:tcPr>
          <w:p>
            <w:pPr>
              <w:jc w:val="right"/>
              <w:ind w:right="1030"/>
              <w:spacing w:after="0"/>
              <w:rPr>
                <w:sz w:val="20"/>
                <w:szCs w:val="20"/>
                <w:color w:val="auto"/>
              </w:rPr>
            </w:pPr>
            <w:r>
              <w:rPr>
                <w:rFonts w:ascii="Arial" w:cs="Arial" w:eastAsia="Arial" w:hAnsi="Arial"/>
                <w:sz w:val="18"/>
                <w:szCs w:val="18"/>
                <w:color w:val="auto"/>
                <w:w w:val="96"/>
              </w:rPr>
              <w:t>99.1</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4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0000FF"/>
              </w:rPr>
              <w:t>JPMorgan Chase &amp; Co. Earnings Release - Fourth Quarter 2023 Results</w:t>
            </w:r>
          </w:p>
        </w:tc>
      </w:tr>
      <w:tr>
        <w:trPr>
          <w:trHeight w:val="20"/>
        </w:trPr>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9"/>
        </w:trPr>
        <w:tc>
          <w:tcPr>
            <w:tcW w:w="1480" w:type="dxa"/>
            <w:vAlign w:val="bottom"/>
          </w:tcPr>
          <w:p>
            <w:pPr>
              <w:jc w:val="right"/>
              <w:ind w:right="1030"/>
              <w:spacing w:after="0"/>
              <w:rPr>
                <w:sz w:val="20"/>
                <w:szCs w:val="20"/>
                <w:color w:val="auto"/>
              </w:rPr>
            </w:pPr>
            <w:r>
              <w:rPr>
                <w:rFonts w:ascii="Arial" w:cs="Arial" w:eastAsia="Arial" w:hAnsi="Arial"/>
                <w:sz w:val="18"/>
                <w:szCs w:val="18"/>
                <w:color w:val="auto"/>
                <w:w w:val="96"/>
              </w:rPr>
              <w:t>99.2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JPMorgan Chase &amp; Co. Earnings Release Financial Supplement - Fourth Quarter 2023</w:t>
            </w:r>
          </w:p>
        </w:tc>
        <w:tc>
          <w:tcPr>
            <w:tcW w:w="1500" w:type="dxa"/>
            <w:vAlign w:val="bottom"/>
          </w:tcPr>
          <w:p>
            <w:pPr>
              <w:spacing w:after="0"/>
              <w:rPr>
                <w:sz w:val="18"/>
                <w:szCs w:val="18"/>
                <w:color w:val="auto"/>
              </w:rPr>
            </w:pPr>
          </w:p>
        </w:tc>
      </w:tr>
    </w:tbl>
    <w:p>
      <w:pPr>
        <w:spacing w:after="0" w:line="22" w:lineRule="exact"/>
        <w:rPr>
          <w:sz w:val="20"/>
          <w:szCs w:val="20"/>
          <w:color w:val="auto"/>
        </w:rPr>
      </w:pPr>
    </w:p>
    <w:p>
      <w:pPr>
        <w:ind w:left="2240" w:right="960" w:hanging="1647"/>
        <w:spacing w:after="0"/>
        <w:tabs>
          <w:tab w:leader="none" w:pos="2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406 of Regulation S-T, the cover page is formatted in Inline XBRL (Inline eXtensible Business Reporting Language).</w:t>
      </w:r>
    </w:p>
    <w:p>
      <w:pPr>
        <w:spacing w:after="0" w:line="5" w:lineRule="exact"/>
        <w:rPr>
          <w:sz w:val="20"/>
          <w:szCs w:val="20"/>
          <w:color w:val="auto"/>
        </w:rPr>
      </w:pPr>
    </w:p>
    <w:p>
      <w:pPr>
        <w:ind w:left="2240" w:right="920" w:hanging="1647"/>
        <w:spacing w:after="0"/>
        <w:tabs>
          <w:tab w:leader="none" w:pos="2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3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72" w:lineRule="exact"/>
        <w:rPr>
          <w:sz w:val="20"/>
          <w:szCs w:val="20"/>
          <w:color w:val="auto"/>
        </w:rPr>
      </w:pPr>
    </w:p>
    <w:tbl>
      <w:tblPr>
        <w:tblLayout w:type="fixed"/>
        <w:tblInd w:w="5800" w:type="dxa"/>
        <w:tblCellMar>
          <w:top w:w="0" w:type="dxa"/>
          <w:left w:w="0" w:type="dxa"/>
          <w:bottom w:w="0" w:type="dxa"/>
          <w:right w:w="0" w:type="dxa"/>
        </w:tblCellMar>
      </w:tblPr>
      <w:tr>
        <w:trPr>
          <w:trHeight w:val="235"/>
        </w:trPr>
        <w:tc>
          <w:tcPr>
            <w:tcW w:w="50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JPMorgan Chase &amp; Co.</w:t>
            </w:r>
          </w:p>
        </w:tc>
      </w:tr>
      <w:tr>
        <w:trPr>
          <w:trHeight w:val="232"/>
        </w:trPr>
        <w:tc>
          <w:tcPr>
            <w:tcW w:w="5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71"/>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Elena Korablina</w:t>
            </w:r>
          </w:p>
        </w:tc>
      </w:tr>
      <w:tr>
        <w:trPr>
          <w:trHeight w:val="218"/>
        </w:trPr>
        <w:tc>
          <w:tcPr>
            <w:tcW w:w="50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Elena Korablina</w:t>
            </w:r>
          </w:p>
        </w:tc>
      </w:tr>
      <w:tr>
        <w:trPr>
          <w:trHeight w:val="230"/>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Managing Director and Firmwide Controller</w:t>
            </w:r>
          </w:p>
        </w:tc>
      </w:tr>
      <w:tr>
        <w:trPr>
          <w:trHeight w:val="239"/>
        </w:trPr>
        <w:tc>
          <w:tcPr>
            <w:tcW w:w="5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rPr>
              <w:t>(Principal Accounting Officer)</w:t>
            </w:r>
          </w:p>
        </w:tc>
      </w:tr>
    </w:tbl>
    <w:p>
      <w:pPr>
        <w:spacing w:after="0" w:line="396"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Dated:</w:t>
        <w:tab/>
        <w:t>January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3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-35560</wp:posOffset>
            </wp:positionV>
            <wp:extent cx="3103245"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03245" cy="222885"/>
                    </a:xfrm>
                    <a:prstGeom prst="rect">
                      <a:avLst/>
                    </a:prstGeom>
                    <a:noFill/>
                  </pic:spPr>
                </pic:pic>
              </a:graphicData>
            </a:graphic>
          </wp:anchor>
        </w:drawing>
      </w:r>
    </w:p>
    <w:p>
      <w:pPr>
        <w:ind w:left="260"/>
        <w:spacing w:after="0" w:line="206" w:lineRule="auto"/>
        <w:rPr>
          <w:sz w:val="20"/>
          <w:szCs w:val="20"/>
          <w:color w:val="auto"/>
        </w:rPr>
      </w:pPr>
      <w:r>
        <w:rPr>
          <w:rFonts w:ascii="Times New Roman" w:cs="Times New Roman" w:eastAsia="Times New Roman" w:hAnsi="Times New Roman"/>
          <w:sz w:val="14"/>
          <w:szCs w:val="14"/>
          <w:color w:val="auto"/>
        </w:rPr>
        <w:t>383 Madison Avenue, New York, NY 10179-0001</w:t>
      </w:r>
    </w:p>
    <w:p>
      <w:pPr>
        <w:ind w:left="260"/>
        <w:spacing w:after="0" w:line="221" w:lineRule="auto"/>
        <w:rPr>
          <w:sz w:val="20"/>
          <w:szCs w:val="20"/>
          <w:color w:val="auto"/>
        </w:rPr>
      </w:pPr>
      <w:r>
        <w:rPr>
          <w:rFonts w:ascii="Times New Roman" w:cs="Times New Roman" w:eastAsia="Times New Roman" w:hAnsi="Times New Roman"/>
          <w:sz w:val="14"/>
          <w:szCs w:val="14"/>
          <w:color w:val="auto"/>
        </w:rPr>
        <w:t>NYSE symbol: JPM</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www.jpmorganchase.com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1" w:lineRule="exact"/>
        <w:rPr>
          <w:sz w:val="20"/>
          <w:szCs w:val="20"/>
          <w:color w:val="auto"/>
        </w:rPr>
      </w:pPr>
    </w:p>
    <w:p>
      <w:pPr>
        <w:jc w:val="center"/>
        <w:spacing w:after="0" w:line="270" w:lineRule="auto"/>
        <w:rPr>
          <w:sz w:val="20"/>
          <w:szCs w:val="20"/>
          <w:color w:val="auto"/>
        </w:rPr>
      </w:pPr>
      <w:r>
        <w:rPr>
          <w:rFonts w:ascii="Times New Roman" w:cs="Times New Roman" w:eastAsia="Times New Roman" w:hAnsi="Times New Roman"/>
          <w:sz w:val="20"/>
          <w:szCs w:val="20"/>
          <w:b w:val="1"/>
          <w:bCs w:val="1"/>
          <w:color w:val="auto"/>
        </w:rPr>
        <w:t>JPMORGAN CHASE REPORTS FOURTH-QUARTER 2023 NET INCOME OF $9.3 BILLION ($3.04 PER SHARE), INCLUDING THE FDIC SPECIAL ASSESSMENT OF $2.9 BILLION ($0.74 DECREASE PER SHARE) FULL-YEAR 2023 NET INCOME OF $49.6 BILLION ($16.23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-3810</wp:posOffset>
            </wp:positionV>
            <wp:extent cx="709803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FOURTH-QUARTER 2023 RESULTS</w:t>
      </w:r>
      <w:r>
        <w:rPr>
          <w:rFonts w:ascii="Times New Roman" w:cs="Times New Roman" w:eastAsia="Times New Roman" w:hAnsi="Times New Roman"/>
          <w:sz w:val="23"/>
          <w:szCs w:val="23"/>
          <w:b w:val="1"/>
          <w:bCs w:val="1"/>
          <w:color w:val="auto"/>
          <w:vertAlign w:val="superscript"/>
        </w:rPr>
        <w:t>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shd w:val="clear" w:color="auto" w:fill="0A4875"/>
          </w:tcPr>
          <w:p>
            <w:pPr>
              <w:spacing w:after="0"/>
              <w:rPr>
                <w:sz w:val="24"/>
                <w:szCs w:val="24"/>
                <w:color w:val="auto"/>
              </w:rPr>
            </w:pPr>
          </w:p>
        </w:tc>
        <w:tc>
          <w:tcPr>
            <w:tcW w:w="2220" w:type="dxa"/>
            <w:vAlign w:val="bottom"/>
            <w:vMerge w:val="restart"/>
            <w:shd w:val="clear" w:color="auto" w:fill="0A4875"/>
          </w:tcPr>
          <w:p>
            <w:pPr>
              <w:ind w:left="80"/>
              <w:spacing w:after="0"/>
              <w:rPr>
                <w:sz w:val="20"/>
                <w:szCs w:val="20"/>
                <w:color w:val="auto"/>
              </w:rPr>
            </w:pPr>
            <w:r>
              <w:rPr>
                <w:rFonts w:ascii="Arial" w:cs="Arial" w:eastAsia="Arial" w:hAnsi="Arial"/>
                <w:sz w:val="16"/>
                <w:szCs w:val="16"/>
                <w:color w:val="FFFFFF"/>
              </w:rPr>
              <w:t xml:space="preserve">ROE </w:t>
            </w:r>
            <w:r>
              <w:rPr>
                <w:rFonts w:ascii="Times New Roman" w:cs="Times New Roman" w:eastAsia="Times New Roman" w:hAnsi="Times New Roman"/>
                <w:sz w:val="25"/>
                <w:szCs w:val="25"/>
                <w:b w:val="1"/>
                <w:bCs w:val="1"/>
                <w:color w:val="FFFFFF"/>
              </w:rPr>
              <w:t>12%</w:t>
            </w:r>
          </w:p>
        </w:tc>
        <w:tc>
          <w:tcPr>
            <w:tcW w:w="400" w:type="dxa"/>
            <w:vAlign w:val="bottom"/>
          </w:tcPr>
          <w:p>
            <w:pPr>
              <w:spacing w:after="0"/>
              <w:rPr>
                <w:sz w:val="24"/>
                <w:szCs w:val="24"/>
                <w:color w:val="auto"/>
              </w:rPr>
            </w:pPr>
          </w:p>
        </w:tc>
        <w:tc>
          <w:tcPr>
            <w:tcW w:w="3420" w:type="dxa"/>
            <w:vAlign w:val="bottom"/>
            <w:gridSpan w:val="2"/>
            <w:shd w:val="clear" w:color="auto" w:fill="0A4875"/>
          </w:tcPr>
          <w:p>
            <w:pPr>
              <w:jc w:val="center"/>
              <w:spacing w:after="0"/>
              <w:rPr>
                <w:sz w:val="20"/>
                <w:szCs w:val="20"/>
                <w:color w:val="auto"/>
              </w:rPr>
            </w:pPr>
            <w:r>
              <w:rPr>
                <w:rFonts w:ascii="Arial" w:cs="Arial" w:eastAsia="Arial" w:hAnsi="Arial"/>
                <w:sz w:val="16"/>
                <w:szCs w:val="16"/>
                <w:color w:val="FFFFFF"/>
                <w:w w:val="99"/>
              </w:rPr>
              <w:t>CET1 Capital Ratios</w:t>
            </w:r>
            <w:r>
              <w:rPr>
                <w:rFonts w:ascii="Arial" w:cs="Arial" w:eastAsia="Arial" w:hAnsi="Arial"/>
                <w:sz w:val="21"/>
                <w:szCs w:val="21"/>
                <w:color w:val="FFFFFF"/>
                <w:w w:val="99"/>
                <w:vertAlign w:val="superscript"/>
              </w:rPr>
              <w:t>3</w:t>
            </w:r>
          </w:p>
        </w:tc>
        <w:tc>
          <w:tcPr>
            <w:tcW w:w="400" w:type="dxa"/>
            <w:vAlign w:val="bottom"/>
          </w:tcPr>
          <w:p>
            <w:pPr>
              <w:spacing w:after="0"/>
              <w:rPr>
                <w:sz w:val="24"/>
                <w:szCs w:val="24"/>
                <w:color w:val="auto"/>
              </w:rPr>
            </w:pPr>
          </w:p>
        </w:tc>
        <w:tc>
          <w:tcPr>
            <w:tcW w:w="3420" w:type="dxa"/>
            <w:vAlign w:val="bottom"/>
            <w:shd w:val="clear" w:color="auto" w:fill="0A4875"/>
          </w:tcPr>
          <w:p>
            <w:pPr>
              <w:jc w:val="center"/>
              <w:spacing w:after="0"/>
              <w:rPr>
                <w:sz w:val="20"/>
                <w:szCs w:val="20"/>
                <w:color w:val="auto"/>
              </w:rPr>
            </w:pPr>
            <w:r>
              <w:rPr>
                <w:rFonts w:ascii="Arial" w:cs="Arial" w:eastAsia="Arial" w:hAnsi="Arial"/>
                <w:sz w:val="16"/>
                <w:szCs w:val="16"/>
                <w:color w:val="FFFFFF"/>
                <w:w w:val="99"/>
              </w:rPr>
              <w:t>Std. RWA</w:t>
            </w:r>
            <w:r>
              <w:rPr>
                <w:rFonts w:ascii="Arial" w:cs="Arial" w:eastAsia="Arial" w:hAnsi="Arial"/>
                <w:sz w:val="21"/>
                <w:szCs w:val="21"/>
                <w:color w:val="FFFFFF"/>
                <w:w w:val="99"/>
                <w:vertAlign w:val="superscript"/>
              </w:rPr>
              <w:t>3</w:t>
            </w:r>
            <w:r>
              <w:rPr>
                <w:rFonts w:ascii="Arial" w:cs="Arial" w:eastAsia="Arial" w:hAnsi="Arial"/>
                <w:sz w:val="16"/>
                <w:szCs w:val="16"/>
                <w:color w:val="FFFFFF"/>
                <w:w w:val="99"/>
              </w:rPr>
              <w:t xml:space="preserve"> </w:t>
            </w:r>
            <w:r>
              <w:rPr>
                <w:rFonts w:ascii="Times New Roman" w:cs="Times New Roman" w:eastAsia="Times New Roman" w:hAnsi="Times New Roman"/>
                <w:sz w:val="25"/>
                <w:szCs w:val="25"/>
                <w:b w:val="1"/>
                <w:bCs w:val="1"/>
                <w:color w:val="FFFFFF"/>
                <w:w w:val="99"/>
              </w:rPr>
              <w:t>$1.7T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shd w:val="clear" w:color="auto" w:fill="0A4875"/>
          </w:tcPr>
          <w:p>
            <w:pPr>
              <w:spacing w:after="0"/>
              <w:rPr>
                <w:sz w:val="17"/>
                <w:szCs w:val="17"/>
                <w:color w:val="auto"/>
              </w:rPr>
            </w:pPr>
          </w:p>
        </w:tc>
        <w:tc>
          <w:tcPr>
            <w:tcW w:w="2220" w:type="dxa"/>
            <w:vAlign w:val="bottom"/>
            <w:vMerge w:val="continue"/>
            <w:shd w:val="clear" w:color="auto" w:fill="0A4875"/>
          </w:tcPr>
          <w:p>
            <w:pPr>
              <w:spacing w:after="0"/>
              <w:rPr>
                <w:sz w:val="17"/>
                <w:szCs w:val="17"/>
                <w:color w:val="auto"/>
              </w:rPr>
            </w:pPr>
          </w:p>
        </w:tc>
        <w:tc>
          <w:tcPr>
            <w:tcW w:w="400" w:type="dxa"/>
            <w:vAlign w:val="bottom"/>
          </w:tcPr>
          <w:p>
            <w:pPr>
              <w:spacing w:after="0"/>
              <w:rPr>
                <w:sz w:val="17"/>
                <w:szCs w:val="17"/>
                <w:color w:val="auto"/>
              </w:rPr>
            </w:pPr>
          </w:p>
        </w:tc>
        <w:tc>
          <w:tcPr>
            <w:tcW w:w="3420" w:type="dxa"/>
            <w:vAlign w:val="bottom"/>
            <w:gridSpan w:val="2"/>
            <w:vMerge w:val="restart"/>
            <w:shd w:val="clear" w:color="auto" w:fill="0A4875"/>
          </w:tcPr>
          <w:p>
            <w:pPr>
              <w:jc w:val="center"/>
              <w:spacing w:after="0"/>
              <w:rPr>
                <w:sz w:val="20"/>
                <w:szCs w:val="20"/>
                <w:color w:val="auto"/>
              </w:rPr>
            </w:pPr>
            <w:r>
              <w:rPr>
                <w:rFonts w:ascii="Arial" w:cs="Arial" w:eastAsia="Arial" w:hAnsi="Arial"/>
                <w:sz w:val="16"/>
                <w:szCs w:val="16"/>
                <w:color w:val="FFFFFF"/>
              </w:rPr>
              <w:t xml:space="preserve">Std. </w:t>
            </w:r>
            <w:r>
              <w:rPr>
                <w:rFonts w:ascii="Times New Roman" w:cs="Times New Roman" w:eastAsia="Times New Roman" w:hAnsi="Times New Roman"/>
                <w:sz w:val="25"/>
                <w:szCs w:val="25"/>
                <w:b w:val="1"/>
                <w:bCs w:val="1"/>
                <w:color w:val="FFFFFF"/>
              </w:rPr>
              <w:t>15.0%</w:t>
            </w:r>
            <w:r>
              <w:rPr>
                <w:rFonts w:ascii="Arial" w:cs="Arial" w:eastAsia="Arial" w:hAnsi="Arial"/>
                <w:sz w:val="16"/>
                <w:szCs w:val="16"/>
                <w:color w:val="FFFFFF"/>
              </w:rPr>
              <w:t xml:space="preserve"> | Adv. </w:t>
            </w:r>
            <w:r>
              <w:rPr>
                <w:rFonts w:ascii="Times New Roman" w:cs="Times New Roman" w:eastAsia="Times New Roman" w:hAnsi="Times New Roman"/>
                <w:sz w:val="25"/>
                <w:szCs w:val="25"/>
                <w:b w:val="1"/>
                <w:bCs w:val="1"/>
                <w:color w:val="FFFFFF"/>
              </w:rPr>
              <w:t>15.0%</w:t>
            </w:r>
          </w:p>
        </w:tc>
        <w:tc>
          <w:tcPr>
            <w:tcW w:w="400" w:type="dxa"/>
            <w:vAlign w:val="bottom"/>
          </w:tcPr>
          <w:p>
            <w:pPr>
              <w:spacing w:after="0"/>
              <w:rPr>
                <w:sz w:val="17"/>
                <w:szCs w:val="17"/>
                <w:color w:val="auto"/>
              </w:rPr>
            </w:pPr>
          </w:p>
        </w:tc>
        <w:tc>
          <w:tcPr>
            <w:tcW w:w="3420" w:type="dxa"/>
            <w:vAlign w:val="bottom"/>
            <w:vMerge w:val="restart"/>
            <w:shd w:val="clear" w:color="auto" w:fill="0A4875"/>
          </w:tcPr>
          <w:p>
            <w:pPr>
              <w:jc w:val="center"/>
              <w:spacing w:after="0"/>
              <w:rPr>
                <w:sz w:val="20"/>
                <w:szCs w:val="20"/>
                <w:color w:val="auto"/>
              </w:rPr>
            </w:pPr>
            <w:r>
              <w:rPr>
                <w:rFonts w:ascii="Arial" w:cs="Arial" w:eastAsia="Arial" w:hAnsi="Arial"/>
                <w:sz w:val="16"/>
                <w:szCs w:val="16"/>
                <w:color w:val="FFFFFF"/>
              </w:rPr>
              <w:t>Cash and marketable securities</w:t>
            </w:r>
            <w:r>
              <w:rPr>
                <w:rFonts w:ascii="Arial" w:cs="Arial" w:eastAsia="Arial" w:hAnsi="Arial"/>
                <w:sz w:val="21"/>
                <w:szCs w:val="21"/>
                <w:color w:val="FFFFFF"/>
                <w:vertAlign w:val="superscript"/>
              </w:rPr>
              <w:t>4</w:t>
            </w:r>
            <w:r>
              <w:rPr>
                <w:rFonts w:ascii="Arial" w:cs="Arial" w:eastAsia="Arial" w:hAnsi="Arial"/>
                <w:sz w:val="16"/>
                <w:szCs w:val="16"/>
                <w:color w:val="FFFFFF"/>
              </w:rPr>
              <w:t xml:space="preserve"> </w:t>
            </w:r>
            <w:r>
              <w:rPr>
                <w:rFonts w:ascii="Times New Roman" w:cs="Times New Roman" w:eastAsia="Times New Roman" w:hAnsi="Times New Roman"/>
                <w:sz w:val="25"/>
                <w:szCs w:val="25"/>
                <w:b w:val="1"/>
                <w:bCs w:val="1"/>
                <w:color w:val="FFFFFF"/>
              </w:rPr>
              <w:t>$1.4T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380" w:type="dxa"/>
            <w:vAlign w:val="bottom"/>
            <w:gridSpan w:val="2"/>
            <w:vMerge w:val="restart"/>
            <w:shd w:val="clear" w:color="auto" w:fill="0A4875"/>
          </w:tcPr>
          <w:p>
            <w:pPr>
              <w:ind w:left="1120"/>
              <w:spacing w:after="0"/>
              <w:rPr>
                <w:sz w:val="20"/>
                <w:szCs w:val="20"/>
                <w:color w:val="auto"/>
              </w:rPr>
            </w:pPr>
            <w:r>
              <w:rPr>
                <w:rFonts w:ascii="Arial" w:cs="Arial" w:eastAsia="Arial" w:hAnsi="Arial"/>
                <w:sz w:val="16"/>
                <w:szCs w:val="16"/>
                <w:color w:val="FFFFFF"/>
              </w:rPr>
              <w:t>ROTCE</w:t>
            </w:r>
            <w:r>
              <w:rPr>
                <w:rFonts w:ascii="Arial" w:cs="Arial" w:eastAsia="Arial" w:hAnsi="Arial"/>
                <w:sz w:val="21"/>
                <w:szCs w:val="21"/>
                <w:color w:val="FFFFFF"/>
                <w:vertAlign w:val="superscript"/>
              </w:rPr>
              <w:t>2</w:t>
            </w:r>
            <w:r>
              <w:rPr>
                <w:rFonts w:ascii="Arial" w:cs="Arial" w:eastAsia="Arial" w:hAnsi="Arial"/>
                <w:sz w:val="16"/>
                <w:szCs w:val="16"/>
                <w:color w:val="FFFFFF"/>
              </w:rPr>
              <w:t xml:space="preserve"> </w:t>
            </w:r>
            <w:r>
              <w:rPr>
                <w:rFonts w:ascii="Times New Roman" w:cs="Times New Roman" w:eastAsia="Times New Roman" w:hAnsi="Times New Roman"/>
                <w:sz w:val="25"/>
                <w:szCs w:val="25"/>
                <w:b w:val="1"/>
                <w:bCs w:val="1"/>
                <w:color w:val="FFFFFF"/>
              </w:rPr>
              <w:t>15%</w:t>
            </w:r>
          </w:p>
        </w:tc>
        <w:tc>
          <w:tcPr>
            <w:tcW w:w="400" w:type="dxa"/>
            <w:vAlign w:val="bottom"/>
          </w:tcPr>
          <w:p>
            <w:pPr>
              <w:spacing w:after="0"/>
              <w:rPr>
                <w:sz w:val="9"/>
                <w:szCs w:val="9"/>
                <w:color w:val="auto"/>
              </w:rPr>
            </w:pPr>
          </w:p>
        </w:tc>
        <w:tc>
          <w:tcPr>
            <w:tcW w:w="3420" w:type="dxa"/>
            <w:vAlign w:val="bottom"/>
            <w:gridSpan w:val="2"/>
            <w:vMerge w:val="continue"/>
            <w:shd w:val="clear" w:color="auto" w:fill="0A4875"/>
          </w:tcPr>
          <w:p>
            <w:pPr>
              <w:spacing w:after="0"/>
              <w:rPr>
                <w:sz w:val="9"/>
                <w:szCs w:val="9"/>
                <w:color w:val="auto"/>
              </w:rPr>
            </w:pPr>
          </w:p>
        </w:tc>
        <w:tc>
          <w:tcPr>
            <w:tcW w:w="400" w:type="dxa"/>
            <w:vAlign w:val="bottom"/>
          </w:tcPr>
          <w:p>
            <w:pPr>
              <w:spacing w:after="0"/>
              <w:rPr>
                <w:sz w:val="9"/>
                <w:szCs w:val="9"/>
                <w:color w:val="auto"/>
              </w:rPr>
            </w:pPr>
          </w:p>
        </w:tc>
        <w:tc>
          <w:tcPr>
            <w:tcW w:w="3420" w:type="dxa"/>
            <w:vAlign w:val="bottom"/>
            <w:vMerge w:val="continue"/>
            <w:shd w:val="clear" w:color="auto" w:fill="0A4875"/>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80" w:type="dxa"/>
            <w:vAlign w:val="bottom"/>
            <w:gridSpan w:val="2"/>
            <w:vMerge w:val="continue"/>
            <w:shd w:val="clear" w:color="auto" w:fill="0A4875"/>
          </w:tcPr>
          <w:p>
            <w:pPr>
              <w:spacing w:after="0"/>
              <w:rPr>
                <w:sz w:val="24"/>
                <w:szCs w:val="24"/>
                <w:color w:val="auto"/>
              </w:rPr>
            </w:pPr>
          </w:p>
        </w:tc>
        <w:tc>
          <w:tcPr>
            <w:tcW w:w="400" w:type="dxa"/>
            <w:vAlign w:val="bottom"/>
          </w:tcPr>
          <w:p>
            <w:pPr>
              <w:spacing w:after="0"/>
              <w:rPr>
                <w:sz w:val="24"/>
                <w:szCs w:val="24"/>
                <w:color w:val="auto"/>
              </w:rPr>
            </w:pPr>
          </w:p>
        </w:tc>
        <w:tc>
          <w:tcPr>
            <w:tcW w:w="3420" w:type="dxa"/>
            <w:vAlign w:val="bottom"/>
            <w:gridSpan w:val="2"/>
            <w:shd w:val="clear" w:color="auto" w:fill="0A4875"/>
          </w:tcPr>
          <w:p>
            <w:pPr>
              <w:jc w:val="center"/>
              <w:spacing w:after="0"/>
              <w:rPr>
                <w:sz w:val="20"/>
                <w:szCs w:val="20"/>
                <w:color w:val="auto"/>
              </w:rPr>
            </w:pPr>
            <w:r>
              <w:rPr>
                <w:rFonts w:ascii="Arial" w:cs="Arial" w:eastAsia="Arial" w:hAnsi="Arial"/>
                <w:sz w:val="16"/>
                <w:szCs w:val="16"/>
                <w:color w:val="FFFFFF"/>
                <w:w w:val="99"/>
              </w:rPr>
              <w:t>Total Loss-Absorbing Capacity</w:t>
            </w:r>
            <w:r>
              <w:rPr>
                <w:rFonts w:ascii="Arial" w:cs="Arial" w:eastAsia="Arial" w:hAnsi="Arial"/>
                <w:sz w:val="21"/>
                <w:szCs w:val="21"/>
                <w:color w:val="FFFFFF"/>
                <w:w w:val="99"/>
                <w:vertAlign w:val="superscript"/>
              </w:rPr>
              <w:t>3</w:t>
            </w:r>
            <w:r>
              <w:rPr>
                <w:rFonts w:ascii="Arial" w:cs="Arial" w:eastAsia="Arial" w:hAnsi="Arial"/>
                <w:sz w:val="16"/>
                <w:szCs w:val="16"/>
                <w:color w:val="FFFFFF"/>
                <w:w w:val="99"/>
              </w:rPr>
              <w:t xml:space="preserve"> </w:t>
            </w:r>
            <w:r>
              <w:rPr>
                <w:rFonts w:ascii="Times New Roman" w:cs="Times New Roman" w:eastAsia="Times New Roman" w:hAnsi="Times New Roman"/>
                <w:sz w:val="25"/>
                <w:szCs w:val="25"/>
                <w:b w:val="1"/>
                <w:bCs w:val="1"/>
                <w:color w:val="FFFFFF"/>
                <w:w w:val="99"/>
              </w:rPr>
              <w:t>$514B</w:t>
            </w:r>
          </w:p>
        </w:tc>
        <w:tc>
          <w:tcPr>
            <w:tcW w:w="400" w:type="dxa"/>
            <w:vAlign w:val="bottom"/>
          </w:tcPr>
          <w:p>
            <w:pPr>
              <w:spacing w:after="0"/>
              <w:rPr>
                <w:sz w:val="24"/>
                <w:szCs w:val="24"/>
                <w:color w:val="auto"/>
              </w:rPr>
            </w:pPr>
          </w:p>
        </w:tc>
        <w:tc>
          <w:tcPr>
            <w:tcW w:w="3420" w:type="dxa"/>
            <w:vAlign w:val="bottom"/>
            <w:shd w:val="clear" w:color="auto" w:fill="0A4875"/>
          </w:tcPr>
          <w:p>
            <w:pPr>
              <w:jc w:val="center"/>
              <w:spacing w:after="0"/>
              <w:rPr>
                <w:sz w:val="20"/>
                <w:szCs w:val="20"/>
                <w:color w:val="auto"/>
              </w:rPr>
            </w:pPr>
            <w:r>
              <w:rPr>
                <w:rFonts w:ascii="Arial" w:cs="Arial" w:eastAsia="Arial" w:hAnsi="Arial"/>
                <w:sz w:val="16"/>
                <w:szCs w:val="16"/>
                <w:color w:val="FFFFFF"/>
              </w:rPr>
              <w:t xml:space="preserve">Average loans </w:t>
            </w:r>
            <w:r>
              <w:rPr>
                <w:rFonts w:ascii="Times New Roman" w:cs="Times New Roman" w:eastAsia="Times New Roman" w:hAnsi="Times New Roman"/>
                <w:sz w:val="25"/>
                <w:szCs w:val="25"/>
                <w:b w:val="1"/>
                <w:bCs w:val="1"/>
                <w:color w:val="FFFFFF"/>
              </w:rPr>
              <w:t>$1.3T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66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60" w:type="dxa"/>
            <w:vAlign w:val="bottom"/>
            <w:gridSpan w:val="3"/>
            <w:shd w:val="clear" w:color="auto" w:fill="E2E4E5"/>
          </w:tcPr>
          <w:p>
            <w:pPr>
              <w:ind w:left="20"/>
              <w:spacing w:after="0" w:line="163" w:lineRule="exact"/>
              <w:rPr>
                <w:sz w:val="20"/>
                <w:szCs w:val="20"/>
                <w:color w:val="auto"/>
              </w:rPr>
            </w:pPr>
            <w:r>
              <w:rPr>
                <w:rFonts w:ascii="Times New Roman" w:cs="Times New Roman" w:eastAsia="Times New Roman" w:hAnsi="Times New Roman"/>
                <w:sz w:val="16"/>
                <w:szCs w:val="16"/>
                <w:color w:val="auto"/>
                <w:w w:val="97"/>
              </w:rPr>
              <w:t xml:space="preserve">Jamie Dimon, Chairman and CEO, commented: </w:t>
            </w:r>
            <w:r>
              <w:rPr>
                <w:rFonts w:ascii="Times New Roman" w:cs="Times New Roman" w:eastAsia="Times New Roman" w:hAnsi="Times New Roman"/>
                <w:sz w:val="16"/>
                <w:szCs w:val="16"/>
                <w:i w:val="1"/>
                <w:iCs w:val="1"/>
                <w:color w:val="auto"/>
                <w:w w:val="97"/>
              </w:rPr>
              <w:t>“We ended the year with a solid quarter,</w:t>
            </w:r>
          </w:p>
        </w:tc>
        <w:tc>
          <w:tcPr>
            <w:tcW w:w="80" w:type="dxa"/>
            <w:vAlign w:val="bottom"/>
            <w:tcBorders>
              <w:left w:val="single" w:sz="8" w:color="E2E4E5"/>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660" w:type="dxa"/>
            <w:vAlign w:val="bottom"/>
            <w:gridSpan w:val="3"/>
            <w:shd w:val="clear" w:color="auto" w:fill="E2E4E5"/>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producing net income of $9.3 billion, or $12.1 billion excluding the FDIC special</w:t>
            </w:r>
          </w:p>
        </w:tc>
        <w:tc>
          <w:tcPr>
            <w:tcW w:w="80" w:type="dxa"/>
            <w:vAlign w:val="bottom"/>
            <w:tcBorders>
              <w:left w:val="single" w:sz="8" w:color="E2E4E5"/>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60" w:type="dxa"/>
            <w:vAlign w:val="bottom"/>
            <w:gridSpan w:val="3"/>
            <w:shd w:val="clear" w:color="auto" w:fill="E2E4E5"/>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assessment and discretionary securities losses. Our record results in 2023 reflect over-</w:t>
            </w:r>
          </w:p>
        </w:tc>
        <w:tc>
          <w:tcPr>
            <w:tcW w:w="80" w:type="dxa"/>
            <w:vAlign w:val="bottom"/>
            <w:tcBorders>
              <w:left w:val="single" w:sz="8" w:color="E2E4E5"/>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660" w:type="dxa"/>
            <w:vAlign w:val="bottom"/>
            <w:gridSpan w:val="3"/>
            <w:shd w:val="clear" w:color="auto" w:fill="E2E4E5"/>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earning on both NII and credit, but we remain confident in our ability to continue to</w:t>
            </w:r>
          </w:p>
        </w:tc>
        <w:tc>
          <w:tcPr>
            <w:tcW w:w="80" w:type="dxa"/>
            <w:vAlign w:val="bottom"/>
            <w:tcBorders>
              <w:left w:val="single" w:sz="8" w:color="E2E4E5"/>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660" w:type="dxa"/>
            <w:vAlign w:val="bottom"/>
            <w:gridSpan w:val="3"/>
            <w:shd w:val="clear" w:color="auto" w:fill="E2E4E5"/>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deliver very healthy returns even after they normalize. Our balance sheet remained</w:t>
            </w:r>
          </w:p>
        </w:tc>
        <w:tc>
          <w:tcPr>
            <w:tcW w:w="80" w:type="dxa"/>
            <w:vAlign w:val="bottom"/>
            <w:tcBorders>
              <w:left w:val="single" w:sz="8" w:color="E2E4E5"/>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660" w:type="dxa"/>
            <w:vAlign w:val="bottom"/>
            <w:gridSpan w:val="3"/>
            <w:shd w:val="clear" w:color="auto" w:fill="E2E4E5"/>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extremely strong, with a CET1 ratio of 15.0%, a staggering $514 billion of total loss-</w:t>
            </w:r>
          </w:p>
        </w:tc>
        <w:tc>
          <w:tcPr>
            <w:tcW w:w="80" w:type="dxa"/>
            <w:vAlign w:val="bottom"/>
            <w:tcBorders>
              <w:left w:val="single" w:sz="8" w:color="E2E4E5"/>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200" w:type="dxa"/>
            <w:vAlign w:val="bottom"/>
            <w:gridSpan w:val="3"/>
            <w:vMerge w:val="restart"/>
          </w:tcPr>
          <w:p>
            <w:pPr>
              <w:ind w:left="20"/>
              <w:spacing w:after="0"/>
              <w:rPr>
                <w:sz w:val="20"/>
                <w:szCs w:val="20"/>
                <w:color w:val="auto"/>
              </w:rPr>
            </w:pPr>
            <w:r>
              <w:rPr>
                <w:rFonts w:ascii="Wingdings" w:cs="Wingdings" w:eastAsia="Wingdings" w:hAnsi="Wingdings"/>
                <w:sz w:val="18"/>
                <w:szCs w:val="18"/>
                <w:b w:val="1"/>
                <w:bCs w:val="1"/>
                <w:color w:val="0A4875"/>
              </w:rPr>
              <w:t xml:space="preserve">n </w:t>
            </w:r>
            <w:r>
              <w:rPr>
                <w:rFonts w:ascii="Times New Roman" w:cs="Times New Roman" w:eastAsia="Times New Roman" w:hAnsi="Times New Roman"/>
                <w:sz w:val="16"/>
                <w:szCs w:val="16"/>
                <w:color w:val="000000"/>
              </w:rPr>
              <w:t>Excluding significant items</w:t>
            </w:r>
            <w:r>
              <w:rPr>
                <w:rFonts w:ascii="Times New Roman" w:cs="Times New Roman" w:eastAsia="Times New Roman" w:hAnsi="Times New Roman"/>
                <w:sz w:val="21"/>
                <w:szCs w:val="21"/>
                <w:color w:val="000000"/>
                <w:vertAlign w:val="superscript"/>
              </w:rPr>
              <w:t>2</w:t>
            </w:r>
            <w:r>
              <w:rPr>
                <w:rFonts w:ascii="Times New Roman" w:cs="Times New Roman" w:eastAsia="Times New Roman" w:hAnsi="Times New Roman"/>
                <w:sz w:val="16"/>
                <w:szCs w:val="16"/>
                <w:color w:val="000000"/>
              </w:rPr>
              <w:t>, 4Q23 net income of $12.1</w:t>
            </w:r>
          </w:p>
        </w:tc>
        <w:tc>
          <w:tcPr>
            <w:tcW w:w="5660" w:type="dxa"/>
            <w:vAlign w:val="bottom"/>
            <w:gridSpan w:val="3"/>
            <w:vMerge w:val="restart"/>
            <w:shd w:val="clear" w:color="auto" w:fill="E2E4E5"/>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absorbing capacity and $1.4 trillion in cash and marketable securities. We continue to</w:t>
            </w:r>
          </w:p>
        </w:tc>
        <w:tc>
          <w:tcPr>
            <w:tcW w:w="80" w:type="dxa"/>
            <w:vAlign w:val="bottom"/>
            <w:tcBorders>
              <w:left w:val="single" w:sz="8" w:color="E2E4E5"/>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0A4875"/>
          </w:tcPr>
          <w:p>
            <w:pPr>
              <w:spacing w:after="0"/>
              <w:rPr>
                <w:sz w:val="8"/>
                <w:szCs w:val="8"/>
                <w:color w:val="auto"/>
              </w:rPr>
            </w:pPr>
          </w:p>
        </w:tc>
        <w:tc>
          <w:tcPr>
            <w:tcW w:w="20" w:type="dxa"/>
            <w:vAlign w:val="bottom"/>
            <w:shd w:val="clear" w:color="auto" w:fill="0A4875"/>
          </w:tcPr>
          <w:p>
            <w:pPr>
              <w:spacing w:after="0"/>
              <w:rPr>
                <w:sz w:val="8"/>
                <w:szCs w:val="8"/>
                <w:color w:val="auto"/>
              </w:rPr>
            </w:pPr>
          </w:p>
        </w:tc>
        <w:tc>
          <w:tcPr>
            <w:tcW w:w="60" w:type="dxa"/>
            <w:vAlign w:val="bottom"/>
            <w:shd w:val="clear" w:color="auto" w:fill="0A4875"/>
          </w:tcPr>
          <w:p>
            <w:pPr>
              <w:spacing w:after="0"/>
              <w:rPr>
                <w:sz w:val="8"/>
                <w:szCs w:val="8"/>
                <w:color w:val="auto"/>
              </w:rPr>
            </w:pPr>
          </w:p>
        </w:tc>
        <w:tc>
          <w:tcPr>
            <w:tcW w:w="1160" w:type="dxa"/>
            <w:vAlign w:val="bottom"/>
            <w:shd w:val="clear" w:color="auto" w:fill="0A4875"/>
          </w:tcPr>
          <w:p>
            <w:pPr>
              <w:spacing w:after="0"/>
              <w:rPr>
                <w:sz w:val="8"/>
                <w:szCs w:val="8"/>
                <w:color w:val="auto"/>
              </w:rPr>
            </w:pPr>
          </w:p>
        </w:tc>
        <w:tc>
          <w:tcPr>
            <w:tcW w:w="4200" w:type="dxa"/>
            <w:vAlign w:val="bottom"/>
            <w:gridSpan w:val="3"/>
            <w:vMerge w:val="continue"/>
          </w:tcPr>
          <w:p>
            <w:pPr>
              <w:spacing w:after="0"/>
              <w:rPr>
                <w:sz w:val="8"/>
                <w:szCs w:val="8"/>
                <w:color w:val="auto"/>
              </w:rPr>
            </w:pPr>
          </w:p>
        </w:tc>
        <w:tc>
          <w:tcPr>
            <w:tcW w:w="5660" w:type="dxa"/>
            <w:vAlign w:val="bottom"/>
            <w:gridSpan w:val="3"/>
            <w:vMerge w:val="continue"/>
            <w:shd w:val="clear" w:color="auto" w:fill="E2E4E5"/>
          </w:tcPr>
          <w:p>
            <w:pPr>
              <w:spacing w:after="0"/>
              <w:rPr>
                <w:sz w:val="8"/>
                <w:szCs w:val="8"/>
                <w:color w:val="auto"/>
              </w:rPr>
            </w:pPr>
          </w:p>
        </w:tc>
        <w:tc>
          <w:tcPr>
            <w:tcW w:w="80" w:type="dxa"/>
            <w:vAlign w:val="bottom"/>
            <w:tcBorders>
              <w:left w:val="single" w:sz="8" w:color="E2E4E5"/>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shd w:val="clear" w:color="auto" w:fill="0A4875"/>
          </w:tcPr>
          <w:p>
            <w:pPr>
              <w:spacing w:after="0"/>
              <w:rPr>
                <w:sz w:val="9"/>
                <w:szCs w:val="9"/>
                <w:color w:val="auto"/>
              </w:rPr>
            </w:pPr>
          </w:p>
        </w:tc>
        <w:tc>
          <w:tcPr>
            <w:tcW w:w="20" w:type="dxa"/>
            <w:vAlign w:val="bottom"/>
            <w:shd w:val="clear" w:color="auto" w:fill="0A4875"/>
          </w:tcPr>
          <w:p>
            <w:pPr>
              <w:spacing w:after="0"/>
              <w:rPr>
                <w:sz w:val="9"/>
                <w:szCs w:val="9"/>
                <w:color w:val="auto"/>
              </w:rPr>
            </w:pPr>
          </w:p>
        </w:tc>
        <w:tc>
          <w:tcPr>
            <w:tcW w:w="60" w:type="dxa"/>
            <w:vAlign w:val="bottom"/>
            <w:shd w:val="clear" w:color="auto" w:fill="0A4875"/>
          </w:tcPr>
          <w:p>
            <w:pPr>
              <w:spacing w:after="0"/>
              <w:rPr>
                <w:sz w:val="9"/>
                <w:szCs w:val="9"/>
                <w:color w:val="auto"/>
              </w:rPr>
            </w:pPr>
          </w:p>
        </w:tc>
        <w:tc>
          <w:tcPr>
            <w:tcW w:w="1160" w:type="dxa"/>
            <w:vAlign w:val="bottom"/>
            <w:shd w:val="clear" w:color="auto" w:fill="0A4875"/>
          </w:tcPr>
          <w:p>
            <w:pPr>
              <w:spacing w:after="0"/>
              <w:rPr>
                <w:sz w:val="9"/>
                <w:szCs w:val="9"/>
                <w:color w:val="auto"/>
              </w:rPr>
            </w:pPr>
          </w:p>
        </w:tc>
        <w:tc>
          <w:tcPr>
            <w:tcW w:w="4200" w:type="dxa"/>
            <w:vAlign w:val="bottom"/>
            <w:gridSpan w:val="3"/>
            <w:vMerge w:val="continue"/>
          </w:tcPr>
          <w:p>
            <w:pPr>
              <w:spacing w:after="0"/>
              <w:rPr>
                <w:sz w:val="9"/>
                <w:szCs w:val="9"/>
                <w:color w:val="auto"/>
              </w:rPr>
            </w:pPr>
          </w:p>
        </w:tc>
        <w:tc>
          <w:tcPr>
            <w:tcW w:w="5660" w:type="dxa"/>
            <w:vAlign w:val="bottom"/>
            <w:gridSpan w:val="3"/>
            <w:vMerge w:val="restart"/>
            <w:shd w:val="clear" w:color="auto" w:fill="E2E4E5"/>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w w:val="99"/>
              </w:rPr>
              <w:t>believe that the recent series of regulatory and legislative proposals, including Basel III</w:t>
            </w:r>
          </w:p>
        </w:tc>
        <w:tc>
          <w:tcPr>
            <w:tcW w:w="80" w:type="dxa"/>
            <w:vAlign w:val="bottom"/>
            <w:tcBorders>
              <w:left w:val="single" w:sz="8" w:color="E2E4E5"/>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40" w:type="dxa"/>
            <w:vAlign w:val="bottom"/>
            <w:shd w:val="clear" w:color="auto" w:fill="0A4875"/>
          </w:tcPr>
          <w:p>
            <w:pPr>
              <w:spacing w:after="0"/>
              <w:rPr>
                <w:sz w:val="4"/>
                <w:szCs w:val="4"/>
                <w:color w:val="auto"/>
              </w:rPr>
            </w:pPr>
          </w:p>
        </w:tc>
        <w:tc>
          <w:tcPr>
            <w:tcW w:w="20" w:type="dxa"/>
            <w:vAlign w:val="bottom"/>
            <w:shd w:val="clear" w:color="auto" w:fill="0A4875"/>
          </w:tcPr>
          <w:p>
            <w:pPr>
              <w:spacing w:after="0"/>
              <w:rPr>
                <w:sz w:val="4"/>
                <w:szCs w:val="4"/>
                <w:color w:val="auto"/>
              </w:rPr>
            </w:pPr>
          </w:p>
        </w:tc>
        <w:tc>
          <w:tcPr>
            <w:tcW w:w="60" w:type="dxa"/>
            <w:vAlign w:val="bottom"/>
            <w:shd w:val="clear" w:color="auto" w:fill="0A4875"/>
          </w:tcPr>
          <w:p>
            <w:pPr>
              <w:spacing w:after="0"/>
              <w:rPr>
                <w:sz w:val="4"/>
                <w:szCs w:val="4"/>
                <w:color w:val="auto"/>
              </w:rPr>
            </w:pPr>
          </w:p>
        </w:tc>
        <w:tc>
          <w:tcPr>
            <w:tcW w:w="1160" w:type="dxa"/>
            <w:vAlign w:val="bottom"/>
            <w:shd w:val="clear" w:color="auto" w:fill="0A4875"/>
          </w:tcPr>
          <w:p>
            <w:pPr>
              <w:spacing w:after="0"/>
              <w:rPr>
                <w:sz w:val="4"/>
                <w:szCs w:val="4"/>
                <w:color w:val="auto"/>
              </w:rPr>
            </w:pPr>
          </w:p>
        </w:tc>
        <w:tc>
          <w:tcPr>
            <w:tcW w:w="4200" w:type="dxa"/>
            <w:vAlign w:val="bottom"/>
            <w:gridSpan w:val="3"/>
            <w:vMerge w:val="restart"/>
          </w:tcPr>
          <w:p>
            <w:pPr>
              <w:ind w:left="260"/>
              <w:spacing w:after="0" w:line="228" w:lineRule="exact"/>
              <w:rPr>
                <w:sz w:val="20"/>
                <w:szCs w:val="20"/>
                <w:color w:val="auto"/>
              </w:rPr>
            </w:pPr>
            <w:r>
              <w:rPr>
                <w:rFonts w:ascii="Times New Roman" w:cs="Times New Roman" w:eastAsia="Times New Roman" w:hAnsi="Times New Roman"/>
                <w:sz w:val="16"/>
                <w:szCs w:val="16"/>
                <w:color w:val="auto"/>
              </w:rPr>
              <w:t>billion, EPS</w:t>
            </w: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6"/>
                <w:szCs w:val="16"/>
                <w:color w:val="auto"/>
              </w:rPr>
              <w:t xml:space="preserve"> of $3.97 and ROTCE of 19%</w:t>
            </w:r>
          </w:p>
        </w:tc>
        <w:tc>
          <w:tcPr>
            <w:tcW w:w="5660" w:type="dxa"/>
            <w:vAlign w:val="bottom"/>
            <w:gridSpan w:val="3"/>
            <w:vMerge w:val="continue"/>
            <w:shd w:val="clear" w:color="auto" w:fill="E2E4E5"/>
          </w:tcPr>
          <w:p>
            <w:pPr>
              <w:spacing w:after="0"/>
              <w:rPr>
                <w:sz w:val="4"/>
                <w:szCs w:val="4"/>
                <w:color w:val="auto"/>
              </w:rPr>
            </w:pPr>
          </w:p>
        </w:tc>
        <w:tc>
          <w:tcPr>
            <w:tcW w:w="80" w:type="dxa"/>
            <w:vAlign w:val="bottom"/>
            <w:tcBorders>
              <w:left w:val="single" w:sz="8" w:color="E2E4E5"/>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0A4875"/>
          </w:tcPr>
          <w:p>
            <w:pPr>
              <w:spacing w:after="0"/>
              <w:rPr>
                <w:sz w:val="15"/>
                <w:szCs w:val="15"/>
                <w:color w:val="auto"/>
              </w:rPr>
            </w:pPr>
          </w:p>
        </w:tc>
        <w:tc>
          <w:tcPr>
            <w:tcW w:w="20" w:type="dxa"/>
            <w:vAlign w:val="bottom"/>
            <w:shd w:val="clear" w:color="auto" w:fill="0A4875"/>
          </w:tcPr>
          <w:p>
            <w:pPr>
              <w:spacing w:after="0"/>
              <w:rPr>
                <w:sz w:val="15"/>
                <w:szCs w:val="15"/>
                <w:color w:val="auto"/>
              </w:rPr>
            </w:pPr>
          </w:p>
        </w:tc>
        <w:tc>
          <w:tcPr>
            <w:tcW w:w="60" w:type="dxa"/>
            <w:vAlign w:val="bottom"/>
            <w:shd w:val="clear" w:color="auto" w:fill="0A4875"/>
          </w:tcPr>
          <w:p>
            <w:pPr>
              <w:spacing w:after="0"/>
              <w:rPr>
                <w:sz w:val="15"/>
                <w:szCs w:val="15"/>
                <w:color w:val="auto"/>
              </w:rPr>
            </w:pPr>
          </w:p>
        </w:tc>
        <w:tc>
          <w:tcPr>
            <w:tcW w:w="1160" w:type="dxa"/>
            <w:vAlign w:val="bottom"/>
            <w:shd w:val="clear" w:color="auto" w:fill="0A4875"/>
          </w:tcPr>
          <w:p>
            <w:pPr>
              <w:spacing w:after="0"/>
              <w:rPr>
                <w:sz w:val="15"/>
                <w:szCs w:val="15"/>
                <w:color w:val="auto"/>
              </w:rPr>
            </w:pPr>
          </w:p>
        </w:tc>
        <w:tc>
          <w:tcPr>
            <w:tcW w:w="4200" w:type="dxa"/>
            <w:vAlign w:val="bottom"/>
            <w:gridSpan w:val="3"/>
            <w:vMerge w:val="continue"/>
          </w:tcPr>
          <w:p>
            <w:pPr>
              <w:spacing w:after="0"/>
              <w:rPr>
                <w:sz w:val="15"/>
                <w:szCs w:val="15"/>
                <w:color w:val="auto"/>
              </w:rPr>
            </w:pPr>
          </w:p>
        </w:tc>
        <w:tc>
          <w:tcPr>
            <w:tcW w:w="5660" w:type="dxa"/>
            <w:vAlign w:val="bottom"/>
            <w:gridSpan w:val="3"/>
            <w:shd w:val="clear" w:color="auto" w:fill="E2E4E5"/>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w w:val="97"/>
              </w:rPr>
              <w:t>endgame, could cause serious harm to consumers, businesses, and markets. We hope that</w:t>
            </w:r>
          </w:p>
        </w:tc>
        <w:tc>
          <w:tcPr>
            <w:tcW w:w="80" w:type="dxa"/>
            <w:vAlign w:val="bottom"/>
            <w:tcBorders>
              <w:left w:val="single" w:sz="8" w:color="E2E4E5"/>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shd w:val="clear" w:color="auto" w:fill="0A4875"/>
          </w:tcPr>
          <w:p>
            <w:pPr>
              <w:spacing w:after="0"/>
              <w:rPr>
                <w:sz w:val="18"/>
                <w:szCs w:val="18"/>
                <w:color w:val="auto"/>
              </w:rPr>
            </w:pPr>
          </w:p>
        </w:tc>
        <w:tc>
          <w:tcPr>
            <w:tcW w:w="20" w:type="dxa"/>
            <w:vAlign w:val="bottom"/>
            <w:shd w:val="clear" w:color="auto" w:fill="0A4875"/>
          </w:tcPr>
          <w:p>
            <w:pPr>
              <w:spacing w:after="0"/>
              <w:rPr>
                <w:sz w:val="18"/>
                <w:szCs w:val="18"/>
                <w:color w:val="auto"/>
              </w:rPr>
            </w:pPr>
          </w:p>
        </w:tc>
        <w:tc>
          <w:tcPr>
            <w:tcW w:w="60" w:type="dxa"/>
            <w:vAlign w:val="bottom"/>
            <w:shd w:val="clear" w:color="auto" w:fill="0A4875"/>
          </w:tcPr>
          <w:p>
            <w:pPr>
              <w:spacing w:after="0"/>
              <w:rPr>
                <w:sz w:val="18"/>
                <w:szCs w:val="18"/>
                <w:color w:val="auto"/>
              </w:rPr>
            </w:pPr>
          </w:p>
        </w:tc>
        <w:tc>
          <w:tcPr>
            <w:tcW w:w="1160" w:type="dxa"/>
            <w:vAlign w:val="bottom"/>
            <w:shd w:val="clear" w:color="auto" w:fill="0A4875"/>
          </w:tcPr>
          <w:p>
            <w:pPr>
              <w:spacing w:after="0"/>
              <w:rPr>
                <w:sz w:val="18"/>
                <w:szCs w:val="18"/>
                <w:color w:val="auto"/>
              </w:rPr>
            </w:pPr>
          </w:p>
        </w:tc>
        <w:tc>
          <w:tcPr>
            <w:tcW w:w="4200" w:type="dxa"/>
            <w:vAlign w:val="bottom"/>
            <w:gridSpan w:val="3"/>
          </w:tcPr>
          <w:p>
            <w:pPr>
              <w:ind w:left="20"/>
              <w:spacing w:after="0"/>
              <w:rPr>
                <w:sz w:val="20"/>
                <w:szCs w:val="20"/>
                <w:color w:val="auto"/>
              </w:rPr>
            </w:pPr>
            <w:r>
              <w:rPr>
                <w:rFonts w:ascii="Wingdings" w:cs="Wingdings" w:eastAsia="Wingdings" w:hAnsi="Wingdings"/>
                <w:sz w:val="18"/>
                <w:szCs w:val="18"/>
                <w:b w:val="1"/>
                <w:bCs w:val="1"/>
                <w:color w:val="0A4875"/>
              </w:rPr>
              <w:t xml:space="preserve">n </w:t>
            </w:r>
            <w:r>
              <w:rPr>
                <w:rFonts w:ascii="Times New Roman" w:cs="Times New Roman" w:eastAsia="Times New Roman" w:hAnsi="Times New Roman"/>
                <w:sz w:val="16"/>
                <w:szCs w:val="16"/>
                <w:color w:val="000000"/>
              </w:rPr>
              <w:t>Reported revenue of $38.6 billion and managed revenue of</w:t>
            </w:r>
          </w:p>
        </w:tc>
        <w:tc>
          <w:tcPr>
            <w:tcW w:w="5660" w:type="dxa"/>
            <w:vAlign w:val="bottom"/>
            <w:gridSpan w:val="3"/>
            <w:shd w:val="clear" w:color="auto" w:fill="E2E4E5"/>
          </w:tcPr>
          <w:p>
            <w:pPr>
              <w:ind w:left="20"/>
              <w:spacing w:after="0"/>
              <w:rPr>
                <w:sz w:val="20"/>
                <w:szCs w:val="20"/>
                <w:color w:val="auto"/>
              </w:rPr>
            </w:pPr>
            <w:r>
              <w:rPr>
                <w:rFonts w:ascii="Times New Roman" w:cs="Times New Roman" w:eastAsia="Times New Roman" w:hAnsi="Times New Roman"/>
                <w:sz w:val="16"/>
                <w:szCs w:val="16"/>
                <w:i w:val="1"/>
                <w:iCs w:val="1"/>
                <w:color w:val="auto"/>
              </w:rPr>
              <w:t>regulators will make the necessary adjustments so the rules promote a strong financial</w:t>
            </w:r>
          </w:p>
        </w:tc>
        <w:tc>
          <w:tcPr>
            <w:tcW w:w="80" w:type="dxa"/>
            <w:vAlign w:val="bottom"/>
            <w:tcBorders>
              <w:left w:val="single" w:sz="8" w:color="E2E4E5"/>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0" w:type="dxa"/>
            <w:vAlign w:val="bottom"/>
            <w:shd w:val="clear" w:color="auto" w:fill="0A4875"/>
          </w:tcPr>
          <w:p>
            <w:pPr>
              <w:spacing w:after="0"/>
              <w:rPr>
                <w:sz w:val="24"/>
                <w:szCs w:val="24"/>
                <w:color w:val="auto"/>
              </w:rPr>
            </w:pPr>
          </w:p>
        </w:tc>
        <w:tc>
          <w:tcPr>
            <w:tcW w:w="20" w:type="dxa"/>
            <w:vAlign w:val="bottom"/>
            <w:shd w:val="clear" w:color="auto" w:fill="0A4875"/>
          </w:tcPr>
          <w:p>
            <w:pPr>
              <w:spacing w:after="0"/>
              <w:rPr>
                <w:sz w:val="24"/>
                <w:szCs w:val="24"/>
                <w:color w:val="auto"/>
              </w:rPr>
            </w:pPr>
          </w:p>
        </w:tc>
        <w:tc>
          <w:tcPr>
            <w:tcW w:w="60" w:type="dxa"/>
            <w:vAlign w:val="bottom"/>
            <w:shd w:val="clear" w:color="auto" w:fill="0A4875"/>
          </w:tcPr>
          <w:p>
            <w:pPr>
              <w:spacing w:after="0"/>
              <w:rPr>
                <w:sz w:val="24"/>
                <w:szCs w:val="24"/>
                <w:color w:val="auto"/>
              </w:rPr>
            </w:pPr>
          </w:p>
        </w:tc>
        <w:tc>
          <w:tcPr>
            <w:tcW w:w="1160" w:type="dxa"/>
            <w:vAlign w:val="bottom"/>
            <w:vMerge w:val="restart"/>
            <w:shd w:val="clear" w:color="auto" w:fill="0A4875"/>
          </w:tcPr>
          <w:p>
            <w:pPr>
              <w:jc w:val="center"/>
              <w:ind w:right="39"/>
              <w:spacing w:after="0"/>
              <w:rPr>
                <w:sz w:val="20"/>
                <w:szCs w:val="20"/>
                <w:color w:val="auto"/>
              </w:rPr>
            </w:pPr>
            <w:r>
              <w:rPr>
                <w:rFonts w:ascii="Arial" w:cs="Arial" w:eastAsia="Arial" w:hAnsi="Arial"/>
                <w:sz w:val="18"/>
                <w:szCs w:val="18"/>
                <w:b w:val="1"/>
                <w:bCs w:val="1"/>
                <w:color w:val="FFFFFF"/>
              </w:rPr>
              <w:t>Firmwide</w:t>
            </w:r>
          </w:p>
        </w:tc>
        <w:tc>
          <w:tcPr>
            <w:tcW w:w="26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$39.9 billion</w:t>
            </w:r>
            <w:r>
              <w:rPr>
                <w:rFonts w:ascii="Times New Roman" w:cs="Times New Roman" w:eastAsia="Times New Roman" w:hAnsi="Times New Roman"/>
                <w:sz w:val="21"/>
                <w:szCs w:val="21"/>
                <w:color w:val="auto"/>
                <w:vertAlign w:val="superscript"/>
              </w:rPr>
              <w:t>2</w:t>
            </w:r>
          </w:p>
        </w:tc>
        <w:tc>
          <w:tcPr>
            <w:tcW w:w="1580" w:type="dxa"/>
            <w:vAlign w:val="bottom"/>
          </w:tcPr>
          <w:p>
            <w:pPr>
              <w:spacing w:after="0"/>
              <w:rPr>
                <w:sz w:val="24"/>
                <w:szCs w:val="24"/>
                <w:color w:val="auto"/>
              </w:rPr>
            </w:pPr>
          </w:p>
        </w:tc>
        <w:tc>
          <w:tcPr>
            <w:tcW w:w="5660" w:type="dxa"/>
            <w:vAlign w:val="bottom"/>
            <w:gridSpan w:val="3"/>
            <w:shd w:val="clear" w:color="auto" w:fill="E2E4E5"/>
          </w:tcPr>
          <w:p>
            <w:pPr>
              <w:ind w:left="20"/>
              <w:spacing w:after="0"/>
              <w:rPr>
                <w:sz w:val="20"/>
                <w:szCs w:val="20"/>
                <w:color w:val="auto"/>
              </w:rPr>
            </w:pPr>
            <w:r>
              <w:rPr>
                <w:rFonts w:ascii="Times New Roman" w:cs="Times New Roman" w:eastAsia="Times New Roman" w:hAnsi="Times New Roman"/>
                <w:sz w:val="16"/>
                <w:szCs w:val="16"/>
                <w:i w:val="1"/>
                <w:iCs w:val="1"/>
                <w:color w:val="auto"/>
              </w:rPr>
              <w:t>system without causing undue consequences for end users.</w:t>
            </w:r>
          </w:p>
        </w:tc>
        <w:tc>
          <w:tcPr>
            <w:tcW w:w="80" w:type="dxa"/>
            <w:vAlign w:val="bottom"/>
            <w:tcBorders>
              <w:left w:val="single" w:sz="8" w:color="E2E4E5"/>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0A4875"/>
          </w:tcPr>
          <w:p>
            <w:pPr>
              <w:spacing w:after="0"/>
              <w:rPr>
                <w:sz w:val="15"/>
                <w:szCs w:val="15"/>
                <w:color w:val="auto"/>
              </w:rPr>
            </w:pPr>
          </w:p>
        </w:tc>
        <w:tc>
          <w:tcPr>
            <w:tcW w:w="20" w:type="dxa"/>
            <w:vAlign w:val="bottom"/>
            <w:shd w:val="clear" w:color="auto" w:fill="0A4875"/>
          </w:tcPr>
          <w:p>
            <w:pPr>
              <w:spacing w:after="0"/>
              <w:rPr>
                <w:sz w:val="15"/>
                <w:szCs w:val="15"/>
                <w:color w:val="auto"/>
              </w:rPr>
            </w:pPr>
          </w:p>
        </w:tc>
        <w:tc>
          <w:tcPr>
            <w:tcW w:w="60" w:type="dxa"/>
            <w:vAlign w:val="bottom"/>
            <w:shd w:val="clear" w:color="auto" w:fill="0A4875"/>
          </w:tcPr>
          <w:p>
            <w:pPr>
              <w:spacing w:after="0"/>
              <w:rPr>
                <w:sz w:val="15"/>
                <w:szCs w:val="15"/>
                <w:color w:val="auto"/>
              </w:rPr>
            </w:pPr>
          </w:p>
        </w:tc>
        <w:tc>
          <w:tcPr>
            <w:tcW w:w="1160" w:type="dxa"/>
            <w:vAlign w:val="bottom"/>
            <w:vMerge w:val="continue"/>
            <w:shd w:val="clear" w:color="auto" w:fill="0A4875"/>
          </w:tcPr>
          <w:p>
            <w:pPr>
              <w:spacing w:after="0"/>
              <w:rPr>
                <w:sz w:val="15"/>
                <w:szCs w:val="15"/>
                <w:color w:val="auto"/>
              </w:rPr>
            </w:pPr>
          </w:p>
        </w:tc>
        <w:tc>
          <w:tcPr>
            <w:tcW w:w="4200" w:type="dxa"/>
            <w:vAlign w:val="bottom"/>
            <w:gridSpan w:val="3"/>
          </w:tcPr>
          <w:p>
            <w:pPr>
              <w:ind w:left="20"/>
              <w:spacing w:after="0" w:line="175" w:lineRule="exact"/>
              <w:rPr>
                <w:sz w:val="20"/>
                <w:szCs w:val="20"/>
                <w:color w:val="auto"/>
              </w:rPr>
            </w:pPr>
            <w:r>
              <w:rPr>
                <w:rFonts w:ascii="Wingdings" w:cs="Wingdings" w:eastAsia="Wingdings" w:hAnsi="Wingdings"/>
                <w:sz w:val="18"/>
                <w:szCs w:val="18"/>
                <w:b w:val="1"/>
                <w:bCs w:val="1"/>
                <w:color w:val="0A4875"/>
              </w:rPr>
              <w:t xml:space="preserve">n </w:t>
            </w:r>
            <w:r>
              <w:rPr>
                <w:rFonts w:ascii="Times New Roman" w:cs="Times New Roman" w:eastAsia="Times New Roman" w:hAnsi="Times New Roman"/>
                <w:sz w:val="16"/>
                <w:szCs w:val="16"/>
                <w:color w:val="000000"/>
              </w:rPr>
              <w:t>Expense of $24.5 billion; reported overhead ratio of 63%;</w:t>
            </w:r>
          </w:p>
        </w:tc>
        <w:tc>
          <w:tcPr>
            <w:tcW w:w="5660" w:type="dxa"/>
            <w:vAlign w:val="bottom"/>
            <w:gridSpan w:val="3"/>
            <w:vMerge w:val="restart"/>
            <w:shd w:val="clear" w:color="auto" w:fill="E2E4E5"/>
          </w:tcPr>
          <w:p>
            <w:pPr>
              <w:ind w:left="20"/>
              <w:spacing w:after="0"/>
              <w:rPr>
                <w:sz w:val="20"/>
                <w:szCs w:val="20"/>
                <w:color w:val="auto"/>
              </w:rPr>
            </w:pPr>
            <w:r>
              <w:rPr>
                <w:rFonts w:ascii="Times New Roman" w:cs="Times New Roman" w:eastAsia="Times New Roman" w:hAnsi="Times New Roman"/>
                <w:sz w:val="16"/>
                <w:szCs w:val="16"/>
                <w:i w:val="1"/>
                <w:iCs w:val="1"/>
                <w:color w:val="auto"/>
              </w:rPr>
              <w:t>2023 was a good example of the power of our investment philosophy and fortress</w:t>
            </w:r>
          </w:p>
        </w:tc>
        <w:tc>
          <w:tcPr>
            <w:tcW w:w="80" w:type="dxa"/>
            <w:vAlign w:val="bottom"/>
            <w:tcBorders>
              <w:left w:val="single" w:sz="8" w:color="E2E4E5"/>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0A4875"/>
          </w:tcPr>
          <w:p>
            <w:pPr>
              <w:spacing w:after="0"/>
              <w:rPr>
                <w:sz w:val="8"/>
                <w:szCs w:val="8"/>
                <w:color w:val="auto"/>
              </w:rPr>
            </w:pPr>
          </w:p>
        </w:tc>
        <w:tc>
          <w:tcPr>
            <w:tcW w:w="20" w:type="dxa"/>
            <w:vAlign w:val="bottom"/>
            <w:shd w:val="clear" w:color="auto" w:fill="0A4875"/>
          </w:tcPr>
          <w:p>
            <w:pPr>
              <w:spacing w:after="0"/>
              <w:rPr>
                <w:sz w:val="8"/>
                <w:szCs w:val="8"/>
                <w:color w:val="auto"/>
              </w:rPr>
            </w:pPr>
          </w:p>
        </w:tc>
        <w:tc>
          <w:tcPr>
            <w:tcW w:w="60" w:type="dxa"/>
            <w:vAlign w:val="bottom"/>
            <w:shd w:val="clear" w:color="auto" w:fill="0A4875"/>
          </w:tcPr>
          <w:p>
            <w:pPr>
              <w:spacing w:after="0"/>
              <w:rPr>
                <w:sz w:val="8"/>
                <w:szCs w:val="8"/>
                <w:color w:val="auto"/>
              </w:rPr>
            </w:pPr>
          </w:p>
        </w:tc>
        <w:tc>
          <w:tcPr>
            <w:tcW w:w="1160" w:type="dxa"/>
            <w:vAlign w:val="bottom"/>
            <w:vMerge w:val="restart"/>
            <w:shd w:val="clear" w:color="auto" w:fill="0A4875"/>
          </w:tcPr>
          <w:p>
            <w:pPr>
              <w:jc w:val="center"/>
              <w:ind w:right="39"/>
              <w:spacing w:after="0"/>
              <w:rPr>
                <w:sz w:val="20"/>
                <w:szCs w:val="20"/>
                <w:color w:val="auto"/>
              </w:rPr>
            </w:pPr>
            <w:r>
              <w:rPr>
                <w:rFonts w:ascii="Arial" w:cs="Arial" w:eastAsia="Arial" w:hAnsi="Arial"/>
                <w:sz w:val="18"/>
                <w:szCs w:val="18"/>
                <w:b w:val="1"/>
                <w:bCs w:val="1"/>
                <w:color w:val="FFFFFF"/>
              </w:rPr>
              <w:t>Metrics</w:t>
            </w:r>
          </w:p>
        </w:tc>
        <w:tc>
          <w:tcPr>
            <w:tcW w:w="42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6"/>
                <w:szCs w:val="16"/>
                <w:color w:val="auto"/>
              </w:rPr>
              <w:t>managed overhead ratio</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of 61%; expense included the $2.9</w:t>
            </w:r>
          </w:p>
        </w:tc>
        <w:tc>
          <w:tcPr>
            <w:tcW w:w="5660" w:type="dxa"/>
            <w:vAlign w:val="bottom"/>
            <w:gridSpan w:val="3"/>
            <w:vMerge w:val="continue"/>
            <w:shd w:val="clear" w:color="auto" w:fill="E2E4E5"/>
          </w:tcPr>
          <w:p>
            <w:pPr>
              <w:spacing w:after="0"/>
              <w:rPr>
                <w:sz w:val="8"/>
                <w:szCs w:val="8"/>
                <w:color w:val="auto"/>
              </w:rPr>
            </w:pPr>
          </w:p>
        </w:tc>
        <w:tc>
          <w:tcPr>
            <w:tcW w:w="80" w:type="dxa"/>
            <w:vAlign w:val="bottom"/>
            <w:tcBorders>
              <w:left w:val="single" w:sz="8" w:color="E2E4E5"/>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40" w:type="dxa"/>
            <w:vAlign w:val="bottom"/>
            <w:shd w:val="clear" w:color="auto" w:fill="0A4875"/>
          </w:tcPr>
          <w:p>
            <w:pPr>
              <w:spacing w:after="0"/>
              <w:rPr>
                <w:sz w:val="14"/>
                <w:szCs w:val="14"/>
                <w:color w:val="auto"/>
              </w:rPr>
            </w:pPr>
          </w:p>
        </w:tc>
        <w:tc>
          <w:tcPr>
            <w:tcW w:w="20" w:type="dxa"/>
            <w:vAlign w:val="bottom"/>
            <w:shd w:val="clear" w:color="auto" w:fill="0A4875"/>
          </w:tcPr>
          <w:p>
            <w:pPr>
              <w:spacing w:after="0"/>
              <w:rPr>
                <w:sz w:val="14"/>
                <w:szCs w:val="14"/>
                <w:color w:val="auto"/>
              </w:rPr>
            </w:pPr>
          </w:p>
        </w:tc>
        <w:tc>
          <w:tcPr>
            <w:tcW w:w="60" w:type="dxa"/>
            <w:vAlign w:val="bottom"/>
            <w:shd w:val="clear" w:color="auto" w:fill="0A4875"/>
          </w:tcPr>
          <w:p>
            <w:pPr>
              <w:spacing w:after="0"/>
              <w:rPr>
                <w:sz w:val="14"/>
                <w:szCs w:val="14"/>
                <w:color w:val="auto"/>
              </w:rPr>
            </w:pPr>
          </w:p>
        </w:tc>
        <w:tc>
          <w:tcPr>
            <w:tcW w:w="1160" w:type="dxa"/>
            <w:vAlign w:val="bottom"/>
            <w:vMerge w:val="continue"/>
            <w:shd w:val="clear" w:color="auto" w:fill="0A4875"/>
          </w:tcPr>
          <w:p>
            <w:pPr>
              <w:spacing w:after="0"/>
              <w:rPr>
                <w:sz w:val="14"/>
                <w:szCs w:val="14"/>
                <w:color w:val="auto"/>
              </w:rPr>
            </w:pPr>
          </w:p>
        </w:tc>
        <w:tc>
          <w:tcPr>
            <w:tcW w:w="4200" w:type="dxa"/>
            <w:vAlign w:val="bottom"/>
            <w:gridSpan w:val="3"/>
            <w:vMerge w:val="continue"/>
          </w:tcPr>
          <w:p>
            <w:pPr>
              <w:spacing w:after="0"/>
              <w:rPr>
                <w:sz w:val="14"/>
                <w:szCs w:val="14"/>
                <w:color w:val="auto"/>
              </w:rPr>
            </w:pPr>
          </w:p>
        </w:tc>
        <w:tc>
          <w:tcPr>
            <w:tcW w:w="5660" w:type="dxa"/>
            <w:vAlign w:val="bottom"/>
            <w:gridSpan w:val="3"/>
            <w:shd w:val="clear" w:color="auto" w:fill="E2E4E5"/>
          </w:tcPr>
          <w:p>
            <w:pPr>
              <w:ind w:left="20"/>
              <w:spacing w:after="0" w:line="161" w:lineRule="exact"/>
              <w:rPr>
                <w:sz w:val="20"/>
                <w:szCs w:val="20"/>
                <w:color w:val="auto"/>
              </w:rPr>
            </w:pPr>
            <w:r>
              <w:rPr>
                <w:rFonts w:ascii="Times New Roman" w:cs="Times New Roman" w:eastAsia="Times New Roman" w:hAnsi="Times New Roman"/>
                <w:sz w:val="16"/>
                <w:szCs w:val="16"/>
                <w:i w:val="1"/>
                <w:iCs w:val="1"/>
                <w:color w:val="auto"/>
              </w:rPr>
              <w:t>principles, as well as the value of being there for clients—as we always are—in both</w:t>
            </w:r>
          </w:p>
        </w:tc>
        <w:tc>
          <w:tcPr>
            <w:tcW w:w="80" w:type="dxa"/>
            <w:vAlign w:val="bottom"/>
            <w:tcBorders>
              <w:left w:val="single" w:sz="8" w:color="E2E4E5"/>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80" w:type="dxa"/>
            <w:vAlign w:val="bottom"/>
            <w:gridSpan w:val="4"/>
            <w:vMerge w:val="restart"/>
            <w:shd w:val="clear" w:color="auto" w:fill="0A4875"/>
          </w:tcPr>
          <w:p>
            <w:pPr>
              <w:jc w:val="center"/>
              <w:spacing w:after="0"/>
              <w:rPr>
                <w:sz w:val="20"/>
                <w:szCs w:val="20"/>
                <w:color w:val="auto"/>
              </w:rPr>
            </w:pPr>
            <w:r>
              <w:rPr>
                <w:rFonts w:ascii="Arial" w:cs="Arial" w:eastAsia="Arial" w:hAnsi="Arial"/>
                <w:sz w:val="14"/>
                <w:szCs w:val="14"/>
                <w:b w:val="1"/>
                <w:bCs w:val="1"/>
                <w:i w:val="1"/>
                <w:iCs w:val="1"/>
                <w:color w:val="FFFFFF"/>
              </w:rPr>
              <w:t>4Q23 ROTCE 15%</w:t>
            </w:r>
          </w:p>
        </w:tc>
        <w:tc>
          <w:tcPr>
            <w:tcW w:w="4200" w:type="dxa"/>
            <w:vAlign w:val="bottom"/>
            <w:gridSpan w:val="3"/>
          </w:tcPr>
          <w:p>
            <w:pPr>
              <w:ind w:left="260"/>
              <w:spacing w:after="0" w:line="175" w:lineRule="exact"/>
              <w:rPr>
                <w:sz w:val="20"/>
                <w:szCs w:val="20"/>
                <w:color w:val="auto"/>
              </w:rPr>
            </w:pPr>
            <w:r>
              <w:rPr>
                <w:rFonts w:ascii="Times New Roman" w:cs="Times New Roman" w:eastAsia="Times New Roman" w:hAnsi="Times New Roman"/>
                <w:sz w:val="15"/>
                <w:szCs w:val="15"/>
                <w:color w:val="auto"/>
              </w:rPr>
              <w:t>billion FDIC special assessment</w:t>
            </w: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5"/>
                <w:szCs w:val="15"/>
                <w:color w:val="auto"/>
              </w:rPr>
              <w:t>, which increased the</w:t>
            </w:r>
          </w:p>
        </w:tc>
        <w:tc>
          <w:tcPr>
            <w:tcW w:w="5660" w:type="dxa"/>
            <w:vAlign w:val="bottom"/>
            <w:gridSpan w:val="3"/>
            <w:shd w:val="clear" w:color="auto" w:fill="E2E4E5"/>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w w:val="98"/>
              </w:rPr>
              <w:t>good times and bad times. The result was continued growth broadly across the Firm. We</w:t>
            </w:r>
          </w:p>
        </w:tc>
        <w:tc>
          <w:tcPr>
            <w:tcW w:w="80" w:type="dxa"/>
            <w:vAlign w:val="bottom"/>
            <w:tcBorders>
              <w:left w:val="single" w:sz="8" w:color="E2E4E5"/>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80" w:type="dxa"/>
            <w:vAlign w:val="bottom"/>
            <w:gridSpan w:val="4"/>
            <w:vMerge w:val="continue"/>
            <w:shd w:val="clear" w:color="auto" w:fill="0A4875"/>
          </w:tcPr>
          <w:p>
            <w:pPr>
              <w:spacing w:after="0"/>
              <w:rPr>
                <w:sz w:val="14"/>
                <w:szCs w:val="14"/>
                <w:color w:val="auto"/>
              </w:rPr>
            </w:pPr>
          </w:p>
        </w:tc>
        <w:tc>
          <w:tcPr>
            <w:tcW w:w="262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6"/>
                <w:szCs w:val="16"/>
                <w:color w:val="auto"/>
              </w:rPr>
              <w:t>overhead ratio by 7%</w:t>
            </w:r>
          </w:p>
        </w:tc>
        <w:tc>
          <w:tcPr>
            <w:tcW w:w="1580" w:type="dxa"/>
            <w:vAlign w:val="bottom"/>
          </w:tcPr>
          <w:p>
            <w:pPr>
              <w:spacing w:after="0"/>
              <w:rPr>
                <w:sz w:val="14"/>
                <w:szCs w:val="14"/>
                <w:color w:val="auto"/>
              </w:rPr>
            </w:pPr>
          </w:p>
        </w:tc>
        <w:tc>
          <w:tcPr>
            <w:tcW w:w="5660" w:type="dxa"/>
            <w:vAlign w:val="bottom"/>
            <w:gridSpan w:val="3"/>
            <w:shd w:val="clear" w:color="auto" w:fill="E2E4E5"/>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will highlight a few examples: CCB added over 2 million net new checking accounts in</w:t>
            </w:r>
          </w:p>
        </w:tc>
        <w:tc>
          <w:tcPr>
            <w:tcW w:w="80" w:type="dxa"/>
            <w:vAlign w:val="bottom"/>
            <w:tcBorders>
              <w:left w:val="single" w:sz="8" w:color="E2E4E5"/>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shd w:val="clear" w:color="auto" w:fill="0A4875"/>
          </w:tcPr>
          <w:p>
            <w:pPr>
              <w:spacing w:after="0"/>
              <w:rPr>
                <w:sz w:val="16"/>
                <w:szCs w:val="16"/>
                <w:color w:val="auto"/>
              </w:rPr>
            </w:pPr>
          </w:p>
        </w:tc>
        <w:tc>
          <w:tcPr>
            <w:tcW w:w="1240" w:type="dxa"/>
            <w:vAlign w:val="bottom"/>
            <w:gridSpan w:val="3"/>
            <w:shd w:val="clear" w:color="auto" w:fill="0A4875"/>
          </w:tcPr>
          <w:p>
            <w:pPr>
              <w:jc w:val="center"/>
              <w:spacing w:after="0"/>
              <w:rPr>
                <w:sz w:val="20"/>
                <w:szCs w:val="20"/>
                <w:color w:val="auto"/>
              </w:rPr>
            </w:pPr>
            <w:r>
              <w:rPr>
                <w:rFonts w:ascii="Arial" w:cs="Arial" w:eastAsia="Arial" w:hAnsi="Arial"/>
                <w:sz w:val="14"/>
                <w:szCs w:val="14"/>
                <w:b w:val="1"/>
                <w:bCs w:val="1"/>
                <w:i w:val="1"/>
                <w:iCs w:val="1"/>
                <w:color w:val="FFFFFF"/>
              </w:rPr>
              <w:t>2023 ROTCE 21%</w:t>
            </w:r>
          </w:p>
        </w:tc>
        <w:tc>
          <w:tcPr>
            <w:tcW w:w="4200" w:type="dxa"/>
            <w:vAlign w:val="bottom"/>
            <w:gridSpan w:val="3"/>
            <w:vMerge w:val="restart"/>
          </w:tcPr>
          <w:p>
            <w:pPr>
              <w:ind w:left="20"/>
              <w:spacing w:after="0"/>
              <w:rPr>
                <w:sz w:val="20"/>
                <w:szCs w:val="20"/>
                <w:color w:val="auto"/>
              </w:rPr>
            </w:pPr>
            <w:r>
              <w:rPr>
                <w:rFonts w:ascii="Wingdings" w:cs="Wingdings" w:eastAsia="Wingdings" w:hAnsi="Wingdings"/>
                <w:sz w:val="18"/>
                <w:szCs w:val="18"/>
                <w:b w:val="1"/>
                <w:bCs w:val="1"/>
                <w:color w:val="0A4875"/>
              </w:rPr>
              <w:t xml:space="preserve">n </w:t>
            </w:r>
            <w:r>
              <w:rPr>
                <w:rFonts w:ascii="Times New Roman" w:cs="Times New Roman" w:eastAsia="Times New Roman" w:hAnsi="Times New Roman"/>
                <w:sz w:val="16"/>
                <w:szCs w:val="16"/>
                <w:color w:val="000000"/>
              </w:rPr>
              <w:t>Credit costs of $2.8 billion included $2.2 billion of net</w:t>
            </w:r>
          </w:p>
        </w:tc>
        <w:tc>
          <w:tcPr>
            <w:tcW w:w="5660" w:type="dxa"/>
            <w:vAlign w:val="bottom"/>
            <w:gridSpan w:val="3"/>
            <w:shd w:val="clear" w:color="auto" w:fill="E2E4E5"/>
          </w:tcPr>
          <w:p>
            <w:pPr>
              <w:ind w:left="20"/>
              <w:spacing w:after="0"/>
              <w:rPr>
                <w:sz w:val="20"/>
                <w:szCs w:val="20"/>
                <w:color w:val="auto"/>
              </w:rPr>
            </w:pPr>
            <w:r>
              <w:rPr>
                <w:rFonts w:ascii="Times New Roman" w:cs="Times New Roman" w:eastAsia="Times New Roman" w:hAnsi="Times New Roman"/>
                <w:sz w:val="16"/>
                <w:szCs w:val="16"/>
                <w:i w:val="1"/>
                <w:iCs w:val="1"/>
                <w:color w:val="auto"/>
                <w:w w:val="99"/>
              </w:rPr>
              <w:t>2023; CIB maintained its #1 rank in both IB and Markets and gained over 100bps of IB</w:t>
            </w:r>
          </w:p>
        </w:tc>
        <w:tc>
          <w:tcPr>
            <w:tcW w:w="80" w:type="dxa"/>
            <w:vAlign w:val="bottom"/>
            <w:tcBorders>
              <w:left w:val="single" w:sz="8" w:color="E2E4E5"/>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shd w:val="clear" w:color="auto" w:fill="0A4875"/>
          </w:tcPr>
          <w:p>
            <w:pPr>
              <w:spacing w:after="0"/>
              <w:rPr>
                <w:sz w:val="8"/>
                <w:szCs w:val="8"/>
                <w:color w:val="auto"/>
              </w:rPr>
            </w:pPr>
          </w:p>
        </w:tc>
        <w:tc>
          <w:tcPr>
            <w:tcW w:w="20" w:type="dxa"/>
            <w:vAlign w:val="bottom"/>
            <w:shd w:val="clear" w:color="auto" w:fill="0A4875"/>
          </w:tcPr>
          <w:p>
            <w:pPr>
              <w:spacing w:after="0"/>
              <w:rPr>
                <w:sz w:val="8"/>
                <w:szCs w:val="8"/>
                <w:color w:val="auto"/>
              </w:rPr>
            </w:pPr>
          </w:p>
        </w:tc>
        <w:tc>
          <w:tcPr>
            <w:tcW w:w="60" w:type="dxa"/>
            <w:vAlign w:val="bottom"/>
            <w:shd w:val="clear" w:color="auto" w:fill="0A4875"/>
          </w:tcPr>
          <w:p>
            <w:pPr>
              <w:spacing w:after="0"/>
              <w:rPr>
                <w:sz w:val="8"/>
                <w:szCs w:val="8"/>
                <w:color w:val="auto"/>
              </w:rPr>
            </w:pPr>
          </w:p>
        </w:tc>
        <w:tc>
          <w:tcPr>
            <w:tcW w:w="1160" w:type="dxa"/>
            <w:vAlign w:val="bottom"/>
            <w:shd w:val="clear" w:color="auto" w:fill="0A4875"/>
          </w:tcPr>
          <w:p>
            <w:pPr>
              <w:spacing w:after="0"/>
              <w:rPr>
                <w:sz w:val="8"/>
                <w:szCs w:val="8"/>
                <w:color w:val="auto"/>
              </w:rPr>
            </w:pPr>
          </w:p>
        </w:tc>
        <w:tc>
          <w:tcPr>
            <w:tcW w:w="4200" w:type="dxa"/>
            <w:vAlign w:val="bottom"/>
            <w:gridSpan w:val="3"/>
            <w:vMerge w:val="continue"/>
          </w:tcPr>
          <w:p>
            <w:pPr>
              <w:spacing w:after="0"/>
              <w:rPr>
                <w:sz w:val="8"/>
                <w:szCs w:val="8"/>
                <w:color w:val="auto"/>
              </w:rPr>
            </w:pPr>
          </w:p>
        </w:tc>
        <w:tc>
          <w:tcPr>
            <w:tcW w:w="5660" w:type="dxa"/>
            <w:vAlign w:val="bottom"/>
            <w:gridSpan w:val="3"/>
            <w:vMerge w:val="restart"/>
            <w:shd w:val="clear" w:color="auto" w:fill="E2E4E5"/>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market share; CB added over 5,000 new relationships, roughly 2x the prior year; and</w:t>
            </w:r>
          </w:p>
        </w:tc>
        <w:tc>
          <w:tcPr>
            <w:tcW w:w="80" w:type="dxa"/>
            <w:vAlign w:val="bottom"/>
            <w:tcBorders>
              <w:left w:val="single" w:sz="8" w:color="E2E4E5"/>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0" w:type="dxa"/>
            <w:vAlign w:val="bottom"/>
            <w:shd w:val="clear" w:color="auto" w:fill="0A4875"/>
          </w:tcPr>
          <w:p>
            <w:pPr>
              <w:spacing w:after="0"/>
              <w:rPr>
                <w:sz w:val="5"/>
                <w:szCs w:val="5"/>
                <w:color w:val="auto"/>
              </w:rPr>
            </w:pPr>
          </w:p>
        </w:tc>
        <w:tc>
          <w:tcPr>
            <w:tcW w:w="20" w:type="dxa"/>
            <w:vAlign w:val="bottom"/>
            <w:shd w:val="clear" w:color="auto" w:fill="0A4875"/>
          </w:tcPr>
          <w:p>
            <w:pPr>
              <w:spacing w:after="0"/>
              <w:rPr>
                <w:sz w:val="5"/>
                <w:szCs w:val="5"/>
                <w:color w:val="auto"/>
              </w:rPr>
            </w:pPr>
          </w:p>
        </w:tc>
        <w:tc>
          <w:tcPr>
            <w:tcW w:w="60" w:type="dxa"/>
            <w:vAlign w:val="bottom"/>
            <w:shd w:val="clear" w:color="auto" w:fill="0A4875"/>
          </w:tcPr>
          <w:p>
            <w:pPr>
              <w:spacing w:after="0"/>
              <w:rPr>
                <w:sz w:val="5"/>
                <w:szCs w:val="5"/>
                <w:color w:val="auto"/>
              </w:rPr>
            </w:pPr>
          </w:p>
        </w:tc>
        <w:tc>
          <w:tcPr>
            <w:tcW w:w="1160" w:type="dxa"/>
            <w:vAlign w:val="bottom"/>
            <w:shd w:val="clear" w:color="auto" w:fill="0A4875"/>
          </w:tcPr>
          <w:p>
            <w:pPr>
              <w:spacing w:after="0"/>
              <w:rPr>
                <w:sz w:val="5"/>
                <w:szCs w:val="5"/>
                <w:color w:val="auto"/>
              </w:rPr>
            </w:pPr>
          </w:p>
        </w:tc>
        <w:tc>
          <w:tcPr>
            <w:tcW w:w="42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6"/>
                <w:szCs w:val="16"/>
                <w:color w:val="auto"/>
              </w:rPr>
              <w:t>charge-offs and a $598 million net reserve build</w:t>
            </w:r>
          </w:p>
        </w:tc>
        <w:tc>
          <w:tcPr>
            <w:tcW w:w="5660" w:type="dxa"/>
            <w:vAlign w:val="bottom"/>
            <w:gridSpan w:val="3"/>
            <w:vMerge w:val="continue"/>
            <w:shd w:val="clear" w:color="auto" w:fill="E2E4E5"/>
          </w:tcPr>
          <w:p>
            <w:pPr>
              <w:spacing w:after="0"/>
              <w:rPr>
                <w:sz w:val="5"/>
                <w:szCs w:val="5"/>
                <w:color w:val="auto"/>
              </w:rPr>
            </w:pPr>
          </w:p>
        </w:tc>
        <w:tc>
          <w:tcPr>
            <w:tcW w:w="80" w:type="dxa"/>
            <w:vAlign w:val="bottom"/>
            <w:tcBorders>
              <w:left w:val="single" w:sz="8" w:color="E2E4E5"/>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0" w:type="dxa"/>
            <w:vAlign w:val="bottom"/>
            <w:shd w:val="clear" w:color="auto" w:fill="0A4875"/>
          </w:tcPr>
          <w:p>
            <w:pPr>
              <w:spacing w:after="0"/>
              <w:rPr>
                <w:sz w:val="12"/>
                <w:szCs w:val="12"/>
                <w:color w:val="auto"/>
              </w:rPr>
            </w:pPr>
          </w:p>
        </w:tc>
        <w:tc>
          <w:tcPr>
            <w:tcW w:w="20" w:type="dxa"/>
            <w:vAlign w:val="bottom"/>
            <w:shd w:val="clear" w:color="auto" w:fill="0A4875"/>
          </w:tcPr>
          <w:p>
            <w:pPr>
              <w:spacing w:after="0"/>
              <w:rPr>
                <w:sz w:val="12"/>
                <w:szCs w:val="12"/>
                <w:color w:val="auto"/>
              </w:rPr>
            </w:pPr>
          </w:p>
        </w:tc>
        <w:tc>
          <w:tcPr>
            <w:tcW w:w="60" w:type="dxa"/>
            <w:vAlign w:val="bottom"/>
            <w:shd w:val="clear" w:color="auto" w:fill="0A4875"/>
          </w:tcPr>
          <w:p>
            <w:pPr>
              <w:spacing w:after="0"/>
              <w:rPr>
                <w:sz w:val="12"/>
                <w:szCs w:val="12"/>
                <w:color w:val="auto"/>
              </w:rPr>
            </w:pPr>
          </w:p>
        </w:tc>
        <w:tc>
          <w:tcPr>
            <w:tcW w:w="1160" w:type="dxa"/>
            <w:vAlign w:val="bottom"/>
            <w:shd w:val="clear" w:color="auto" w:fill="0A4875"/>
          </w:tcPr>
          <w:p>
            <w:pPr>
              <w:spacing w:after="0"/>
              <w:rPr>
                <w:sz w:val="12"/>
                <w:szCs w:val="12"/>
                <w:color w:val="auto"/>
              </w:rPr>
            </w:pPr>
          </w:p>
        </w:tc>
        <w:tc>
          <w:tcPr>
            <w:tcW w:w="4200" w:type="dxa"/>
            <w:vAlign w:val="bottom"/>
            <w:gridSpan w:val="3"/>
            <w:vMerge w:val="continue"/>
          </w:tcPr>
          <w:p>
            <w:pPr>
              <w:spacing w:after="0"/>
              <w:rPr>
                <w:sz w:val="12"/>
                <w:szCs w:val="12"/>
                <w:color w:val="auto"/>
              </w:rPr>
            </w:pPr>
          </w:p>
        </w:tc>
        <w:tc>
          <w:tcPr>
            <w:tcW w:w="5660" w:type="dxa"/>
            <w:vAlign w:val="bottom"/>
            <w:gridSpan w:val="3"/>
            <w:vMerge w:val="restart"/>
            <w:shd w:val="clear" w:color="auto" w:fill="E2E4E5"/>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w w:val="99"/>
              </w:rPr>
              <w:t>AWM saw record client asset net inflows of $490 billion, over 20% higher than its prior</w:t>
            </w:r>
          </w:p>
        </w:tc>
        <w:tc>
          <w:tcPr>
            <w:tcW w:w="80" w:type="dxa"/>
            <w:vAlign w:val="bottom"/>
            <w:tcBorders>
              <w:left w:val="single" w:sz="8" w:color="E2E4E5"/>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0" w:type="dxa"/>
            <w:vAlign w:val="bottom"/>
            <w:shd w:val="clear" w:color="auto" w:fill="0A4875"/>
          </w:tcPr>
          <w:p>
            <w:pPr>
              <w:spacing w:after="0"/>
              <w:rPr>
                <w:sz w:val="2"/>
                <w:szCs w:val="2"/>
                <w:color w:val="auto"/>
              </w:rPr>
            </w:pPr>
          </w:p>
        </w:tc>
        <w:tc>
          <w:tcPr>
            <w:tcW w:w="20" w:type="dxa"/>
            <w:vAlign w:val="bottom"/>
            <w:shd w:val="clear" w:color="auto" w:fill="0A4875"/>
          </w:tcPr>
          <w:p>
            <w:pPr>
              <w:spacing w:after="0"/>
              <w:rPr>
                <w:sz w:val="2"/>
                <w:szCs w:val="2"/>
                <w:color w:val="auto"/>
              </w:rPr>
            </w:pPr>
          </w:p>
        </w:tc>
        <w:tc>
          <w:tcPr>
            <w:tcW w:w="60" w:type="dxa"/>
            <w:vAlign w:val="bottom"/>
            <w:shd w:val="clear" w:color="auto" w:fill="0A4875"/>
          </w:tcPr>
          <w:p>
            <w:pPr>
              <w:spacing w:after="0"/>
              <w:rPr>
                <w:sz w:val="2"/>
                <w:szCs w:val="2"/>
                <w:color w:val="auto"/>
              </w:rPr>
            </w:pPr>
          </w:p>
        </w:tc>
        <w:tc>
          <w:tcPr>
            <w:tcW w:w="1160" w:type="dxa"/>
            <w:vAlign w:val="bottom"/>
            <w:shd w:val="clear" w:color="auto" w:fill="0A4875"/>
          </w:tcPr>
          <w:p>
            <w:pPr>
              <w:spacing w:after="0"/>
              <w:rPr>
                <w:sz w:val="2"/>
                <w:szCs w:val="2"/>
                <w:color w:val="auto"/>
              </w:rPr>
            </w:pPr>
          </w:p>
        </w:tc>
        <w:tc>
          <w:tcPr>
            <w:tcW w:w="4200" w:type="dxa"/>
            <w:vAlign w:val="bottom"/>
            <w:gridSpan w:val="3"/>
            <w:vMerge w:val="restart"/>
          </w:tcPr>
          <w:p>
            <w:pPr>
              <w:ind w:left="20"/>
              <w:spacing w:after="0" w:line="235" w:lineRule="exact"/>
              <w:rPr>
                <w:sz w:val="20"/>
                <w:szCs w:val="20"/>
                <w:color w:val="auto"/>
              </w:rPr>
            </w:pPr>
            <w:r>
              <w:rPr>
                <w:rFonts w:ascii="Wingdings" w:cs="Wingdings" w:eastAsia="Wingdings" w:hAnsi="Wingdings"/>
                <w:sz w:val="18"/>
                <w:szCs w:val="18"/>
                <w:b w:val="1"/>
                <w:bCs w:val="1"/>
                <w:color w:val="0A4875"/>
                <w:w w:val="99"/>
              </w:rPr>
              <w:t xml:space="preserve">n </w:t>
            </w:r>
            <w:r>
              <w:rPr>
                <w:rFonts w:ascii="Times New Roman" w:cs="Times New Roman" w:eastAsia="Times New Roman" w:hAnsi="Times New Roman"/>
                <w:sz w:val="16"/>
                <w:szCs w:val="16"/>
                <w:color w:val="000000"/>
                <w:w w:val="99"/>
              </w:rPr>
              <w:t>Average loans up 17%, or up 4% excluding First Republic</w:t>
            </w:r>
            <w:r>
              <w:rPr>
                <w:rFonts w:ascii="Times New Roman" w:cs="Times New Roman" w:eastAsia="Times New Roman" w:hAnsi="Times New Roman"/>
                <w:sz w:val="21"/>
                <w:szCs w:val="21"/>
                <w:color w:val="000000"/>
                <w:w w:val="99"/>
                <w:vertAlign w:val="superscript"/>
              </w:rPr>
              <w:t>7</w:t>
            </w:r>
            <w:r>
              <w:rPr>
                <w:rFonts w:ascii="Times New Roman" w:cs="Times New Roman" w:eastAsia="Times New Roman" w:hAnsi="Times New Roman"/>
                <w:sz w:val="16"/>
                <w:szCs w:val="16"/>
                <w:color w:val="000000"/>
                <w:w w:val="99"/>
              </w:rPr>
              <w:t>;</w:t>
            </w:r>
          </w:p>
        </w:tc>
        <w:tc>
          <w:tcPr>
            <w:tcW w:w="5660" w:type="dxa"/>
            <w:vAlign w:val="bottom"/>
            <w:gridSpan w:val="3"/>
            <w:vMerge w:val="continue"/>
            <w:shd w:val="clear" w:color="auto" w:fill="E2E4E5"/>
          </w:tcPr>
          <w:p>
            <w:pPr>
              <w:spacing w:after="0"/>
              <w:rPr>
                <w:sz w:val="2"/>
                <w:szCs w:val="2"/>
                <w:color w:val="auto"/>
              </w:rPr>
            </w:pPr>
          </w:p>
        </w:tc>
        <w:tc>
          <w:tcPr>
            <w:tcW w:w="80" w:type="dxa"/>
            <w:vAlign w:val="bottom"/>
            <w:tcBorders>
              <w:left w:val="single" w:sz="8" w:color="E2E4E5"/>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0" w:type="dxa"/>
            <w:vAlign w:val="bottom"/>
            <w:shd w:val="clear" w:color="auto" w:fill="0A4875"/>
          </w:tcPr>
          <w:p>
            <w:pPr>
              <w:spacing w:after="0"/>
              <w:rPr>
                <w:sz w:val="17"/>
                <w:szCs w:val="17"/>
                <w:color w:val="auto"/>
              </w:rPr>
            </w:pPr>
          </w:p>
        </w:tc>
        <w:tc>
          <w:tcPr>
            <w:tcW w:w="20" w:type="dxa"/>
            <w:vAlign w:val="bottom"/>
            <w:shd w:val="clear" w:color="auto" w:fill="0A4875"/>
          </w:tcPr>
          <w:p>
            <w:pPr>
              <w:spacing w:after="0"/>
              <w:rPr>
                <w:sz w:val="17"/>
                <w:szCs w:val="17"/>
                <w:color w:val="auto"/>
              </w:rPr>
            </w:pPr>
          </w:p>
        </w:tc>
        <w:tc>
          <w:tcPr>
            <w:tcW w:w="60" w:type="dxa"/>
            <w:vAlign w:val="bottom"/>
            <w:shd w:val="clear" w:color="auto" w:fill="0A4875"/>
          </w:tcPr>
          <w:p>
            <w:pPr>
              <w:spacing w:after="0"/>
              <w:rPr>
                <w:sz w:val="17"/>
                <w:szCs w:val="17"/>
                <w:color w:val="auto"/>
              </w:rPr>
            </w:pPr>
          </w:p>
        </w:tc>
        <w:tc>
          <w:tcPr>
            <w:tcW w:w="1160" w:type="dxa"/>
            <w:vAlign w:val="bottom"/>
            <w:shd w:val="clear" w:color="auto" w:fill="0A4875"/>
          </w:tcPr>
          <w:p>
            <w:pPr>
              <w:spacing w:after="0"/>
              <w:rPr>
                <w:sz w:val="17"/>
                <w:szCs w:val="17"/>
                <w:color w:val="auto"/>
              </w:rPr>
            </w:pPr>
          </w:p>
        </w:tc>
        <w:tc>
          <w:tcPr>
            <w:tcW w:w="4200" w:type="dxa"/>
            <w:vAlign w:val="bottom"/>
            <w:gridSpan w:val="3"/>
            <w:vMerge w:val="continue"/>
          </w:tcPr>
          <w:p>
            <w:pPr>
              <w:spacing w:after="0"/>
              <w:rPr>
                <w:sz w:val="17"/>
                <w:szCs w:val="17"/>
                <w:color w:val="auto"/>
              </w:rPr>
            </w:pPr>
          </w:p>
        </w:tc>
        <w:tc>
          <w:tcPr>
            <w:tcW w:w="1840" w:type="dxa"/>
            <w:vAlign w:val="bottom"/>
            <w:shd w:val="clear" w:color="auto" w:fill="E2E4E5"/>
          </w:tcPr>
          <w:p>
            <w:pPr>
              <w:ind w:left="20"/>
              <w:spacing w:after="0"/>
              <w:rPr>
                <w:sz w:val="20"/>
                <w:szCs w:val="20"/>
                <w:color w:val="auto"/>
              </w:rPr>
            </w:pPr>
            <w:r>
              <w:rPr>
                <w:rFonts w:ascii="Times New Roman" w:cs="Times New Roman" w:eastAsia="Times New Roman" w:hAnsi="Times New Roman"/>
                <w:sz w:val="16"/>
                <w:szCs w:val="16"/>
                <w:i w:val="1"/>
                <w:iCs w:val="1"/>
                <w:color w:val="auto"/>
              </w:rPr>
              <w:t>record.</w:t>
            </w:r>
          </w:p>
        </w:tc>
        <w:tc>
          <w:tcPr>
            <w:tcW w:w="400" w:type="dxa"/>
            <w:vAlign w:val="bottom"/>
            <w:shd w:val="clear" w:color="auto" w:fill="E2E4E5"/>
          </w:tcPr>
          <w:p>
            <w:pPr>
              <w:spacing w:after="0"/>
              <w:rPr>
                <w:sz w:val="17"/>
                <w:szCs w:val="17"/>
                <w:color w:val="auto"/>
              </w:rPr>
            </w:pPr>
          </w:p>
        </w:tc>
        <w:tc>
          <w:tcPr>
            <w:tcW w:w="3420" w:type="dxa"/>
            <w:vAlign w:val="bottom"/>
            <w:shd w:val="clear" w:color="auto" w:fill="E2E4E5"/>
          </w:tcPr>
          <w:p>
            <w:pPr>
              <w:spacing w:after="0"/>
              <w:rPr>
                <w:sz w:val="17"/>
                <w:szCs w:val="17"/>
                <w:color w:val="auto"/>
              </w:rPr>
            </w:pPr>
          </w:p>
        </w:tc>
        <w:tc>
          <w:tcPr>
            <w:tcW w:w="80" w:type="dxa"/>
            <w:vAlign w:val="bottom"/>
            <w:tcBorders>
              <w:left w:val="single" w:sz="8" w:color="E2E4E5"/>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0A4875"/>
          </w:tcPr>
          <w:p>
            <w:pPr>
              <w:spacing w:after="0"/>
              <w:rPr>
                <w:sz w:val="18"/>
                <w:szCs w:val="18"/>
                <w:color w:val="auto"/>
              </w:rPr>
            </w:pPr>
          </w:p>
        </w:tc>
        <w:tc>
          <w:tcPr>
            <w:tcW w:w="20" w:type="dxa"/>
            <w:vAlign w:val="bottom"/>
            <w:shd w:val="clear" w:color="auto" w:fill="0A4875"/>
          </w:tcPr>
          <w:p>
            <w:pPr>
              <w:spacing w:after="0"/>
              <w:rPr>
                <w:sz w:val="18"/>
                <w:szCs w:val="18"/>
                <w:color w:val="auto"/>
              </w:rPr>
            </w:pPr>
          </w:p>
        </w:tc>
        <w:tc>
          <w:tcPr>
            <w:tcW w:w="60" w:type="dxa"/>
            <w:vAlign w:val="bottom"/>
            <w:shd w:val="clear" w:color="auto" w:fill="0A4875"/>
          </w:tcPr>
          <w:p>
            <w:pPr>
              <w:spacing w:after="0"/>
              <w:rPr>
                <w:sz w:val="18"/>
                <w:szCs w:val="18"/>
                <w:color w:val="auto"/>
              </w:rPr>
            </w:pPr>
          </w:p>
        </w:tc>
        <w:tc>
          <w:tcPr>
            <w:tcW w:w="1160" w:type="dxa"/>
            <w:vAlign w:val="bottom"/>
            <w:shd w:val="clear" w:color="auto" w:fill="0A4875"/>
          </w:tcPr>
          <w:p>
            <w:pPr>
              <w:spacing w:after="0"/>
              <w:rPr>
                <w:sz w:val="18"/>
                <w:szCs w:val="18"/>
                <w:color w:val="auto"/>
              </w:rPr>
            </w:pPr>
          </w:p>
        </w:tc>
        <w:tc>
          <w:tcPr>
            <w:tcW w:w="42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average deposits flat, or down 3% excluding First Republic</w:t>
            </w:r>
          </w:p>
        </w:tc>
        <w:tc>
          <w:tcPr>
            <w:tcW w:w="1840" w:type="dxa"/>
            <w:vAlign w:val="bottom"/>
            <w:shd w:val="clear" w:color="auto" w:fill="E2E4E5"/>
          </w:tcPr>
          <w:p>
            <w:pPr>
              <w:spacing w:after="0"/>
              <w:rPr>
                <w:sz w:val="18"/>
                <w:szCs w:val="18"/>
                <w:color w:val="auto"/>
              </w:rPr>
            </w:pPr>
          </w:p>
        </w:tc>
        <w:tc>
          <w:tcPr>
            <w:tcW w:w="400" w:type="dxa"/>
            <w:vAlign w:val="bottom"/>
            <w:shd w:val="clear" w:color="auto" w:fill="E2E4E5"/>
          </w:tcPr>
          <w:p>
            <w:pPr>
              <w:spacing w:after="0"/>
              <w:rPr>
                <w:sz w:val="18"/>
                <w:szCs w:val="18"/>
                <w:color w:val="auto"/>
              </w:rPr>
            </w:pPr>
          </w:p>
        </w:tc>
        <w:tc>
          <w:tcPr>
            <w:tcW w:w="3420" w:type="dxa"/>
            <w:vAlign w:val="bottom"/>
            <w:shd w:val="clear" w:color="auto" w:fill="E2E4E5"/>
          </w:tcPr>
          <w:p>
            <w:pPr>
              <w:spacing w:after="0"/>
              <w:rPr>
                <w:sz w:val="18"/>
                <w:szCs w:val="18"/>
                <w:color w:val="auto"/>
              </w:rPr>
            </w:pPr>
          </w:p>
        </w:tc>
        <w:tc>
          <w:tcPr>
            <w:tcW w:w="80" w:type="dxa"/>
            <w:vAlign w:val="bottom"/>
            <w:tcBorders>
              <w:left w:val="single" w:sz="8" w:color="E2E4E5"/>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0" w:type="dxa"/>
            <w:vAlign w:val="bottom"/>
            <w:shd w:val="clear" w:color="auto" w:fill="0A4875"/>
          </w:tcPr>
          <w:p>
            <w:pPr>
              <w:spacing w:after="0"/>
              <w:rPr>
                <w:sz w:val="13"/>
                <w:szCs w:val="13"/>
                <w:color w:val="auto"/>
              </w:rPr>
            </w:pPr>
          </w:p>
        </w:tc>
        <w:tc>
          <w:tcPr>
            <w:tcW w:w="20" w:type="dxa"/>
            <w:vAlign w:val="bottom"/>
            <w:shd w:val="clear" w:color="auto" w:fill="0A4875"/>
          </w:tcPr>
          <w:p>
            <w:pPr>
              <w:spacing w:after="0"/>
              <w:rPr>
                <w:sz w:val="13"/>
                <w:szCs w:val="13"/>
                <w:color w:val="auto"/>
              </w:rPr>
            </w:pPr>
          </w:p>
        </w:tc>
        <w:tc>
          <w:tcPr>
            <w:tcW w:w="60" w:type="dxa"/>
            <w:vAlign w:val="bottom"/>
            <w:shd w:val="clear" w:color="auto" w:fill="0A4875"/>
          </w:tcPr>
          <w:p>
            <w:pPr>
              <w:spacing w:after="0"/>
              <w:rPr>
                <w:sz w:val="13"/>
                <w:szCs w:val="13"/>
                <w:color w:val="auto"/>
              </w:rPr>
            </w:pPr>
          </w:p>
        </w:tc>
        <w:tc>
          <w:tcPr>
            <w:tcW w:w="1160" w:type="dxa"/>
            <w:vAlign w:val="bottom"/>
            <w:shd w:val="clear" w:color="auto" w:fill="0A4875"/>
          </w:tcPr>
          <w:p>
            <w:pPr>
              <w:spacing w:after="0"/>
              <w:rPr>
                <w:sz w:val="13"/>
                <w:szCs w:val="13"/>
                <w:color w:val="auto"/>
              </w:rPr>
            </w:pPr>
          </w:p>
        </w:tc>
        <w:tc>
          <w:tcPr>
            <w:tcW w:w="2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660" w:type="dxa"/>
            <w:vAlign w:val="bottom"/>
            <w:gridSpan w:val="3"/>
            <w:vMerge w:val="restart"/>
            <w:shd w:val="clear" w:color="auto" w:fill="E2E4E5"/>
          </w:tcPr>
          <w:p>
            <w:pPr>
              <w:ind w:left="20"/>
              <w:spacing w:after="0" w:line="182" w:lineRule="exact"/>
              <w:rPr>
                <w:sz w:val="20"/>
                <w:szCs w:val="20"/>
                <w:color w:val="auto"/>
              </w:rPr>
            </w:pPr>
            <w:r>
              <w:rPr>
                <w:rFonts w:ascii="Times New Roman" w:cs="Times New Roman" w:eastAsia="Times New Roman" w:hAnsi="Times New Roman"/>
                <w:sz w:val="16"/>
                <w:szCs w:val="16"/>
                <w:i w:val="1"/>
                <w:iCs w:val="1"/>
                <w:color w:val="auto"/>
              </w:rPr>
              <w:t>The U.S. economy continues to be resilient, with consumers still spending, and markets</w:t>
            </w:r>
          </w:p>
        </w:tc>
        <w:tc>
          <w:tcPr>
            <w:tcW w:w="80" w:type="dxa"/>
            <w:vAlign w:val="bottom"/>
            <w:tcBorders>
              <w:left w:val="single" w:sz="8" w:color="E2E4E5"/>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60" w:type="dxa"/>
            <w:vAlign w:val="bottom"/>
            <w:gridSpan w:val="3"/>
            <w:vMerge w:val="continue"/>
            <w:shd w:val="clear" w:color="auto" w:fill="E2E4E5"/>
          </w:tcPr>
          <w:p>
            <w:pPr>
              <w:spacing w:after="0"/>
              <w:rPr>
                <w:sz w:val="2"/>
                <w:szCs w:val="2"/>
                <w:color w:val="auto"/>
              </w:rPr>
            </w:pPr>
          </w:p>
        </w:tc>
        <w:tc>
          <w:tcPr>
            <w:tcW w:w="80" w:type="dxa"/>
            <w:vAlign w:val="bottom"/>
            <w:tcBorders>
              <w:left w:val="single" w:sz="8" w:color="E2E4E5"/>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0" w:type="dxa"/>
            <w:vAlign w:val="bottom"/>
            <w:gridSpan w:val="3"/>
            <w:vMerge w:val="restart"/>
          </w:tcPr>
          <w:p>
            <w:pPr>
              <w:ind w:left="20"/>
              <w:spacing w:after="0"/>
              <w:rPr>
                <w:sz w:val="20"/>
                <w:szCs w:val="20"/>
                <w:color w:val="auto"/>
              </w:rPr>
            </w:pPr>
            <w:r>
              <w:rPr>
                <w:rFonts w:ascii="Wingdings" w:cs="Wingdings" w:eastAsia="Wingdings" w:hAnsi="Wingdings"/>
                <w:sz w:val="18"/>
                <w:szCs w:val="18"/>
                <w:b w:val="1"/>
                <w:bCs w:val="1"/>
                <w:color w:val="2774AE"/>
              </w:rPr>
              <w:t xml:space="preserve">n </w:t>
            </w:r>
            <w:r>
              <w:rPr>
                <w:rFonts w:ascii="Times New Roman" w:cs="Times New Roman" w:eastAsia="Times New Roman" w:hAnsi="Times New Roman"/>
                <w:sz w:val="16"/>
                <w:szCs w:val="16"/>
                <w:color w:val="000000"/>
              </w:rPr>
              <w:t>Average deposits down 4%; client investment assets up</w:t>
            </w:r>
          </w:p>
        </w:tc>
        <w:tc>
          <w:tcPr>
            <w:tcW w:w="5660" w:type="dxa"/>
            <w:vAlign w:val="bottom"/>
            <w:gridSpan w:val="3"/>
            <w:vMerge w:val="restart"/>
            <w:shd w:val="clear" w:color="auto" w:fill="E2E4E5"/>
          </w:tcPr>
          <w:p>
            <w:pPr>
              <w:ind w:left="20"/>
              <w:spacing w:after="0"/>
              <w:rPr>
                <w:sz w:val="20"/>
                <w:szCs w:val="20"/>
                <w:color w:val="auto"/>
              </w:rPr>
            </w:pPr>
            <w:r>
              <w:rPr>
                <w:rFonts w:ascii="Times New Roman" w:cs="Times New Roman" w:eastAsia="Times New Roman" w:hAnsi="Times New Roman"/>
                <w:sz w:val="16"/>
                <w:szCs w:val="16"/>
                <w:i w:val="1"/>
                <w:iCs w:val="1"/>
                <w:color w:val="auto"/>
                <w:w w:val="97"/>
              </w:rPr>
              <w:t>currently expect a soft landing. It is important to note that the economy is being fueled by</w:t>
            </w:r>
          </w:p>
        </w:tc>
        <w:tc>
          <w:tcPr>
            <w:tcW w:w="80" w:type="dxa"/>
            <w:vAlign w:val="bottom"/>
            <w:tcBorders>
              <w:left w:val="single" w:sz="8" w:color="E2E4E5"/>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shd w:val="clear" w:color="auto" w:fill="2774AE"/>
          </w:tcPr>
          <w:p>
            <w:pPr>
              <w:spacing w:after="0"/>
              <w:rPr>
                <w:sz w:val="15"/>
                <w:szCs w:val="15"/>
                <w:color w:val="auto"/>
              </w:rPr>
            </w:pPr>
          </w:p>
        </w:tc>
        <w:tc>
          <w:tcPr>
            <w:tcW w:w="20" w:type="dxa"/>
            <w:vAlign w:val="bottom"/>
            <w:shd w:val="clear" w:color="auto" w:fill="2774AE"/>
          </w:tcPr>
          <w:p>
            <w:pPr>
              <w:spacing w:after="0"/>
              <w:rPr>
                <w:sz w:val="15"/>
                <w:szCs w:val="15"/>
                <w:color w:val="auto"/>
              </w:rPr>
            </w:pPr>
          </w:p>
        </w:tc>
        <w:tc>
          <w:tcPr>
            <w:tcW w:w="60" w:type="dxa"/>
            <w:vAlign w:val="bottom"/>
            <w:shd w:val="clear" w:color="auto" w:fill="2774AE"/>
          </w:tcPr>
          <w:p>
            <w:pPr>
              <w:spacing w:after="0"/>
              <w:rPr>
                <w:sz w:val="15"/>
                <w:szCs w:val="15"/>
                <w:color w:val="auto"/>
              </w:rPr>
            </w:pPr>
          </w:p>
        </w:tc>
        <w:tc>
          <w:tcPr>
            <w:tcW w:w="1160" w:type="dxa"/>
            <w:vAlign w:val="bottom"/>
            <w:shd w:val="clear" w:color="auto" w:fill="2774AE"/>
          </w:tcPr>
          <w:p>
            <w:pPr>
              <w:spacing w:after="0"/>
              <w:rPr>
                <w:sz w:val="15"/>
                <w:szCs w:val="15"/>
                <w:color w:val="auto"/>
              </w:rPr>
            </w:pPr>
          </w:p>
        </w:tc>
        <w:tc>
          <w:tcPr>
            <w:tcW w:w="4200" w:type="dxa"/>
            <w:vAlign w:val="bottom"/>
            <w:gridSpan w:val="3"/>
            <w:vMerge w:val="continue"/>
          </w:tcPr>
          <w:p>
            <w:pPr>
              <w:spacing w:after="0"/>
              <w:rPr>
                <w:sz w:val="15"/>
                <w:szCs w:val="15"/>
                <w:color w:val="auto"/>
              </w:rPr>
            </w:pPr>
          </w:p>
        </w:tc>
        <w:tc>
          <w:tcPr>
            <w:tcW w:w="5660" w:type="dxa"/>
            <w:vAlign w:val="bottom"/>
            <w:gridSpan w:val="3"/>
            <w:vMerge w:val="continue"/>
            <w:shd w:val="clear" w:color="auto" w:fill="E2E4E5"/>
          </w:tcPr>
          <w:p>
            <w:pPr>
              <w:spacing w:after="0"/>
              <w:rPr>
                <w:sz w:val="15"/>
                <w:szCs w:val="15"/>
                <w:color w:val="auto"/>
              </w:rPr>
            </w:pPr>
          </w:p>
        </w:tc>
        <w:tc>
          <w:tcPr>
            <w:tcW w:w="80" w:type="dxa"/>
            <w:vAlign w:val="bottom"/>
            <w:tcBorders>
              <w:left w:val="single" w:sz="8" w:color="E2E4E5"/>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0" w:type="dxa"/>
            <w:vAlign w:val="bottom"/>
            <w:shd w:val="clear" w:color="auto" w:fill="2774AE"/>
          </w:tcPr>
          <w:p>
            <w:pPr>
              <w:spacing w:after="0"/>
              <w:rPr>
                <w:sz w:val="11"/>
                <w:szCs w:val="11"/>
                <w:color w:val="auto"/>
              </w:rPr>
            </w:pPr>
          </w:p>
        </w:tc>
        <w:tc>
          <w:tcPr>
            <w:tcW w:w="20" w:type="dxa"/>
            <w:vAlign w:val="bottom"/>
            <w:shd w:val="clear" w:color="auto" w:fill="2774AE"/>
          </w:tcPr>
          <w:p>
            <w:pPr>
              <w:spacing w:after="0"/>
              <w:rPr>
                <w:sz w:val="11"/>
                <w:szCs w:val="11"/>
                <w:color w:val="auto"/>
              </w:rPr>
            </w:pPr>
          </w:p>
        </w:tc>
        <w:tc>
          <w:tcPr>
            <w:tcW w:w="60" w:type="dxa"/>
            <w:vAlign w:val="bottom"/>
            <w:shd w:val="clear" w:color="auto" w:fill="2774AE"/>
          </w:tcPr>
          <w:p>
            <w:pPr>
              <w:spacing w:after="0"/>
              <w:rPr>
                <w:sz w:val="11"/>
                <w:szCs w:val="11"/>
                <w:color w:val="auto"/>
              </w:rPr>
            </w:pPr>
          </w:p>
        </w:tc>
        <w:tc>
          <w:tcPr>
            <w:tcW w:w="1160" w:type="dxa"/>
            <w:vAlign w:val="bottom"/>
            <w:vMerge w:val="restart"/>
            <w:shd w:val="clear" w:color="auto" w:fill="2774AE"/>
          </w:tcPr>
          <w:p>
            <w:pPr>
              <w:jc w:val="center"/>
              <w:ind w:right="39"/>
              <w:spacing w:after="0"/>
              <w:rPr>
                <w:sz w:val="20"/>
                <w:szCs w:val="20"/>
                <w:color w:val="auto"/>
              </w:rPr>
            </w:pPr>
            <w:r>
              <w:rPr>
                <w:rFonts w:ascii="Arial" w:cs="Arial" w:eastAsia="Arial" w:hAnsi="Arial"/>
                <w:sz w:val="18"/>
                <w:szCs w:val="18"/>
                <w:b w:val="1"/>
                <w:bCs w:val="1"/>
                <w:color w:val="FFFFFF"/>
              </w:rPr>
              <w:t>CCB</w:t>
            </w:r>
          </w:p>
        </w:tc>
        <w:tc>
          <w:tcPr>
            <w:tcW w:w="42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6"/>
                <w:szCs w:val="16"/>
                <w:color w:val="auto"/>
              </w:rPr>
              <w:t>47%, or up 25% excluding First Republic</w:t>
            </w:r>
          </w:p>
        </w:tc>
        <w:tc>
          <w:tcPr>
            <w:tcW w:w="5660" w:type="dxa"/>
            <w:vAlign w:val="bottom"/>
            <w:gridSpan w:val="3"/>
            <w:shd w:val="clear" w:color="auto" w:fill="E2E4E5"/>
          </w:tcPr>
          <w:p>
            <w:pPr>
              <w:ind w:left="20"/>
              <w:spacing w:after="0" w:line="136" w:lineRule="exact"/>
              <w:rPr>
                <w:sz w:val="20"/>
                <w:szCs w:val="20"/>
                <w:color w:val="auto"/>
              </w:rPr>
            </w:pPr>
            <w:r>
              <w:rPr>
                <w:rFonts w:ascii="Times New Roman" w:cs="Times New Roman" w:eastAsia="Times New Roman" w:hAnsi="Times New Roman"/>
                <w:sz w:val="15"/>
                <w:szCs w:val="15"/>
                <w:i w:val="1"/>
                <w:iCs w:val="1"/>
                <w:color w:val="auto"/>
              </w:rPr>
              <w:t>large amounts of government deficit spending and past stimulus. There is also an</w:t>
            </w:r>
          </w:p>
        </w:tc>
        <w:tc>
          <w:tcPr>
            <w:tcW w:w="80" w:type="dxa"/>
            <w:vAlign w:val="bottom"/>
            <w:tcBorders>
              <w:left w:val="single" w:sz="8" w:color="E2E4E5"/>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0" w:type="dxa"/>
            <w:vAlign w:val="bottom"/>
            <w:shd w:val="clear" w:color="auto" w:fill="2774AE"/>
          </w:tcPr>
          <w:p>
            <w:pPr>
              <w:spacing w:after="0"/>
              <w:rPr>
                <w:sz w:val="9"/>
                <w:szCs w:val="9"/>
                <w:color w:val="auto"/>
              </w:rPr>
            </w:pPr>
          </w:p>
        </w:tc>
        <w:tc>
          <w:tcPr>
            <w:tcW w:w="20" w:type="dxa"/>
            <w:vAlign w:val="bottom"/>
            <w:shd w:val="clear" w:color="auto" w:fill="2774AE"/>
          </w:tcPr>
          <w:p>
            <w:pPr>
              <w:spacing w:after="0"/>
              <w:rPr>
                <w:sz w:val="9"/>
                <w:szCs w:val="9"/>
                <w:color w:val="auto"/>
              </w:rPr>
            </w:pPr>
          </w:p>
        </w:tc>
        <w:tc>
          <w:tcPr>
            <w:tcW w:w="60" w:type="dxa"/>
            <w:vAlign w:val="bottom"/>
            <w:shd w:val="clear" w:color="auto" w:fill="2774AE"/>
          </w:tcPr>
          <w:p>
            <w:pPr>
              <w:spacing w:after="0"/>
              <w:rPr>
                <w:sz w:val="9"/>
                <w:szCs w:val="9"/>
                <w:color w:val="auto"/>
              </w:rPr>
            </w:pPr>
          </w:p>
        </w:tc>
        <w:tc>
          <w:tcPr>
            <w:tcW w:w="1160" w:type="dxa"/>
            <w:vAlign w:val="bottom"/>
            <w:vMerge w:val="continue"/>
            <w:shd w:val="clear" w:color="auto" w:fill="2774AE"/>
          </w:tcPr>
          <w:p>
            <w:pPr>
              <w:spacing w:after="0"/>
              <w:rPr>
                <w:sz w:val="9"/>
                <w:szCs w:val="9"/>
                <w:color w:val="auto"/>
              </w:rPr>
            </w:pPr>
          </w:p>
        </w:tc>
        <w:tc>
          <w:tcPr>
            <w:tcW w:w="4200" w:type="dxa"/>
            <w:vAlign w:val="bottom"/>
            <w:gridSpan w:val="3"/>
            <w:vMerge w:val="continue"/>
          </w:tcPr>
          <w:p>
            <w:pPr>
              <w:spacing w:after="0"/>
              <w:rPr>
                <w:sz w:val="9"/>
                <w:szCs w:val="9"/>
                <w:color w:val="auto"/>
              </w:rPr>
            </w:pPr>
          </w:p>
        </w:tc>
        <w:tc>
          <w:tcPr>
            <w:tcW w:w="5660" w:type="dxa"/>
            <w:vAlign w:val="bottom"/>
            <w:gridSpan w:val="3"/>
            <w:vMerge w:val="restart"/>
            <w:shd w:val="clear" w:color="auto" w:fill="E2E4E5"/>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ongoing need for increased spending due to the green economy, the restructuring of</w:t>
            </w:r>
          </w:p>
        </w:tc>
        <w:tc>
          <w:tcPr>
            <w:tcW w:w="80" w:type="dxa"/>
            <w:vAlign w:val="bottom"/>
            <w:tcBorders>
              <w:left w:val="single" w:sz="8" w:color="E2E4E5"/>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0" w:type="dxa"/>
            <w:vAlign w:val="bottom"/>
            <w:shd w:val="clear" w:color="auto" w:fill="2774AE"/>
          </w:tcPr>
          <w:p>
            <w:pPr>
              <w:spacing w:after="0"/>
              <w:rPr>
                <w:sz w:val="5"/>
                <w:szCs w:val="5"/>
                <w:color w:val="auto"/>
              </w:rPr>
            </w:pPr>
          </w:p>
        </w:tc>
        <w:tc>
          <w:tcPr>
            <w:tcW w:w="20" w:type="dxa"/>
            <w:vAlign w:val="bottom"/>
            <w:shd w:val="clear" w:color="auto" w:fill="2774AE"/>
          </w:tcPr>
          <w:p>
            <w:pPr>
              <w:spacing w:after="0"/>
              <w:rPr>
                <w:sz w:val="5"/>
                <w:szCs w:val="5"/>
                <w:color w:val="auto"/>
              </w:rPr>
            </w:pPr>
          </w:p>
        </w:tc>
        <w:tc>
          <w:tcPr>
            <w:tcW w:w="60" w:type="dxa"/>
            <w:vAlign w:val="bottom"/>
            <w:shd w:val="clear" w:color="auto" w:fill="2774AE"/>
          </w:tcPr>
          <w:p>
            <w:pPr>
              <w:spacing w:after="0"/>
              <w:rPr>
                <w:sz w:val="5"/>
                <w:szCs w:val="5"/>
                <w:color w:val="auto"/>
              </w:rPr>
            </w:pPr>
          </w:p>
        </w:tc>
        <w:tc>
          <w:tcPr>
            <w:tcW w:w="1160" w:type="dxa"/>
            <w:vAlign w:val="bottom"/>
            <w:vMerge w:val="continue"/>
            <w:shd w:val="clear" w:color="auto" w:fill="2774AE"/>
          </w:tcPr>
          <w:p>
            <w:pPr>
              <w:spacing w:after="0"/>
              <w:rPr>
                <w:sz w:val="5"/>
                <w:szCs w:val="5"/>
                <w:color w:val="auto"/>
              </w:rPr>
            </w:pPr>
          </w:p>
        </w:tc>
        <w:tc>
          <w:tcPr>
            <w:tcW w:w="4200" w:type="dxa"/>
            <w:vAlign w:val="bottom"/>
            <w:gridSpan w:val="3"/>
            <w:vMerge w:val="restart"/>
          </w:tcPr>
          <w:p>
            <w:pPr>
              <w:ind w:left="20"/>
              <w:spacing w:after="0"/>
              <w:rPr>
                <w:sz w:val="20"/>
                <w:szCs w:val="20"/>
                <w:color w:val="auto"/>
              </w:rPr>
            </w:pPr>
            <w:r>
              <w:rPr>
                <w:rFonts w:ascii="Wingdings" w:cs="Wingdings" w:eastAsia="Wingdings" w:hAnsi="Wingdings"/>
                <w:sz w:val="18"/>
                <w:szCs w:val="18"/>
                <w:b w:val="1"/>
                <w:bCs w:val="1"/>
                <w:color w:val="2774AE"/>
              </w:rPr>
              <w:t xml:space="preserve">n </w:t>
            </w:r>
            <w:r>
              <w:rPr>
                <w:rFonts w:ascii="Times New Roman" w:cs="Times New Roman" w:eastAsia="Times New Roman" w:hAnsi="Times New Roman"/>
                <w:sz w:val="16"/>
                <w:szCs w:val="16"/>
                <w:color w:val="000000"/>
              </w:rPr>
              <w:t>Average loans up 27%, or up 6% excluding First Republic;</w:t>
            </w:r>
          </w:p>
        </w:tc>
        <w:tc>
          <w:tcPr>
            <w:tcW w:w="5660" w:type="dxa"/>
            <w:vAlign w:val="bottom"/>
            <w:gridSpan w:val="3"/>
            <w:vMerge w:val="continue"/>
            <w:shd w:val="clear" w:color="auto" w:fill="E2E4E5"/>
          </w:tcPr>
          <w:p>
            <w:pPr>
              <w:spacing w:after="0"/>
              <w:rPr>
                <w:sz w:val="5"/>
                <w:szCs w:val="5"/>
                <w:color w:val="auto"/>
              </w:rPr>
            </w:pPr>
          </w:p>
        </w:tc>
        <w:tc>
          <w:tcPr>
            <w:tcW w:w="80" w:type="dxa"/>
            <w:vAlign w:val="bottom"/>
            <w:tcBorders>
              <w:left w:val="single" w:sz="8" w:color="E2E4E5"/>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40" w:type="dxa"/>
            <w:vAlign w:val="bottom"/>
            <w:shd w:val="clear" w:color="auto" w:fill="2774AE"/>
          </w:tcPr>
          <w:p>
            <w:pPr>
              <w:spacing w:after="0"/>
              <w:rPr>
                <w:sz w:val="15"/>
                <w:szCs w:val="15"/>
                <w:color w:val="auto"/>
              </w:rPr>
            </w:pPr>
          </w:p>
        </w:tc>
        <w:tc>
          <w:tcPr>
            <w:tcW w:w="20" w:type="dxa"/>
            <w:vAlign w:val="bottom"/>
            <w:shd w:val="clear" w:color="auto" w:fill="2774AE"/>
          </w:tcPr>
          <w:p>
            <w:pPr>
              <w:spacing w:after="0"/>
              <w:rPr>
                <w:sz w:val="15"/>
                <w:szCs w:val="15"/>
                <w:color w:val="auto"/>
              </w:rPr>
            </w:pPr>
          </w:p>
        </w:tc>
        <w:tc>
          <w:tcPr>
            <w:tcW w:w="60" w:type="dxa"/>
            <w:vAlign w:val="bottom"/>
            <w:shd w:val="clear" w:color="auto" w:fill="2774AE"/>
          </w:tcPr>
          <w:p>
            <w:pPr>
              <w:spacing w:after="0"/>
              <w:rPr>
                <w:sz w:val="15"/>
                <w:szCs w:val="15"/>
                <w:color w:val="auto"/>
              </w:rPr>
            </w:pPr>
          </w:p>
        </w:tc>
        <w:tc>
          <w:tcPr>
            <w:tcW w:w="1160" w:type="dxa"/>
            <w:vAlign w:val="bottom"/>
            <w:shd w:val="clear" w:color="auto" w:fill="2774AE"/>
          </w:tcPr>
          <w:p>
            <w:pPr>
              <w:spacing w:after="0"/>
              <w:rPr>
                <w:sz w:val="15"/>
                <w:szCs w:val="15"/>
                <w:color w:val="auto"/>
              </w:rPr>
            </w:pPr>
          </w:p>
        </w:tc>
        <w:tc>
          <w:tcPr>
            <w:tcW w:w="4200" w:type="dxa"/>
            <w:vAlign w:val="bottom"/>
            <w:gridSpan w:val="3"/>
            <w:vMerge w:val="continue"/>
          </w:tcPr>
          <w:p>
            <w:pPr>
              <w:spacing w:after="0"/>
              <w:rPr>
                <w:sz w:val="15"/>
                <w:szCs w:val="15"/>
                <w:color w:val="auto"/>
              </w:rPr>
            </w:pPr>
          </w:p>
        </w:tc>
        <w:tc>
          <w:tcPr>
            <w:tcW w:w="5660" w:type="dxa"/>
            <w:vAlign w:val="bottom"/>
            <w:gridSpan w:val="3"/>
            <w:shd w:val="clear" w:color="auto" w:fill="E2E4E5"/>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global supply chains, higher military spending and rising healthcare costs. This may</w:t>
            </w:r>
          </w:p>
        </w:tc>
        <w:tc>
          <w:tcPr>
            <w:tcW w:w="80" w:type="dxa"/>
            <w:vAlign w:val="bottom"/>
            <w:tcBorders>
              <w:left w:val="single" w:sz="8" w:color="E2E4E5"/>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 w:type="dxa"/>
            <w:vAlign w:val="bottom"/>
            <w:shd w:val="clear" w:color="auto" w:fill="2774AE"/>
          </w:tcPr>
          <w:p>
            <w:pPr>
              <w:spacing w:after="0"/>
              <w:rPr>
                <w:sz w:val="15"/>
                <w:szCs w:val="15"/>
                <w:color w:val="auto"/>
              </w:rPr>
            </w:pPr>
          </w:p>
        </w:tc>
        <w:tc>
          <w:tcPr>
            <w:tcW w:w="20" w:type="dxa"/>
            <w:vAlign w:val="bottom"/>
            <w:shd w:val="clear" w:color="auto" w:fill="2774AE"/>
          </w:tcPr>
          <w:p>
            <w:pPr>
              <w:spacing w:after="0"/>
              <w:rPr>
                <w:sz w:val="15"/>
                <w:szCs w:val="15"/>
                <w:color w:val="auto"/>
              </w:rPr>
            </w:pPr>
          </w:p>
        </w:tc>
        <w:tc>
          <w:tcPr>
            <w:tcW w:w="1220" w:type="dxa"/>
            <w:vAlign w:val="bottom"/>
            <w:gridSpan w:val="2"/>
            <w:vMerge w:val="restart"/>
            <w:shd w:val="clear" w:color="auto" w:fill="2774AE"/>
          </w:tcPr>
          <w:p>
            <w:pPr>
              <w:jc w:val="center"/>
              <w:spacing w:after="0"/>
              <w:rPr>
                <w:sz w:val="20"/>
                <w:szCs w:val="20"/>
                <w:color w:val="auto"/>
              </w:rPr>
            </w:pPr>
            <w:r>
              <w:rPr>
                <w:rFonts w:ascii="Arial" w:cs="Arial" w:eastAsia="Arial" w:hAnsi="Arial"/>
                <w:sz w:val="14"/>
                <w:szCs w:val="14"/>
                <w:b w:val="1"/>
                <w:bCs w:val="1"/>
                <w:i w:val="1"/>
                <w:iCs w:val="1"/>
                <w:color w:val="FFFFFF"/>
              </w:rPr>
              <w:t>4Q23 ROE 33%</w:t>
            </w:r>
          </w:p>
        </w:tc>
        <w:tc>
          <w:tcPr>
            <w:tcW w:w="4200" w:type="dxa"/>
            <w:vAlign w:val="bottom"/>
            <w:gridSpan w:val="3"/>
          </w:tcPr>
          <w:p>
            <w:pPr>
              <w:ind w:left="260"/>
              <w:spacing w:after="0" w:line="177" w:lineRule="exact"/>
              <w:rPr>
                <w:sz w:val="20"/>
                <w:szCs w:val="20"/>
                <w:color w:val="auto"/>
              </w:rPr>
            </w:pPr>
            <w:r>
              <w:rPr>
                <w:rFonts w:ascii="Times New Roman" w:cs="Times New Roman" w:eastAsia="Times New Roman" w:hAnsi="Times New Roman"/>
                <w:sz w:val="16"/>
                <w:szCs w:val="16"/>
                <w:color w:val="auto"/>
              </w:rPr>
              <w:t>Card Services net charge-off rate of 2.79%</w:t>
            </w:r>
          </w:p>
        </w:tc>
        <w:tc>
          <w:tcPr>
            <w:tcW w:w="5660" w:type="dxa"/>
            <w:vAlign w:val="bottom"/>
            <w:gridSpan w:val="3"/>
            <w:shd w:val="clear" w:color="auto" w:fill="E2E4E5"/>
          </w:tcPr>
          <w:p>
            <w:pPr>
              <w:ind w:left="20"/>
              <w:spacing w:after="0" w:line="177" w:lineRule="exact"/>
              <w:rPr>
                <w:sz w:val="20"/>
                <w:szCs w:val="20"/>
                <w:color w:val="auto"/>
              </w:rPr>
            </w:pPr>
            <w:r>
              <w:rPr>
                <w:rFonts w:ascii="Times New Roman" w:cs="Times New Roman" w:eastAsia="Times New Roman" w:hAnsi="Times New Roman"/>
                <w:sz w:val="16"/>
                <w:szCs w:val="16"/>
                <w:i w:val="1"/>
                <w:iCs w:val="1"/>
                <w:color w:val="auto"/>
              </w:rPr>
              <w:t>lead inflation to be stickier and rates to be higher than markets expect. On top of this,</w:t>
            </w:r>
          </w:p>
        </w:tc>
        <w:tc>
          <w:tcPr>
            <w:tcW w:w="80" w:type="dxa"/>
            <w:vAlign w:val="bottom"/>
            <w:tcBorders>
              <w:left w:val="single" w:sz="8" w:color="E2E4E5"/>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40" w:type="dxa"/>
            <w:vAlign w:val="bottom"/>
            <w:shd w:val="clear" w:color="auto" w:fill="2774AE"/>
          </w:tcPr>
          <w:p>
            <w:pPr>
              <w:spacing w:after="0"/>
              <w:rPr>
                <w:sz w:val="8"/>
                <w:szCs w:val="8"/>
                <w:color w:val="auto"/>
              </w:rPr>
            </w:pPr>
          </w:p>
        </w:tc>
        <w:tc>
          <w:tcPr>
            <w:tcW w:w="20" w:type="dxa"/>
            <w:vAlign w:val="bottom"/>
            <w:shd w:val="clear" w:color="auto" w:fill="2774AE"/>
          </w:tcPr>
          <w:p>
            <w:pPr>
              <w:spacing w:after="0"/>
              <w:rPr>
                <w:sz w:val="8"/>
                <w:szCs w:val="8"/>
                <w:color w:val="auto"/>
              </w:rPr>
            </w:pPr>
          </w:p>
        </w:tc>
        <w:tc>
          <w:tcPr>
            <w:tcW w:w="1220" w:type="dxa"/>
            <w:vAlign w:val="bottom"/>
            <w:gridSpan w:val="2"/>
            <w:vMerge w:val="continue"/>
            <w:shd w:val="clear" w:color="auto" w:fill="2774AE"/>
          </w:tcPr>
          <w:p>
            <w:pPr>
              <w:spacing w:after="0"/>
              <w:rPr>
                <w:sz w:val="8"/>
                <w:szCs w:val="8"/>
                <w:color w:val="auto"/>
              </w:rPr>
            </w:pPr>
          </w:p>
        </w:tc>
        <w:tc>
          <w:tcPr>
            <w:tcW w:w="4200" w:type="dxa"/>
            <w:vAlign w:val="bottom"/>
            <w:gridSpan w:val="3"/>
            <w:vMerge w:val="restart"/>
          </w:tcPr>
          <w:p>
            <w:pPr>
              <w:ind w:left="20"/>
              <w:spacing w:after="0" w:line="215" w:lineRule="exact"/>
              <w:rPr>
                <w:sz w:val="20"/>
                <w:szCs w:val="20"/>
                <w:color w:val="auto"/>
              </w:rPr>
            </w:pPr>
            <w:r>
              <w:rPr>
                <w:rFonts w:ascii="Wingdings" w:cs="Wingdings" w:eastAsia="Wingdings" w:hAnsi="Wingdings"/>
                <w:sz w:val="18"/>
                <w:szCs w:val="18"/>
                <w:b w:val="1"/>
                <w:bCs w:val="1"/>
                <w:color w:val="2774AE"/>
              </w:rPr>
              <w:t xml:space="preserve">n </w:t>
            </w:r>
            <w:r>
              <w:rPr>
                <w:rFonts w:ascii="Times New Roman" w:cs="Times New Roman" w:eastAsia="Times New Roman" w:hAnsi="Times New Roman"/>
                <w:sz w:val="16"/>
                <w:szCs w:val="16"/>
                <w:color w:val="000000"/>
              </w:rPr>
              <w:t>Debit and credit card sales volume</w:t>
            </w:r>
            <w:r>
              <w:rPr>
                <w:rFonts w:ascii="Times New Roman" w:cs="Times New Roman" w:eastAsia="Times New Roman" w:hAnsi="Times New Roman"/>
                <w:sz w:val="21"/>
                <w:szCs w:val="21"/>
                <w:color w:val="000000"/>
                <w:vertAlign w:val="superscript"/>
              </w:rPr>
              <w:t>8</w:t>
            </w:r>
            <w:r>
              <w:rPr>
                <w:rFonts w:ascii="Wingdings" w:cs="Wingdings" w:eastAsia="Wingdings" w:hAnsi="Wingdings"/>
                <w:sz w:val="18"/>
                <w:szCs w:val="18"/>
                <w:b w:val="1"/>
                <w:bCs w:val="1"/>
                <w:color w:val="2774AE"/>
              </w:rPr>
              <w:t xml:space="preserve"> </w:t>
            </w:r>
            <w:r>
              <w:rPr>
                <w:rFonts w:ascii="Times New Roman" w:cs="Times New Roman" w:eastAsia="Times New Roman" w:hAnsi="Times New Roman"/>
                <w:sz w:val="16"/>
                <w:szCs w:val="16"/>
                <w:color w:val="000000"/>
              </w:rPr>
              <w:t>up 7%</w:t>
            </w:r>
          </w:p>
        </w:tc>
        <w:tc>
          <w:tcPr>
            <w:tcW w:w="5660" w:type="dxa"/>
            <w:vAlign w:val="bottom"/>
            <w:gridSpan w:val="3"/>
            <w:vMerge w:val="restart"/>
            <w:shd w:val="clear" w:color="auto" w:fill="E2E4E5"/>
          </w:tcPr>
          <w:p>
            <w:pPr>
              <w:ind w:left="20"/>
              <w:spacing w:after="0"/>
              <w:rPr>
                <w:sz w:val="20"/>
                <w:szCs w:val="20"/>
                <w:color w:val="auto"/>
              </w:rPr>
            </w:pPr>
            <w:r>
              <w:rPr>
                <w:rFonts w:ascii="Times New Roman" w:cs="Times New Roman" w:eastAsia="Times New Roman" w:hAnsi="Times New Roman"/>
                <w:sz w:val="16"/>
                <w:szCs w:val="16"/>
                <w:i w:val="1"/>
                <w:iCs w:val="1"/>
                <w:color w:val="auto"/>
                <w:w w:val="99"/>
              </w:rPr>
              <w:t>there are a number of downside risks to watch. Quantitative tightening is draining over</w:t>
            </w:r>
          </w:p>
        </w:tc>
        <w:tc>
          <w:tcPr>
            <w:tcW w:w="80" w:type="dxa"/>
            <w:vAlign w:val="bottom"/>
            <w:tcBorders>
              <w:left w:val="single" w:sz="8" w:color="E2E4E5"/>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0" w:type="dxa"/>
            <w:vAlign w:val="bottom"/>
            <w:shd w:val="clear" w:color="auto" w:fill="2774AE"/>
          </w:tcPr>
          <w:p>
            <w:pPr>
              <w:spacing w:after="0"/>
              <w:rPr>
                <w:sz w:val="10"/>
                <w:szCs w:val="10"/>
                <w:color w:val="auto"/>
              </w:rPr>
            </w:pPr>
          </w:p>
        </w:tc>
        <w:tc>
          <w:tcPr>
            <w:tcW w:w="20" w:type="dxa"/>
            <w:vAlign w:val="bottom"/>
            <w:shd w:val="clear" w:color="auto" w:fill="2774AE"/>
          </w:tcPr>
          <w:p>
            <w:pPr>
              <w:spacing w:after="0"/>
              <w:rPr>
                <w:sz w:val="10"/>
                <w:szCs w:val="10"/>
                <w:color w:val="auto"/>
              </w:rPr>
            </w:pPr>
          </w:p>
        </w:tc>
        <w:tc>
          <w:tcPr>
            <w:tcW w:w="60" w:type="dxa"/>
            <w:vAlign w:val="bottom"/>
            <w:shd w:val="clear" w:color="auto" w:fill="2774AE"/>
          </w:tcPr>
          <w:p>
            <w:pPr>
              <w:spacing w:after="0"/>
              <w:rPr>
                <w:sz w:val="10"/>
                <w:szCs w:val="10"/>
                <w:color w:val="auto"/>
              </w:rPr>
            </w:pPr>
          </w:p>
        </w:tc>
        <w:tc>
          <w:tcPr>
            <w:tcW w:w="1160" w:type="dxa"/>
            <w:vAlign w:val="bottom"/>
            <w:shd w:val="clear" w:color="auto" w:fill="2774AE"/>
          </w:tcPr>
          <w:p>
            <w:pPr>
              <w:jc w:val="center"/>
              <w:ind w:right="39"/>
              <w:spacing w:after="0" w:line="116" w:lineRule="exact"/>
              <w:rPr>
                <w:sz w:val="20"/>
                <w:szCs w:val="20"/>
                <w:color w:val="auto"/>
              </w:rPr>
            </w:pPr>
            <w:r>
              <w:rPr>
                <w:rFonts w:ascii="Arial" w:cs="Arial" w:eastAsia="Arial" w:hAnsi="Arial"/>
                <w:sz w:val="13"/>
                <w:szCs w:val="13"/>
                <w:b w:val="1"/>
                <w:bCs w:val="1"/>
                <w:i w:val="1"/>
                <w:iCs w:val="1"/>
                <w:color w:val="FFFFFF"/>
              </w:rPr>
              <w:t>2023 ROE 38%</w:t>
            </w:r>
          </w:p>
        </w:tc>
        <w:tc>
          <w:tcPr>
            <w:tcW w:w="4200" w:type="dxa"/>
            <w:vAlign w:val="bottom"/>
            <w:gridSpan w:val="3"/>
            <w:vMerge w:val="continue"/>
          </w:tcPr>
          <w:p>
            <w:pPr>
              <w:spacing w:after="0"/>
              <w:rPr>
                <w:sz w:val="10"/>
                <w:szCs w:val="10"/>
                <w:color w:val="auto"/>
              </w:rPr>
            </w:pPr>
          </w:p>
        </w:tc>
        <w:tc>
          <w:tcPr>
            <w:tcW w:w="5660" w:type="dxa"/>
            <w:vAlign w:val="bottom"/>
            <w:gridSpan w:val="3"/>
            <w:vMerge w:val="continue"/>
            <w:shd w:val="clear" w:color="auto" w:fill="E2E4E5"/>
          </w:tcPr>
          <w:p>
            <w:pPr>
              <w:spacing w:after="0"/>
              <w:rPr>
                <w:sz w:val="10"/>
                <w:szCs w:val="10"/>
                <w:color w:val="auto"/>
              </w:rPr>
            </w:pPr>
          </w:p>
        </w:tc>
        <w:tc>
          <w:tcPr>
            <w:tcW w:w="80" w:type="dxa"/>
            <w:vAlign w:val="bottom"/>
            <w:tcBorders>
              <w:left w:val="single" w:sz="8" w:color="E2E4E5"/>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2774AE"/>
          </w:tcPr>
          <w:p>
            <w:pPr>
              <w:spacing w:after="0"/>
              <w:rPr>
                <w:sz w:val="10"/>
                <w:szCs w:val="10"/>
                <w:color w:val="auto"/>
              </w:rPr>
            </w:pPr>
          </w:p>
        </w:tc>
        <w:tc>
          <w:tcPr>
            <w:tcW w:w="20" w:type="dxa"/>
            <w:vAlign w:val="bottom"/>
            <w:shd w:val="clear" w:color="auto" w:fill="2774AE"/>
          </w:tcPr>
          <w:p>
            <w:pPr>
              <w:spacing w:after="0"/>
              <w:rPr>
                <w:sz w:val="10"/>
                <w:szCs w:val="10"/>
                <w:color w:val="auto"/>
              </w:rPr>
            </w:pPr>
          </w:p>
        </w:tc>
        <w:tc>
          <w:tcPr>
            <w:tcW w:w="60" w:type="dxa"/>
            <w:vAlign w:val="bottom"/>
            <w:shd w:val="clear" w:color="auto" w:fill="2774AE"/>
          </w:tcPr>
          <w:p>
            <w:pPr>
              <w:spacing w:after="0"/>
              <w:rPr>
                <w:sz w:val="10"/>
                <w:szCs w:val="10"/>
                <w:color w:val="auto"/>
              </w:rPr>
            </w:pPr>
          </w:p>
        </w:tc>
        <w:tc>
          <w:tcPr>
            <w:tcW w:w="1160" w:type="dxa"/>
            <w:vAlign w:val="bottom"/>
            <w:shd w:val="clear" w:color="auto" w:fill="2774AE"/>
          </w:tcPr>
          <w:p>
            <w:pPr>
              <w:spacing w:after="0"/>
              <w:rPr>
                <w:sz w:val="10"/>
                <w:szCs w:val="10"/>
                <w:color w:val="auto"/>
              </w:rPr>
            </w:pPr>
          </w:p>
        </w:tc>
        <w:tc>
          <w:tcPr>
            <w:tcW w:w="2620" w:type="dxa"/>
            <w:vAlign w:val="bottom"/>
            <w:gridSpan w:val="2"/>
            <w:vMerge w:val="restart"/>
          </w:tcPr>
          <w:p>
            <w:pPr>
              <w:ind w:left="20"/>
              <w:spacing w:after="0"/>
              <w:rPr>
                <w:sz w:val="20"/>
                <w:szCs w:val="20"/>
                <w:color w:val="auto"/>
              </w:rPr>
            </w:pPr>
            <w:r>
              <w:rPr>
                <w:rFonts w:ascii="Wingdings" w:cs="Wingdings" w:eastAsia="Wingdings" w:hAnsi="Wingdings"/>
                <w:sz w:val="18"/>
                <w:szCs w:val="18"/>
                <w:b w:val="1"/>
                <w:bCs w:val="1"/>
                <w:color w:val="2774AE"/>
              </w:rPr>
              <w:t xml:space="preserve">n </w:t>
            </w:r>
            <w:r>
              <w:rPr>
                <w:rFonts w:ascii="Times New Roman" w:cs="Times New Roman" w:eastAsia="Times New Roman" w:hAnsi="Times New Roman"/>
                <w:sz w:val="16"/>
                <w:szCs w:val="16"/>
                <w:color w:val="000000"/>
              </w:rPr>
              <w:t>Active mobile customers</w:t>
            </w:r>
            <w:r>
              <w:rPr>
                <w:rFonts w:ascii="Times New Roman" w:cs="Times New Roman" w:eastAsia="Times New Roman" w:hAnsi="Times New Roman"/>
                <w:sz w:val="21"/>
                <w:szCs w:val="21"/>
                <w:color w:val="000000"/>
                <w:vertAlign w:val="superscript"/>
              </w:rPr>
              <w:t>9</w:t>
            </w:r>
            <w:r>
              <w:rPr>
                <w:rFonts w:ascii="Wingdings" w:cs="Wingdings" w:eastAsia="Wingdings" w:hAnsi="Wingdings"/>
                <w:sz w:val="18"/>
                <w:szCs w:val="18"/>
                <w:b w:val="1"/>
                <w:bCs w:val="1"/>
                <w:color w:val="2774AE"/>
              </w:rPr>
              <w:t xml:space="preserve"> </w:t>
            </w:r>
            <w:r>
              <w:rPr>
                <w:rFonts w:ascii="Times New Roman" w:cs="Times New Roman" w:eastAsia="Times New Roman" w:hAnsi="Times New Roman"/>
                <w:sz w:val="16"/>
                <w:szCs w:val="16"/>
                <w:color w:val="000000"/>
              </w:rPr>
              <w:t>up 8%</w:t>
            </w:r>
          </w:p>
        </w:tc>
        <w:tc>
          <w:tcPr>
            <w:tcW w:w="1580" w:type="dxa"/>
            <w:vAlign w:val="bottom"/>
          </w:tcPr>
          <w:p>
            <w:pPr>
              <w:spacing w:after="0"/>
              <w:rPr>
                <w:sz w:val="10"/>
                <w:szCs w:val="10"/>
                <w:color w:val="auto"/>
              </w:rPr>
            </w:pPr>
          </w:p>
        </w:tc>
        <w:tc>
          <w:tcPr>
            <w:tcW w:w="5660" w:type="dxa"/>
            <w:vAlign w:val="bottom"/>
            <w:gridSpan w:val="3"/>
            <w:shd w:val="clear" w:color="auto" w:fill="E2E4E5"/>
          </w:tcPr>
          <w:p>
            <w:pPr>
              <w:ind w:left="20"/>
              <w:spacing w:after="0" w:line="123" w:lineRule="exact"/>
              <w:rPr>
                <w:sz w:val="20"/>
                <w:szCs w:val="20"/>
                <w:color w:val="auto"/>
              </w:rPr>
            </w:pPr>
            <w:r>
              <w:rPr>
                <w:rFonts w:ascii="Times New Roman" w:cs="Times New Roman" w:eastAsia="Times New Roman" w:hAnsi="Times New Roman"/>
                <w:sz w:val="14"/>
                <w:szCs w:val="14"/>
                <w:i w:val="1"/>
                <w:iCs w:val="1"/>
                <w:color w:val="auto"/>
              </w:rPr>
              <w:t>$900 billion of liquidity from the system annually, and we have never seen a full cycle of</w:t>
            </w:r>
          </w:p>
        </w:tc>
        <w:tc>
          <w:tcPr>
            <w:tcW w:w="80" w:type="dxa"/>
            <w:vAlign w:val="bottom"/>
            <w:tcBorders>
              <w:left w:val="single" w:sz="8" w:color="E2E4E5"/>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2774AE"/>
          </w:tcPr>
          <w:p>
            <w:pPr>
              <w:spacing w:after="0"/>
              <w:rPr>
                <w:sz w:val="15"/>
                <w:szCs w:val="15"/>
                <w:color w:val="auto"/>
              </w:rPr>
            </w:pPr>
          </w:p>
        </w:tc>
        <w:tc>
          <w:tcPr>
            <w:tcW w:w="20" w:type="dxa"/>
            <w:vAlign w:val="bottom"/>
            <w:shd w:val="clear" w:color="auto" w:fill="2774AE"/>
          </w:tcPr>
          <w:p>
            <w:pPr>
              <w:spacing w:after="0"/>
              <w:rPr>
                <w:sz w:val="15"/>
                <w:szCs w:val="15"/>
                <w:color w:val="auto"/>
              </w:rPr>
            </w:pPr>
          </w:p>
        </w:tc>
        <w:tc>
          <w:tcPr>
            <w:tcW w:w="60" w:type="dxa"/>
            <w:vAlign w:val="bottom"/>
            <w:shd w:val="clear" w:color="auto" w:fill="2774AE"/>
          </w:tcPr>
          <w:p>
            <w:pPr>
              <w:spacing w:after="0"/>
              <w:rPr>
                <w:sz w:val="15"/>
                <w:szCs w:val="15"/>
                <w:color w:val="auto"/>
              </w:rPr>
            </w:pPr>
          </w:p>
        </w:tc>
        <w:tc>
          <w:tcPr>
            <w:tcW w:w="1160" w:type="dxa"/>
            <w:vAlign w:val="bottom"/>
            <w:shd w:val="clear" w:color="auto" w:fill="2774AE"/>
          </w:tcPr>
          <w:p>
            <w:pPr>
              <w:spacing w:after="0"/>
              <w:rPr>
                <w:sz w:val="15"/>
                <w:szCs w:val="15"/>
                <w:color w:val="auto"/>
              </w:rPr>
            </w:pPr>
          </w:p>
        </w:tc>
        <w:tc>
          <w:tcPr>
            <w:tcW w:w="2620" w:type="dxa"/>
            <w:vAlign w:val="bottom"/>
            <w:gridSpan w:val="2"/>
            <w:vMerge w:val="continue"/>
          </w:tcPr>
          <w:p>
            <w:pPr>
              <w:spacing w:after="0"/>
              <w:rPr>
                <w:sz w:val="15"/>
                <w:szCs w:val="15"/>
                <w:color w:val="auto"/>
              </w:rPr>
            </w:pPr>
          </w:p>
        </w:tc>
        <w:tc>
          <w:tcPr>
            <w:tcW w:w="1580" w:type="dxa"/>
            <w:vAlign w:val="bottom"/>
          </w:tcPr>
          <w:p>
            <w:pPr>
              <w:spacing w:after="0"/>
              <w:rPr>
                <w:sz w:val="15"/>
                <w:szCs w:val="15"/>
                <w:color w:val="auto"/>
              </w:rPr>
            </w:pPr>
          </w:p>
        </w:tc>
        <w:tc>
          <w:tcPr>
            <w:tcW w:w="5660" w:type="dxa"/>
            <w:vAlign w:val="bottom"/>
            <w:gridSpan w:val="3"/>
            <w:shd w:val="clear" w:color="auto" w:fill="E2E4E5"/>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tightening. And the ongoing wars in Ukraine and the Middle East have the potential to</w:t>
            </w:r>
          </w:p>
        </w:tc>
        <w:tc>
          <w:tcPr>
            <w:tcW w:w="80" w:type="dxa"/>
            <w:vAlign w:val="bottom"/>
            <w:tcBorders>
              <w:left w:val="single" w:sz="8" w:color="E2E4E5"/>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2774AE"/>
          </w:tcPr>
          <w:p>
            <w:pPr>
              <w:spacing w:after="0"/>
              <w:rPr>
                <w:sz w:val="6"/>
                <w:szCs w:val="6"/>
                <w:color w:val="auto"/>
              </w:rPr>
            </w:pPr>
          </w:p>
        </w:tc>
        <w:tc>
          <w:tcPr>
            <w:tcW w:w="20" w:type="dxa"/>
            <w:vAlign w:val="bottom"/>
            <w:shd w:val="clear" w:color="auto" w:fill="2774AE"/>
          </w:tcPr>
          <w:p>
            <w:pPr>
              <w:spacing w:after="0"/>
              <w:rPr>
                <w:sz w:val="6"/>
                <w:szCs w:val="6"/>
                <w:color w:val="auto"/>
              </w:rPr>
            </w:pPr>
          </w:p>
        </w:tc>
        <w:tc>
          <w:tcPr>
            <w:tcW w:w="60" w:type="dxa"/>
            <w:vAlign w:val="bottom"/>
            <w:shd w:val="clear" w:color="auto" w:fill="2774AE"/>
          </w:tcPr>
          <w:p>
            <w:pPr>
              <w:spacing w:after="0"/>
              <w:rPr>
                <w:sz w:val="6"/>
                <w:szCs w:val="6"/>
                <w:color w:val="auto"/>
              </w:rPr>
            </w:pPr>
          </w:p>
        </w:tc>
        <w:tc>
          <w:tcPr>
            <w:tcW w:w="1160" w:type="dxa"/>
            <w:vAlign w:val="bottom"/>
            <w:shd w:val="clear" w:color="auto" w:fill="2774AE"/>
          </w:tcPr>
          <w:p>
            <w:pPr>
              <w:spacing w:after="0"/>
              <w:rPr>
                <w:sz w:val="6"/>
                <w:szCs w:val="6"/>
                <w:color w:val="auto"/>
              </w:rPr>
            </w:pPr>
          </w:p>
        </w:tc>
        <w:tc>
          <w:tcPr>
            <w:tcW w:w="4200" w:type="dxa"/>
            <w:vAlign w:val="bottom"/>
            <w:gridSpan w:val="3"/>
            <w:vMerge w:val="restart"/>
          </w:tcPr>
          <w:p>
            <w:pPr>
              <w:ind w:left="20"/>
              <w:spacing w:after="0"/>
              <w:rPr>
                <w:sz w:val="20"/>
                <w:szCs w:val="20"/>
                <w:color w:val="auto"/>
              </w:rPr>
            </w:pPr>
            <w:r>
              <w:rPr>
                <w:rFonts w:ascii="Wingdings" w:cs="Wingdings" w:eastAsia="Wingdings" w:hAnsi="Wingdings"/>
                <w:sz w:val="18"/>
                <w:szCs w:val="18"/>
                <w:b w:val="1"/>
                <w:bCs w:val="1"/>
                <w:color w:val="3A2206"/>
              </w:rPr>
              <w:t xml:space="preserve">n </w:t>
            </w:r>
            <w:r>
              <w:rPr>
                <w:rFonts w:ascii="Times New Roman" w:cs="Times New Roman" w:eastAsia="Times New Roman" w:hAnsi="Times New Roman"/>
                <w:sz w:val="16"/>
                <w:szCs w:val="16"/>
                <w:color w:val="000000"/>
              </w:rPr>
              <w:t>#1 ranking for Global Investment Banking fees with 8.8%</w:t>
            </w:r>
          </w:p>
        </w:tc>
        <w:tc>
          <w:tcPr>
            <w:tcW w:w="5660" w:type="dxa"/>
            <w:vAlign w:val="bottom"/>
            <w:gridSpan w:val="3"/>
            <w:vMerge w:val="restart"/>
            <w:shd w:val="clear" w:color="auto" w:fill="E2E4E5"/>
          </w:tcPr>
          <w:p>
            <w:pPr>
              <w:ind w:left="20"/>
              <w:spacing w:after="0" w:line="155" w:lineRule="exact"/>
              <w:rPr>
                <w:sz w:val="20"/>
                <w:szCs w:val="20"/>
                <w:color w:val="auto"/>
              </w:rPr>
            </w:pPr>
            <w:r>
              <w:rPr>
                <w:rFonts w:ascii="Times New Roman" w:cs="Times New Roman" w:eastAsia="Times New Roman" w:hAnsi="Times New Roman"/>
                <w:sz w:val="16"/>
                <w:szCs w:val="16"/>
                <w:i w:val="1"/>
                <w:iCs w:val="1"/>
                <w:color w:val="auto"/>
                <w:w w:val="98"/>
              </w:rPr>
              <w:t>disrupt energy and food markets, migration, and military and economic relationships, in</w:t>
            </w:r>
          </w:p>
        </w:tc>
        <w:tc>
          <w:tcPr>
            <w:tcW w:w="80" w:type="dxa"/>
            <w:vAlign w:val="bottom"/>
            <w:tcBorders>
              <w:left w:val="single" w:sz="8" w:color="E2E4E5"/>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3A2206"/>
            </w:tcBorders>
          </w:tcPr>
          <w:p>
            <w:pPr>
              <w:spacing w:after="0"/>
              <w:rPr>
                <w:sz w:val="6"/>
                <w:szCs w:val="6"/>
                <w:color w:val="auto"/>
              </w:rPr>
            </w:pPr>
          </w:p>
        </w:tc>
        <w:tc>
          <w:tcPr>
            <w:tcW w:w="20" w:type="dxa"/>
            <w:vAlign w:val="bottom"/>
            <w:tcBorders>
              <w:bottom w:val="single" w:sz="8" w:color="3A2206"/>
            </w:tcBorders>
          </w:tcPr>
          <w:p>
            <w:pPr>
              <w:spacing w:after="0"/>
              <w:rPr>
                <w:sz w:val="6"/>
                <w:szCs w:val="6"/>
                <w:color w:val="auto"/>
              </w:rPr>
            </w:pPr>
          </w:p>
        </w:tc>
        <w:tc>
          <w:tcPr>
            <w:tcW w:w="60" w:type="dxa"/>
            <w:vAlign w:val="bottom"/>
            <w:tcBorders>
              <w:bottom w:val="single" w:sz="8" w:color="3A2206"/>
            </w:tcBorders>
          </w:tcPr>
          <w:p>
            <w:pPr>
              <w:spacing w:after="0"/>
              <w:rPr>
                <w:sz w:val="6"/>
                <w:szCs w:val="6"/>
                <w:color w:val="auto"/>
              </w:rPr>
            </w:pPr>
          </w:p>
        </w:tc>
        <w:tc>
          <w:tcPr>
            <w:tcW w:w="1160" w:type="dxa"/>
            <w:vAlign w:val="bottom"/>
            <w:tcBorders>
              <w:bottom w:val="single" w:sz="8" w:color="3A2206"/>
            </w:tcBorders>
          </w:tcPr>
          <w:p>
            <w:pPr>
              <w:spacing w:after="0"/>
              <w:rPr>
                <w:sz w:val="6"/>
                <w:szCs w:val="6"/>
                <w:color w:val="auto"/>
              </w:rPr>
            </w:pPr>
          </w:p>
        </w:tc>
        <w:tc>
          <w:tcPr>
            <w:tcW w:w="4200" w:type="dxa"/>
            <w:vAlign w:val="bottom"/>
            <w:gridSpan w:val="3"/>
            <w:vMerge w:val="continue"/>
          </w:tcPr>
          <w:p>
            <w:pPr>
              <w:spacing w:after="0"/>
              <w:rPr>
                <w:sz w:val="6"/>
                <w:szCs w:val="6"/>
                <w:color w:val="auto"/>
              </w:rPr>
            </w:pPr>
          </w:p>
        </w:tc>
        <w:tc>
          <w:tcPr>
            <w:tcW w:w="5660" w:type="dxa"/>
            <w:vAlign w:val="bottom"/>
            <w:tcBorders>
              <w:bottom w:val="single" w:sz="8" w:color="E2E4E5"/>
            </w:tcBorders>
            <w:gridSpan w:val="3"/>
            <w:vMerge w:val="continue"/>
            <w:shd w:val="clear" w:color="auto" w:fill="E2E4E5"/>
          </w:tcPr>
          <w:p>
            <w:pPr>
              <w:spacing w:after="0"/>
              <w:rPr>
                <w:sz w:val="6"/>
                <w:szCs w:val="6"/>
                <w:color w:val="auto"/>
              </w:rPr>
            </w:pPr>
          </w:p>
        </w:tc>
        <w:tc>
          <w:tcPr>
            <w:tcW w:w="80" w:type="dxa"/>
            <w:vAlign w:val="bottom"/>
            <w:tcBorders>
              <w:left w:val="single" w:sz="8" w:color="E2E4E5"/>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40" w:type="dxa"/>
            <w:vAlign w:val="bottom"/>
            <w:shd w:val="clear" w:color="auto" w:fill="3A2206"/>
          </w:tcPr>
          <w:p>
            <w:pPr>
              <w:spacing w:after="0"/>
              <w:rPr>
                <w:sz w:val="16"/>
                <w:szCs w:val="16"/>
                <w:color w:val="auto"/>
              </w:rPr>
            </w:pPr>
          </w:p>
        </w:tc>
        <w:tc>
          <w:tcPr>
            <w:tcW w:w="20" w:type="dxa"/>
            <w:vAlign w:val="bottom"/>
            <w:shd w:val="clear" w:color="auto" w:fill="3A2206"/>
          </w:tcPr>
          <w:p>
            <w:pPr>
              <w:spacing w:after="0"/>
              <w:rPr>
                <w:sz w:val="16"/>
                <w:szCs w:val="16"/>
                <w:color w:val="auto"/>
              </w:rPr>
            </w:pPr>
          </w:p>
        </w:tc>
        <w:tc>
          <w:tcPr>
            <w:tcW w:w="60" w:type="dxa"/>
            <w:vAlign w:val="bottom"/>
            <w:shd w:val="clear" w:color="auto" w:fill="3A2206"/>
          </w:tcPr>
          <w:p>
            <w:pPr>
              <w:spacing w:after="0"/>
              <w:rPr>
                <w:sz w:val="16"/>
                <w:szCs w:val="16"/>
                <w:color w:val="auto"/>
              </w:rPr>
            </w:pPr>
          </w:p>
        </w:tc>
        <w:tc>
          <w:tcPr>
            <w:tcW w:w="1160" w:type="dxa"/>
            <w:vAlign w:val="bottom"/>
            <w:shd w:val="clear" w:color="auto" w:fill="3A2206"/>
          </w:tcPr>
          <w:p>
            <w:pPr>
              <w:jc w:val="center"/>
              <w:ind w:right="39"/>
              <w:spacing w:after="0" w:line="189" w:lineRule="exact"/>
              <w:rPr>
                <w:sz w:val="20"/>
                <w:szCs w:val="20"/>
                <w:color w:val="auto"/>
              </w:rPr>
            </w:pPr>
            <w:r>
              <w:rPr>
                <w:rFonts w:ascii="Arial" w:cs="Arial" w:eastAsia="Arial" w:hAnsi="Arial"/>
                <w:sz w:val="18"/>
                <w:szCs w:val="18"/>
                <w:b w:val="1"/>
                <w:bCs w:val="1"/>
                <w:color w:val="FFFFFF"/>
              </w:rPr>
              <w:t>CIB</w:t>
            </w:r>
          </w:p>
        </w:tc>
        <w:tc>
          <w:tcPr>
            <w:tcW w:w="4200" w:type="dxa"/>
            <w:vAlign w:val="bottom"/>
            <w:gridSpan w:val="3"/>
            <w:vMerge w:val="continue"/>
          </w:tcPr>
          <w:p>
            <w:pPr>
              <w:spacing w:after="0"/>
              <w:rPr>
                <w:sz w:val="16"/>
                <w:szCs w:val="16"/>
                <w:color w:val="auto"/>
              </w:rPr>
            </w:pPr>
          </w:p>
        </w:tc>
        <w:tc>
          <w:tcPr>
            <w:tcW w:w="5660" w:type="dxa"/>
            <w:vAlign w:val="bottom"/>
            <w:gridSpan w:val="3"/>
            <w:shd w:val="clear" w:color="auto" w:fill="E2E4E5"/>
          </w:tcPr>
          <w:p>
            <w:pPr>
              <w:ind w:left="20"/>
              <w:spacing w:after="0"/>
              <w:rPr>
                <w:sz w:val="20"/>
                <w:szCs w:val="20"/>
                <w:color w:val="auto"/>
              </w:rPr>
            </w:pPr>
            <w:r>
              <w:rPr>
                <w:rFonts w:ascii="Times New Roman" w:cs="Times New Roman" w:eastAsia="Times New Roman" w:hAnsi="Times New Roman"/>
                <w:sz w:val="16"/>
                <w:szCs w:val="16"/>
                <w:i w:val="1"/>
                <w:iCs w:val="1"/>
                <w:color w:val="auto"/>
              </w:rPr>
              <w:t>addition to their dreadful human cost. These significant and somewhat unprecedented</w:t>
            </w:r>
          </w:p>
        </w:tc>
        <w:tc>
          <w:tcPr>
            <w:tcW w:w="80" w:type="dxa"/>
            <w:vAlign w:val="bottom"/>
            <w:tcBorders>
              <w:left w:val="single" w:sz="8" w:color="E2E4E5"/>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3A2206"/>
          </w:tcPr>
          <w:p>
            <w:pPr>
              <w:spacing w:after="0"/>
              <w:rPr>
                <w:sz w:val="12"/>
                <w:szCs w:val="12"/>
                <w:color w:val="auto"/>
              </w:rPr>
            </w:pPr>
          </w:p>
        </w:tc>
        <w:tc>
          <w:tcPr>
            <w:tcW w:w="20" w:type="dxa"/>
            <w:vAlign w:val="bottom"/>
            <w:shd w:val="clear" w:color="auto" w:fill="3A2206"/>
          </w:tcPr>
          <w:p>
            <w:pPr>
              <w:spacing w:after="0"/>
              <w:rPr>
                <w:sz w:val="12"/>
                <w:szCs w:val="12"/>
                <w:color w:val="auto"/>
              </w:rPr>
            </w:pPr>
          </w:p>
        </w:tc>
        <w:tc>
          <w:tcPr>
            <w:tcW w:w="60" w:type="dxa"/>
            <w:vAlign w:val="bottom"/>
            <w:shd w:val="clear" w:color="auto" w:fill="3A2206"/>
          </w:tcPr>
          <w:p>
            <w:pPr>
              <w:spacing w:after="0"/>
              <w:rPr>
                <w:sz w:val="12"/>
                <w:szCs w:val="12"/>
                <w:color w:val="auto"/>
              </w:rPr>
            </w:pPr>
          </w:p>
        </w:tc>
        <w:tc>
          <w:tcPr>
            <w:tcW w:w="1160" w:type="dxa"/>
            <w:vAlign w:val="bottom"/>
            <w:shd w:val="clear" w:color="auto" w:fill="3A2206"/>
          </w:tcPr>
          <w:p>
            <w:pPr>
              <w:spacing w:after="0"/>
              <w:rPr>
                <w:sz w:val="12"/>
                <w:szCs w:val="12"/>
                <w:color w:val="auto"/>
              </w:rPr>
            </w:pPr>
          </w:p>
        </w:tc>
        <w:tc>
          <w:tcPr>
            <w:tcW w:w="26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6"/>
                <w:szCs w:val="16"/>
                <w:color w:val="auto"/>
              </w:rPr>
              <w:t>wallet share for the year</w:t>
            </w:r>
          </w:p>
        </w:tc>
        <w:tc>
          <w:tcPr>
            <w:tcW w:w="1580" w:type="dxa"/>
            <w:vAlign w:val="bottom"/>
          </w:tcPr>
          <w:p>
            <w:pPr>
              <w:spacing w:after="0"/>
              <w:rPr>
                <w:sz w:val="12"/>
                <w:szCs w:val="12"/>
                <w:color w:val="auto"/>
              </w:rPr>
            </w:pPr>
          </w:p>
        </w:tc>
        <w:tc>
          <w:tcPr>
            <w:tcW w:w="5660" w:type="dxa"/>
            <w:vAlign w:val="bottom"/>
            <w:gridSpan w:val="3"/>
            <w:shd w:val="clear" w:color="auto" w:fill="E2E4E5"/>
          </w:tcPr>
          <w:p>
            <w:pPr>
              <w:ind w:left="20"/>
              <w:spacing w:after="0" w:line="149" w:lineRule="exact"/>
              <w:rPr>
                <w:sz w:val="20"/>
                <w:szCs w:val="20"/>
                <w:color w:val="auto"/>
              </w:rPr>
            </w:pPr>
            <w:r>
              <w:rPr>
                <w:rFonts w:ascii="Times New Roman" w:cs="Times New Roman" w:eastAsia="Times New Roman" w:hAnsi="Times New Roman"/>
                <w:sz w:val="16"/>
                <w:szCs w:val="16"/>
                <w:i w:val="1"/>
                <w:iCs w:val="1"/>
                <w:color w:val="auto"/>
              </w:rPr>
              <w:t>forces cause us to remain cautious. While we hope for the best, the past year</w:t>
            </w:r>
          </w:p>
        </w:tc>
        <w:tc>
          <w:tcPr>
            <w:tcW w:w="80" w:type="dxa"/>
            <w:vAlign w:val="bottom"/>
            <w:tcBorders>
              <w:left w:val="single" w:sz="8" w:color="E2E4E5"/>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0" w:type="dxa"/>
            <w:vAlign w:val="bottom"/>
            <w:shd w:val="clear" w:color="auto" w:fill="3A2206"/>
          </w:tcPr>
          <w:p>
            <w:pPr>
              <w:spacing w:after="0"/>
              <w:rPr>
                <w:sz w:val="21"/>
                <w:szCs w:val="21"/>
                <w:color w:val="auto"/>
              </w:rPr>
            </w:pPr>
          </w:p>
        </w:tc>
        <w:tc>
          <w:tcPr>
            <w:tcW w:w="20" w:type="dxa"/>
            <w:vAlign w:val="bottom"/>
            <w:shd w:val="clear" w:color="auto" w:fill="3A2206"/>
          </w:tcPr>
          <w:p>
            <w:pPr>
              <w:spacing w:after="0"/>
              <w:rPr>
                <w:sz w:val="21"/>
                <w:szCs w:val="21"/>
                <w:color w:val="auto"/>
              </w:rPr>
            </w:pPr>
          </w:p>
        </w:tc>
        <w:tc>
          <w:tcPr>
            <w:tcW w:w="60" w:type="dxa"/>
            <w:vAlign w:val="bottom"/>
            <w:shd w:val="clear" w:color="auto" w:fill="3A2206"/>
          </w:tcPr>
          <w:p>
            <w:pPr>
              <w:spacing w:after="0"/>
              <w:rPr>
                <w:sz w:val="21"/>
                <w:szCs w:val="21"/>
                <w:color w:val="auto"/>
              </w:rPr>
            </w:pPr>
          </w:p>
        </w:tc>
        <w:tc>
          <w:tcPr>
            <w:tcW w:w="1160" w:type="dxa"/>
            <w:vAlign w:val="bottom"/>
            <w:shd w:val="clear" w:color="auto" w:fill="3A2206"/>
          </w:tcPr>
          <w:p>
            <w:pPr>
              <w:jc w:val="center"/>
              <w:ind w:right="39"/>
              <w:spacing w:after="0"/>
              <w:rPr>
                <w:sz w:val="20"/>
                <w:szCs w:val="20"/>
                <w:color w:val="auto"/>
              </w:rPr>
            </w:pPr>
            <w:r>
              <w:rPr>
                <w:rFonts w:ascii="Arial" w:cs="Arial" w:eastAsia="Arial" w:hAnsi="Arial"/>
                <w:sz w:val="14"/>
                <w:szCs w:val="14"/>
                <w:b w:val="1"/>
                <w:bCs w:val="1"/>
                <w:i w:val="1"/>
                <w:iCs w:val="1"/>
                <w:color w:val="FFFFFF"/>
              </w:rPr>
              <w:t>4Q23 ROE 9%</w:t>
            </w:r>
          </w:p>
        </w:tc>
        <w:tc>
          <w:tcPr>
            <w:tcW w:w="4200" w:type="dxa"/>
            <w:vAlign w:val="bottom"/>
            <w:gridSpan w:val="3"/>
          </w:tcPr>
          <w:p>
            <w:pPr>
              <w:ind w:left="20"/>
              <w:spacing w:after="0"/>
              <w:rPr>
                <w:sz w:val="20"/>
                <w:szCs w:val="20"/>
                <w:color w:val="auto"/>
              </w:rPr>
            </w:pPr>
            <w:r>
              <w:rPr>
                <w:rFonts w:ascii="Wingdings" w:cs="Wingdings" w:eastAsia="Wingdings" w:hAnsi="Wingdings"/>
                <w:sz w:val="18"/>
                <w:szCs w:val="18"/>
                <w:b w:val="1"/>
                <w:bCs w:val="1"/>
                <w:color w:val="3A2206"/>
              </w:rPr>
              <w:t xml:space="preserve">n </w:t>
            </w:r>
            <w:r>
              <w:rPr>
                <w:rFonts w:ascii="Times New Roman" w:cs="Times New Roman" w:eastAsia="Times New Roman" w:hAnsi="Times New Roman"/>
                <w:sz w:val="16"/>
                <w:szCs w:val="16"/>
                <w:color w:val="000000"/>
              </w:rPr>
              <w:t>Markets revenue of $5.8 billion, up 2%, with Fixed Income</w:t>
            </w:r>
          </w:p>
        </w:tc>
        <w:tc>
          <w:tcPr>
            <w:tcW w:w="5660" w:type="dxa"/>
            <w:vAlign w:val="bottom"/>
            <w:gridSpan w:val="3"/>
            <w:shd w:val="clear" w:color="auto" w:fill="E2E4E5"/>
          </w:tcPr>
          <w:p>
            <w:pPr>
              <w:ind w:left="20"/>
              <w:spacing w:after="0"/>
              <w:rPr>
                <w:sz w:val="20"/>
                <w:szCs w:val="20"/>
                <w:color w:val="auto"/>
              </w:rPr>
            </w:pPr>
            <w:r>
              <w:rPr>
                <w:rFonts w:ascii="Times New Roman" w:cs="Times New Roman" w:eastAsia="Times New Roman" w:hAnsi="Times New Roman"/>
                <w:sz w:val="16"/>
                <w:szCs w:val="16"/>
                <w:i w:val="1"/>
                <w:iCs w:val="1"/>
                <w:color w:val="auto"/>
              </w:rPr>
              <w:t>demonstrated why we must be prepared for any environment.</w:t>
            </w:r>
          </w:p>
        </w:tc>
        <w:tc>
          <w:tcPr>
            <w:tcW w:w="80" w:type="dxa"/>
            <w:vAlign w:val="bottom"/>
            <w:tcBorders>
              <w:left w:val="single" w:sz="8" w:color="E2E4E5"/>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3A2206"/>
          </w:tcPr>
          <w:p>
            <w:pPr>
              <w:spacing w:after="0"/>
              <w:rPr>
                <w:sz w:val="23"/>
                <w:szCs w:val="23"/>
                <w:color w:val="auto"/>
              </w:rPr>
            </w:pPr>
          </w:p>
        </w:tc>
        <w:tc>
          <w:tcPr>
            <w:tcW w:w="20" w:type="dxa"/>
            <w:vAlign w:val="bottom"/>
            <w:shd w:val="clear" w:color="auto" w:fill="3A2206"/>
          </w:tcPr>
          <w:p>
            <w:pPr>
              <w:spacing w:after="0"/>
              <w:rPr>
                <w:sz w:val="23"/>
                <w:szCs w:val="23"/>
                <w:color w:val="auto"/>
              </w:rPr>
            </w:pPr>
          </w:p>
        </w:tc>
        <w:tc>
          <w:tcPr>
            <w:tcW w:w="60" w:type="dxa"/>
            <w:vAlign w:val="bottom"/>
            <w:shd w:val="clear" w:color="auto" w:fill="3A2206"/>
          </w:tcPr>
          <w:p>
            <w:pPr>
              <w:spacing w:after="0"/>
              <w:rPr>
                <w:sz w:val="23"/>
                <w:szCs w:val="23"/>
                <w:color w:val="auto"/>
              </w:rPr>
            </w:pPr>
          </w:p>
        </w:tc>
        <w:tc>
          <w:tcPr>
            <w:tcW w:w="1160" w:type="dxa"/>
            <w:vAlign w:val="bottom"/>
            <w:shd w:val="clear" w:color="auto" w:fill="3A2206"/>
          </w:tcPr>
          <w:p>
            <w:pPr>
              <w:jc w:val="center"/>
              <w:ind w:right="39"/>
              <w:spacing w:after="0"/>
              <w:rPr>
                <w:sz w:val="20"/>
                <w:szCs w:val="20"/>
                <w:color w:val="auto"/>
              </w:rPr>
            </w:pPr>
            <w:r>
              <w:rPr>
                <w:rFonts w:ascii="Arial" w:cs="Arial" w:eastAsia="Arial" w:hAnsi="Arial"/>
                <w:sz w:val="14"/>
                <w:szCs w:val="14"/>
                <w:b w:val="1"/>
                <w:bCs w:val="1"/>
                <w:i w:val="1"/>
                <w:iCs w:val="1"/>
                <w:color w:val="FFFFFF"/>
              </w:rPr>
              <w:t>2023 ROE 13%</w:t>
            </w:r>
          </w:p>
        </w:tc>
        <w:tc>
          <w:tcPr>
            <w:tcW w:w="42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Markets up 8% and Equity Markets down 8%</w:t>
            </w:r>
          </w:p>
        </w:tc>
        <w:tc>
          <w:tcPr>
            <w:tcW w:w="5660" w:type="dxa"/>
            <w:vAlign w:val="bottom"/>
            <w:gridSpan w:val="3"/>
            <w:vMerge w:val="restart"/>
            <w:shd w:val="clear" w:color="auto" w:fill="E2E4E5"/>
          </w:tcPr>
          <w:p>
            <w:pPr>
              <w:ind w:left="20"/>
              <w:spacing w:after="0"/>
              <w:rPr>
                <w:sz w:val="20"/>
                <w:szCs w:val="20"/>
                <w:color w:val="auto"/>
              </w:rPr>
            </w:pPr>
            <w:r>
              <w:rPr>
                <w:rFonts w:ascii="Times New Roman" w:cs="Times New Roman" w:eastAsia="Times New Roman" w:hAnsi="Times New Roman"/>
                <w:sz w:val="16"/>
                <w:szCs w:val="16"/>
                <w:i w:val="1"/>
                <w:iCs w:val="1"/>
                <w:color w:val="auto"/>
              </w:rPr>
              <w:t>To conclude, I want to thank our tremendous employees for making us one of the most</w:t>
            </w:r>
          </w:p>
        </w:tc>
        <w:tc>
          <w:tcPr>
            <w:tcW w:w="80" w:type="dxa"/>
            <w:vAlign w:val="bottom"/>
            <w:tcBorders>
              <w:left w:val="single" w:sz="8" w:color="E2E4E5"/>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40" w:type="dxa"/>
            <w:vAlign w:val="bottom"/>
            <w:tcBorders>
              <w:bottom w:val="single" w:sz="8" w:color="041E42"/>
            </w:tcBorders>
          </w:tcPr>
          <w:p>
            <w:pPr>
              <w:spacing w:after="0"/>
              <w:rPr>
                <w:sz w:val="5"/>
                <w:szCs w:val="5"/>
                <w:color w:val="auto"/>
              </w:rPr>
            </w:pPr>
          </w:p>
        </w:tc>
        <w:tc>
          <w:tcPr>
            <w:tcW w:w="20" w:type="dxa"/>
            <w:vAlign w:val="bottom"/>
            <w:tcBorders>
              <w:bottom w:val="single" w:sz="8" w:color="041E42"/>
            </w:tcBorders>
          </w:tcPr>
          <w:p>
            <w:pPr>
              <w:spacing w:after="0"/>
              <w:rPr>
                <w:sz w:val="5"/>
                <w:szCs w:val="5"/>
                <w:color w:val="auto"/>
              </w:rPr>
            </w:pPr>
          </w:p>
        </w:tc>
        <w:tc>
          <w:tcPr>
            <w:tcW w:w="60" w:type="dxa"/>
            <w:vAlign w:val="bottom"/>
            <w:tcBorders>
              <w:bottom w:val="single" w:sz="8" w:color="041E42"/>
            </w:tcBorders>
          </w:tcPr>
          <w:p>
            <w:pPr>
              <w:spacing w:after="0"/>
              <w:rPr>
                <w:sz w:val="5"/>
                <w:szCs w:val="5"/>
                <w:color w:val="auto"/>
              </w:rPr>
            </w:pPr>
          </w:p>
        </w:tc>
        <w:tc>
          <w:tcPr>
            <w:tcW w:w="1160" w:type="dxa"/>
            <w:vAlign w:val="bottom"/>
            <w:tcBorders>
              <w:bottom w:val="single" w:sz="8" w:color="041E42"/>
            </w:tcBorders>
          </w:tcPr>
          <w:p>
            <w:pPr>
              <w:spacing w:after="0"/>
              <w:rPr>
                <w:sz w:val="5"/>
                <w:szCs w:val="5"/>
                <w:color w:val="auto"/>
              </w:rPr>
            </w:pPr>
          </w:p>
        </w:tc>
        <w:tc>
          <w:tcPr>
            <w:tcW w:w="2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5660" w:type="dxa"/>
            <w:vAlign w:val="bottom"/>
            <w:tcBorders>
              <w:bottom w:val="single" w:sz="8" w:color="E2E4E5"/>
            </w:tcBorders>
            <w:gridSpan w:val="3"/>
            <w:vMerge w:val="continue"/>
            <w:shd w:val="clear" w:color="auto" w:fill="E2E4E5"/>
          </w:tcPr>
          <w:p>
            <w:pPr>
              <w:spacing w:after="0"/>
              <w:rPr>
                <w:sz w:val="5"/>
                <w:szCs w:val="5"/>
                <w:color w:val="auto"/>
              </w:rPr>
            </w:pPr>
          </w:p>
        </w:tc>
        <w:tc>
          <w:tcPr>
            <w:tcW w:w="80" w:type="dxa"/>
            <w:vAlign w:val="bottom"/>
            <w:tcBorders>
              <w:left w:val="single" w:sz="8" w:color="E2E4E5"/>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041E42"/>
          </w:tcPr>
          <w:p>
            <w:pPr>
              <w:spacing w:after="0"/>
              <w:rPr>
                <w:sz w:val="15"/>
                <w:szCs w:val="15"/>
                <w:color w:val="auto"/>
              </w:rPr>
            </w:pPr>
          </w:p>
        </w:tc>
        <w:tc>
          <w:tcPr>
            <w:tcW w:w="20" w:type="dxa"/>
            <w:vAlign w:val="bottom"/>
            <w:shd w:val="clear" w:color="auto" w:fill="041E42"/>
          </w:tcPr>
          <w:p>
            <w:pPr>
              <w:spacing w:after="0"/>
              <w:rPr>
                <w:sz w:val="15"/>
                <w:szCs w:val="15"/>
                <w:color w:val="auto"/>
              </w:rPr>
            </w:pPr>
          </w:p>
        </w:tc>
        <w:tc>
          <w:tcPr>
            <w:tcW w:w="60" w:type="dxa"/>
            <w:vAlign w:val="bottom"/>
            <w:shd w:val="clear" w:color="auto" w:fill="041E42"/>
          </w:tcPr>
          <w:p>
            <w:pPr>
              <w:spacing w:after="0"/>
              <w:rPr>
                <w:sz w:val="15"/>
                <w:szCs w:val="15"/>
                <w:color w:val="auto"/>
              </w:rPr>
            </w:pPr>
          </w:p>
        </w:tc>
        <w:tc>
          <w:tcPr>
            <w:tcW w:w="1160" w:type="dxa"/>
            <w:vAlign w:val="bottom"/>
            <w:shd w:val="clear" w:color="auto" w:fill="041E42"/>
          </w:tcPr>
          <w:p>
            <w:pPr>
              <w:jc w:val="center"/>
              <w:ind w:right="19"/>
              <w:spacing w:after="0" w:line="176" w:lineRule="exact"/>
              <w:rPr>
                <w:sz w:val="20"/>
                <w:szCs w:val="20"/>
                <w:color w:val="auto"/>
              </w:rPr>
            </w:pPr>
            <w:r>
              <w:rPr>
                <w:rFonts w:ascii="Arial" w:cs="Arial" w:eastAsia="Arial" w:hAnsi="Arial"/>
                <w:sz w:val="18"/>
                <w:szCs w:val="18"/>
                <w:b w:val="1"/>
                <w:bCs w:val="1"/>
                <w:color w:val="FFFFFF"/>
                <w:w w:val="99"/>
              </w:rPr>
              <w:t>CB</w:t>
            </w:r>
          </w:p>
        </w:tc>
        <w:tc>
          <w:tcPr>
            <w:tcW w:w="4200" w:type="dxa"/>
            <w:vAlign w:val="bottom"/>
            <w:gridSpan w:val="3"/>
          </w:tcPr>
          <w:p>
            <w:pPr>
              <w:ind w:left="20"/>
              <w:spacing w:after="0" w:line="176" w:lineRule="exact"/>
              <w:rPr>
                <w:sz w:val="20"/>
                <w:szCs w:val="20"/>
                <w:color w:val="auto"/>
              </w:rPr>
            </w:pPr>
            <w:r>
              <w:rPr>
                <w:rFonts w:ascii="Wingdings" w:cs="Wingdings" w:eastAsia="Wingdings" w:hAnsi="Wingdings"/>
                <w:sz w:val="17"/>
                <w:szCs w:val="17"/>
                <w:b w:val="1"/>
                <w:bCs w:val="1"/>
                <w:color w:val="041E42"/>
              </w:rPr>
              <w:t xml:space="preserve">n </w:t>
            </w:r>
            <w:r>
              <w:rPr>
                <w:rFonts w:ascii="Times New Roman" w:cs="Times New Roman" w:eastAsia="Times New Roman" w:hAnsi="Times New Roman"/>
                <w:sz w:val="15"/>
                <w:szCs w:val="15"/>
                <w:color w:val="000000"/>
              </w:rPr>
              <w:t>Gross Investment Banking and Markets revenue</w:t>
            </w:r>
            <w:r>
              <w:rPr>
                <w:rFonts w:ascii="Times New Roman" w:cs="Times New Roman" w:eastAsia="Times New Roman" w:hAnsi="Times New Roman"/>
                <w:sz w:val="20"/>
                <w:szCs w:val="20"/>
                <w:color w:val="000000"/>
                <w:vertAlign w:val="superscript"/>
              </w:rPr>
              <w:t>10</w:t>
            </w:r>
            <w:r>
              <w:rPr>
                <w:rFonts w:ascii="Wingdings" w:cs="Wingdings" w:eastAsia="Wingdings" w:hAnsi="Wingdings"/>
                <w:sz w:val="17"/>
                <w:szCs w:val="17"/>
                <w:b w:val="1"/>
                <w:bCs w:val="1"/>
                <w:color w:val="041E42"/>
              </w:rPr>
              <w:t xml:space="preserve"> </w:t>
            </w:r>
            <w:r>
              <w:rPr>
                <w:rFonts w:ascii="Times New Roman" w:cs="Times New Roman" w:eastAsia="Times New Roman" w:hAnsi="Times New Roman"/>
                <w:sz w:val="15"/>
                <w:szCs w:val="15"/>
                <w:color w:val="000000"/>
              </w:rPr>
              <w:t>of $924</w:t>
            </w:r>
          </w:p>
        </w:tc>
        <w:tc>
          <w:tcPr>
            <w:tcW w:w="5660" w:type="dxa"/>
            <w:vAlign w:val="bottom"/>
            <w:gridSpan w:val="3"/>
            <w:shd w:val="clear" w:color="auto" w:fill="E2E4E5"/>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trusted financial institutions in the world. They work tirelessly to serve our clients,</w:t>
            </w:r>
          </w:p>
        </w:tc>
        <w:tc>
          <w:tcPr>
            <w:tcW w:w="80" w:type="dxa"/>
            <w:vAlign w:val="bottom"/>
            <w:tcBorders>
              <w:left w:val="single" w:sz="8" w:color="E2E4E5"/>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041E42"/>
          </w:tcPr>
          <w:p>
            <w:pPr>
              <w:spacing w:after="0"/>
              <w:rPr>
                <w:sz w:val="15"/>
                <w:szCs w:val="15"/>
                <w:color w:val="auto"/>
              </w:rPr>
            </w:pPr>
          </w:p>
        </w:tc>
        <w:tc>
          <w:tcPr>
            <w:tcW w:w="20" w:type="dxa"/>
            <w:vAlign w:val="bottom"/>
            <w:shd w:val="clear" w:color="auto" w:fill="041E42"/>
          </w:tcPr>
          <w:p>
            <w:pPr>
              <w:spacing w:after="0"/>
              <w:rPr>
                <w:sz w:val="15"/>
                <w:szCs w:val="15"/>
                <w:color w:val="auto"/>
              </w:rPr>
            </w:pPr>
          </w:p>
        </w:tc>
        <w:tc>
          <w:tcPr>
            <w:tcW w:w="60" w:type="dxa"/>
            <w:vAlign w:val="bottom"/>
            <w:shd w:val="clear" w:color="auto" w:fill="041E42"/>
          </w:tcPr>
          <w:p>
            <w:pPr>
              <w:spacing w:after="0"/>
              <w:rPr>
                <w:sz w:val="15"/>
                <w:szCs w:val="15"/>
                <w:color w:val="auto"/>
              </w:rPr>
            </w:pPr>
          </w:p>
        </w:tc>
        <w:tc>
          <w:tcPr>
            <w:tcW w:w="1160" w:type="dxa"/>
            <w:vAlign w:val="bottom"/>
            <w:shd w:val="clear" w:color="auto" w:fill="041E42"/>
          </w:tcPr>
          <w:p>
            <w:pPr>
              <w:spacing w:after="0"/>
              <w:rPr>
                <w:sz w:val="15"/>
                <w:szCs w:val="15"/>
                <w:color w:val="auto"/>
              </w:rPr>
            </w:pPr>
          </w:p>
        </w:tc>
        <w:tc>
          <w:tcPr>
            <w:tcW w:w="2620" w:type="dxa"/>
            <w:vAlign w:val="bottom"/>
            <w:gridSpan w:val="2"/>
          </w:tcPr>
          <w:p>
            <w:pPr>
              <w:ind w:left="260"/>
              <w:spacing w:after="0" w:line="175" w:lineRule="exact"/>
              <w:rPr>
                <w:sz w:val="20"/>
                <w:szCs w:val="20"/>
                <w:color w:val="auto"/>
              </w:rPr>
            </w:pPr>
            <w:r>
              <w:rPr>
                <w:rFonts w:ascii="Times New Roman" w:cs="Times New Roman" w:eastAsia="Times New Roman" w:hAnsi="Times New Roman"/>
                <w:sz w:val="16"/>
                <w:szCs w:val="16"/>
                <w:color w:val="auto"/>
              </w:rPr>
              <w:t>million, up 32%</w:t>
            </w:r>
          </w:p>
        </w:tc>
        <w:tc>
          <w:tcPr>
            <w:tcW w:w="1580" w:type="dxa"/>
            <w:vAlign w:val="bottom"/>
          </w:tcPr>
          <w:p>
            <w:pPr>
              <w:spacing w:after="0"/>
              <w:rPr>
                <w:sz w:val="15"/>
                <w:szCs w:val="15"/>
                <w:color w:val="auto"/>
              </w:rPr>
            </w:pPr>
          </w:p>
        </w:tc>
        <w:tc>
          <w:tcPr>
            <w:tcW w:w="5660" w:type="dxa"/>
            <w:vAlign w:val="bottom"/>
            <w:gridSpan w:val="3"/>
            <w:shd w:val="clear" w:color="auto" w:fill="E2E4E5"/>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w w:val="99"/>
              </w:rPr>
              <w:t>including extending credit and raising capital totaling $2.3 trillion, as well as providing</w:t>
            </w:r>
          </w:p>
        </w:tc>
        <w:tc>
          <w:tcPr>
            <w:tcW w:w="80" w:type="dxa"/>
            <w:vAlign w:val="bottom"/>
            <w:tcBorders>
              <w:left w:val="single" w:sz="8" w:color="E2E4E5"/>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041E42"/>
          </w:tcPr>
          <w:p>
            <w:pPr>
              <w:spacing w:after="0"/>
              <w:rPr>
                <w:sz w:val="22"/>
                <w:szCs w:val="22"/>
                <w:color w:val="auto"/>
              </w:rPr>
            </w:pPr>
          </w:p>
        </w:tc>
        <w:tc>
          <w:tcPr>
            <w:tcW w:w="20" w:type="dxa"/>
            <w:vAlign w:val="bottom"/>
            <w:shd w:val="clear" w:color="auto" w:fill="041E42"/>
          </w:tcPr>
          <w:p>
            <w:pPr>
              <w:spacing w:after="0"/>
              <w:rPr>
                <w:sz w:val="22"/>
                <w:szCs w:val="22"/>
                <w:color w:val="auto"/>
              </w:rPr>
            </w:pPr>
          </w:p>
        </w:tc>
        <w:tc>
          <w:tcPr>
            <w:tcW w:w="1220" w:type="dxa"/>
            <w:vAlign w:val="bottom"/>
            <w:gridSpan w:val="2"/>
            <w:shd w:val="clear" w:color="auto" w:fill="041E42"/>
          </w:tcPr>
          <w:p>
            <w:pPr>
              <w:jc w:val="center"/>
              <w:spacing w:after="0"/>
              <w:rPr>
                <w:sz w:val="20"/>
                <w:szCs w:val="20"/>
                <w:color w:val="auto"/>
              </w:rPr>
            </w:pPr>
            <w:r>
              <w:rPr>
                <w:rFonts w:ascii="Arial" w:cs="Arial" w:eastAsia="Arial" w:hAnsi="Arial"/>
                <w:sz w:val="14"/>
                <w:szCs w:val="14"/>
                <w:b w:val="1"/>
                <w:bCs w:val="1"/>
                <w:i w:val="1"/>
                <w:iCs w:val="1"/>
                <w:color w:val="FFFFFF"/>
              </w:rPr>
              <w:t>4Q23 ROE 21%</w:t>
            </w:r>
          </w:p>
        </w:tc>
        <w:tc>
          <w:tcPr>
            <w:tcW w:w="4200" w:type="dxa"/>
            <w:vAlign w:val="bottom"/>
            <w:gridSpan w:val="3"/>
          </w:tcPr>
          <w:p>
            <w:pPr>
              <w:ind w:left="20"/>
              <w:spacing w:after="0"/>
              <w:rPr>
                <w:sz w:val="20"/>
                <w:szCs w:val="20"/>
                <w:color w:val="auto"/>
              </w:rPr>
            </w:pPr>
            <w:r>
              <w:rPr>
                <w:rFonts w:ascii="Wingdings" w:cs="Wingdings" w:eastAsia="Wingdings" w:hAnsi="Wingdings"/>
                <w:sz w:val="18"/>
                <w:szCs w:val="18"/>
                <w:b w:val="1"/>
                <w:bCs w:val="1"/>
                <w:color w:val="041E42"/>
              </w:rPr>
              <w:t xml:space="preserve">n </w:t>
            </w:r>
            <w:r>
              <w:rPr>
                <w:rFonts w:ascii="Times New Roman" w:cs="Times New Roman" w:eastAsia="Times New Roman" w:hAnsi="Times New Roman"/>
                <w:sz w:val="16"/>
                <w:szCs w:val="16"/>
                <w:color w:val="000000"/>
              </w:rPr>
              <w:t>Average loans up 19%, or up 3% excluding First Republic;</w:t>
            </w:r>
          </w:p>
        </w:tc>
        <w:tc>
          <w:tcPr>
            <w:tcW w:w="5660" w:type="dxa"/>
            <w:vAlign w:val="bottom"/>
            <w:gridSpan w:val="3"/>
            <w:shd w:val="clear" w:color="auto" w:fill="E2E4E5"/>
          </w:tcPr>
          <w:p>
            <w:pPr>
              <w:ind w:left="20"/>
              <w:spacing w:after="0"/>
              <w:rPr>
                <w:sz w:val="20"/>
                <w:szCs w:val="20"/>
                <w:color w:val="auto"/>
              </w:rPr>
            </w:pPr>
            <w:r>
              <w:rPr>
                <w:rFonts w:ascii="Times New Roman" w:cs="Times New Roman" w:eastAsia="Times New Roman" w:hAnsi="Times New Roman"/>
                <w:sz w:val="16"/>
                <w:szCs w:val="16"/>
                <w:i w:val="1"/>
                <w:iCs w:val="1"/>
                <w:color w:val="auto"/>
              </w:rPr>
              <w:t>continuity for First Republic customers.”</w:t>
            </w:r>
          </w:p>
        </w:tc>
        <w:tc>
          <w:tcPr>
            <w:tcW w:w="80" w:type="dxa"/>
            <w:vAlign w:val="bottom"/>
            <w:tcBorders>
              <w:left w:val="single" w:sz="8" w:color="E2E4E5"/>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041E42"/>
          </w:tcPr>
          <w:p>
            <w:pPr>
              <w:spacing w:after="0"/>
              <w:rPr>
                <w:sz w:val="21"/>
                <w:szCs w:val="21"/>
                <w:color w:val="auto"/>
              </w:rPr>
            </w:pPr>
          </w:p>
        </w:tc>
        <w:tc>
          <w:tcPr>
            <w:tcW w:w="20" w:type="dxa"/>
            <w:vAlign w:val="bottom"/>
            <w:shd w:val="clear" w:color="auto" w:fill="041E42"/>
          </w:tcPr>
          <w:p>
            <w:pPr>
              <w:spacing w:after="0"/>
              <w:rPr>
                <w:sz w:val="21"/>
                <w:szCs w:val="21"/>
                <w:color w:val="auto"/>
              </w:rPr>
            </w:pPr>
          </w:p>
        </w:tc>
        <w:tc>
          <w:tcPr>
            <w:tcW w:w="60" w:type="dxa"/>
            <w:vAlign w:val="bottom"/>
            <w:shd w:val="clear" w:color="auto" w:fill="041E42"/>
          </w:tcPr>
          <w:p>
            <w:pPr>
              <w:spacing w:after="0"/>
              <w:rPr>
                <w:sz w:val="21"/>
                <w:szCs w:val="21"/>
                <w:color w:val="auto"/>
              </w:rPr>
            </w:pPr>
          </w:p>
        </w:tc>
        <w:tc>
          <w:tcPr>
            <w:tcW w:w="1160" w:type="dxa"/>
            <w:vAlign w:val="bottom"/>
            <w:shd w:val="clear" w:color="auto" w:fill="041E42"/>
          </w:tcPr>
          <w:p>
            <w:pPr>
              <w:jc w:val="center"/>
              <w:ind w:right="39"/>
              <w:spacing w:after="0"/>
              <w:rPr>
                <w:sz w:val="20"/>
                <w:szCs w:val="20"/>
                <w:color w:val="auto"/>
              </w:rPr>
            </w:pPr>
            <w:r>
              <w:rPr>
                <w:rFonts w:ascii="Arial" w:cs="Arial" w:eastAsia="Arial" w:hAnsi="Arial"/>
                <w:sz w:val="14"/>
                <w:szCs w:val="14"/>
                <w:b w:val="1"/>
                <w:bCs w:val="1"/>
                <w:i w:val="1"/>
                <w:iCs w:val="1"/>
                <w:color w:val="FFFFFF"/>
              </w:rPr>
              <w:t>2023 ROE 20%</w:t>
            </w:r>
          </w:p>
        </w:tc>
        <w:tc>
          <w:tcPr>
            <w:tcW w:w="26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average deposits down 4%</w:t>
            </w:r>
          </w:p>
        </w:tc>
        <w:tc>
          <w:tcPr>
            <w:tcW w:w="1580" w:type="dxa"/>
            <w:vAlign w:val="bottom"/>
          </w:tcPr>
          <w:p>
            <w:pPr>
              <w:spacing w:after="0"/>
              <w:rPr>
                <w:sz w:val="21"/>
                <w:szCs w:val="21"/>
                <w:color w:val="auto"/>
              </w:rPr>
            </w:pPr>
          </w:p>
        </w:tc>
        <w:tc>
          <w:tcPr>
            <w:tcW w:w="1840" w:type="dxa"/>
            <w:vAlign w:val="bottom"/>
            <w:shd w:val="clear" w:color="auto" w:fill="E2E4E5"/>
          </w:tcPr>
          <w:p>
            <w:pPr>
              <w:spacing w:after="0"/>
              <w:rPr>
                <w:sz w:val="21"/>
                <w:szCs w:val="21"/>
                <w:color w:val="auto"/>
              </w:rPr>
            </w:pPr>
          </w:p>
        </w:tc>
        <w:tc>
          <w:tcPr>
            <w:tcW w:w="400" w:type="dxa"/>
            <w:vAlign w:val="bottom"/>
            <w:shd w:val="clear" w:color="auto" w:fill="E2E4E5"/>
          </w:tcPr>
          <w:p>
            <w:pPr>
              <w:spacing w:after="0"/>
              <w:rPr>
                <w:sz w:val="21"/>
                <w:szCs w:val="21"/>
                <w:color w:val="auto"/>
              </w:rPr>
            </w:pPr>
          </w:p>
        </w:tc>
        <w:tc>
          <w:tcPr>
            <w:tcW w:w="3420" w:type="dxa"/>
            <w:vAlign w:val="bottom"/>
            <w:shd w:val="clear" w:color="auto" w:fill="E2E4E5"/>
          </w:tcPr>
          <w:p>
            <w:pPr>
              <w:spacing w:after="0"/>
              <w:rPr>
                <w:sz w:val="21"/>
                <w:szCs w:val="21"/>
                <w:color w:val="auto"/>
              </w:rPr>
            </w:pPr>
          </w:p>
        </w:tc>
        <w:tc>
          <w:tcPr>
            <w:tcW w:w="80" w:type="dxa"/>
            <w:vAlign w:val="bottom"/>
            <w:tcBorders>
              <w:left w:val="single" w:sz="8" w:color="E2E4E5"/>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0" w:type="dxa"/>
            <w:vAlign w:val="bottom"/>
            <w:gridSpan w:val="3"/>
            <w:vMerge w:val="restart"/>
          </w:tcPr>
          <w:p>
            <w:pPr>
              <w:ind w:left="20"/>
              <w:spacing w:after="0"/>
              <w:rPr>
                <w:sz w:val="20"/>
                <w:szCs w:val="20"/>
                <w:color w:val="auto"/>
              </w:rPr>
            </w:pPr>
            <w:r>
              <w:rPr>
                <w:rFonts w:ascii="Wingdings" w:cs="Wingdings" w:eastAsia="Wingdings" w:hAnsi="Wingdings"/>
                <w:sz w:val="18"/>
                <w:szCs w:val="18"/>
                <w:b w:val="1"/>
                <w:bCs w:val="1"/>
                <w:color w:val="048297"/>
              </w:rPr>
              <w:t xml:space="preserve">n </w:t>
            </w:r>
            <w:r>
              <w:rPr>
                <w:rFonts w:ascii="Times New Roman" w:cs="Times New Roman" w:eastAsia="Times New Roman" w:hAnsi="Times New Roman"/>
                <w:sz w:val="16"/>
                <w:szCs w:val="16"/>
                <w:color w:val="000000"/>
              </w:rPr>
              <w:t>Assets under management (AUM) of $3.4 trillion, up 24%</w:t>
            </w:r>
          </w:p>
        </w:tc>
        <w:tc>
          <w:tcPr>
            <w:tcW w:w="1840" w:type="dxa"/>
            <w:vAlign w:val="bottom"/>
            <w:shd w:val="clear" w:color="auto" w:fill="E2E4E5"/>
          </w:tcPr>
          <w:p>
            <w:pPr>
              <w:spacing w:after="0"/>
              <w:rPr>
                <w:sz w:val="4"/>
                <w:szCs w:val="4"/>
                <w:color w:val="auto"/>
              </w:rPr>
            </w:pPr>
          </w:p>
        </w:tc>
        <w:tc>
          <w:tcPr>
            <w:tcW w:w="400" w:type="dxa"/>
            <w:vAlign w:val="bottom"/>
            <w:shd w:val="clear" w:color="auto" w:fill="E2E4E5"/>
          </w:tcPr>
          <w:p>
            <w:pPr>
              <w:spacing w:after="0"/>
              <w:rPr>
                <w:sz w:val="4"/>
                <w:szCs w:val="4"/>
                <w:color w:val="auto"/>
              </w:rPr>
            </w:pPr>
          </w:p>
        </w:tc>
        <w:tc>
          <w:tcPr>
            <w:tcW w:w="3420" w:type="dxa"/>
            <w:vAlign w:val="bottom"/>
            <w:shd w:val="clear" w:color="auto" w:fill="E2E4E5"/>
          </w:tcPr>
          <w:p>
            <w:pPr>
              <w:spacing w:after="0"/>
              <w:rPr>
                <w:sz w:val="4"/>
                <w:szCs w:val="4"/>
                <w:color w:val="auto"/>
              </w:rPr>
            </w:pPr>
          </w:p>
        </w:tc>
        <w:tc>
          <w:tcPr>
            <w:tcW w:w="80" w:type="dxa"/>
            <w:vAlign w:val="bottom"/>
            <w:tcBorders>
              <w:left w:val="single" w:sz="8" w:color="E2E4E5"/>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40" w:type="dxa"/>
            <w:vAlign w:val="bottom"/>
            <w:shd w:val="clear" w:color="auto" w:fill="048297"/>
          </w:tcPr>
          <w:p>
            <w:pPr>
              <w:spacing w:after="0"/>
              <w:rPr>
                <w:sz w:val="24"/>
                <w:szCs w:val="24"/>
                <w:color w:val="auto"/>
              </w:rPr>
            </w:pPr>
          </w:p>
        </w:tc>
        <w:tc>
          <w:tcPr>
            <w:tcW w:w="20" w:type="dxa"/>
            <w:vAlign w:val="bottom"/>
            <w:shd w:val="clear" w:color="auto" w:fill="048297"/>
          </w:tcPr>
          <w:p>
            <w:pPr>
              <w:spacing w:after="0"/>
              <w:rPr>
                <w:sz w:val="24"/>
                <w:szCs w:val="24"/>
                <w:color w:val="auto"/>
              </w:rPr>
            </w:pPr>
          </w:p>
        </w:tc>
        <w:tc>
          <w:tcPr>
            <w:tcW w:w="60" w:type="dxa"/>
            <w:vAlign w:val="bottom"/>
            <w:shd w:val="clear" w:color="auto" w:fill="048297"/>
          </w:tcPr>
          <w:p>
            <w:pPr>
              <w:spacing w:after="0"/>
              <w:rPr>
                <w:sz w:val="24"/>
                <w:szCs w:val="24"/>
                <w:color w:val="auto"/>
              </w:rPr>
            </w:pPr>
          </w:p>
        </w:tc>
        <w:tc>
          <w:tcPr>
            <w:tcW w:w="1160" w:type="dxa"/>
            <w:vAlign w:val="bottom"/>
            <w:shd w:val="clear" w:color="auto" w:fill="048297"/>
          </w:tcPr>
          <w:p>
            <w:pPr>
              <w:jc w:val="center"/>
              <w:ind w:right="39"/>
              <w:spacing w:after="0"/>
              <w:rPr>
                <w:sz w:val="20"/>
                <w:szCs w:val="20"/>
                <w:color w:val="auto"/>
              </w:rPr>
            </w:pPr>
            <w:r>
              <w:rPr>
                <w:rFonts w:ascii="Arial" w:cs="Arial" w:eastAsia="Arial" w:hAnsi="Arial"/>
                <w:sz w:val="18"/>
                <w:szCs w:val="18"/>
                <w:b w:val="1"/>
                <w:bCs w:val="1"/>
                <w:color w:val="FFFFFF"/>
                <w:w w:val="97"/>
              </w:rPr>
              <w:t>AWM</w:t>
            </w:r>
          </w:p>
        </w:tc>
        <w:tc>
          <w:tcPr>
            <w:tcW w:w="4200" w:type="dxa"/>
            <w:vAlign w:val="bottom"/>
            <w:gridSpan w:val="3"/>
            <w:vMerge w:val="continue"/>
          </w:tcPr>
          <w:p>
            <w:pPr>
              <w:spacing w:after="0"/>
              <w:rPr>
                <w:sz w:val="24"/>
                <w:szCs w:val="24"/>
                <w:color w:val="auto"/>
              </w:rPr>
            </w:pPr>
          </w:p>
        </w:tc>
        <w:tc>
          <w:tcPr>
            <w:tcW w:w="1840" w:type="dxa"/>
            <w:vAlign w:val="bottom"/>
            <w:shd w:val="clear" w:color="auto" w:fill="E2E4E5"/>
          </w:tcPr>
          <w:p>
            <w:pPr>
              <w:spacing w:after="0"/>
              <w:rPr>
                <w:sz w:val="24"/>
                <w:szCs w:val="24"/>
                <w:color w:val="auto"/>
              </w:rPr>
            </w:pPr>
          </w:p>
        </w:tc>
        <w:tc>
          <w:tcPr>
            <w:tcW w:w="400" w:type="dxa"/>
            <w:vAlign w:val="bottom"/>
            <w:shd w:val="clear" w:color="auto" w:fill="E2E4E5"/>
          </w:tcPr>
          <w:p>
            <w:pPr>
              <w:spacing w:after="0"/>
              <w:rPr>
                <w:sz w:val="24"/>
                <w:szCs w:val="24"/>
                <w:color w:val="auto"/>
              </w:rPr>
            </w:pPr>
          </w:p>
        </w:tc>
        <w:tc>
          <w:tcPr>
            <w:tcW w:w="3420" w:type="dxa"/>
            <w:vAlign w:val="bottom"/>
            <w:shd w:val="clear" w:color="auto" w:fill="E2E4E5"/>
          </w:tcPr>
          <w:p>
            <w:pPr>
              <w:spacing w:after="0"/>
              <w:rPr>
                <w:sz w:val="24"/>
                <w:szCs w:val="24"/>
                <w:color w:val="auto"/>
              </w:rPr>
            </w:pPr>
          </w:p>
        </w:tc>
        <w:tc>
          <w:tcPr>
            <w:tcW w:w="80" w:type="dxa"/>
            <w:vAlign w:val="bottom"/>
            <w:tcBorders>
              <w:left w:val="single" w:sz="8" w:color="E2E4E5"/>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0" w:type="dxa"/>
            <w:vAlign w:val="bottom"/>
            <w:shd w:val="clear" w:color="auto" w:fill="048297"/>
          </w:tcPr>
          <w:p>
            <w:pPr>
              <w:spacing w:after="0"/>
              <w:rPr>
                <w:sz w:val="24"/>
                <w:szCs w:val="24"/>
                <w:color w:val="auto"/>
              </w:rPr>
            </w:pPr>
          </w:p>
        </w:tc>
        <w:tc>
          <w:tcPr>
            <w:tcW w:w="20" w:type="dxa"/>
            <w:vAlign w:val="bottom"/>
            <w:shd w:val="clear" w:color="auto" w:fill="048297"/>
          </w:tcPr>
          <w:p>
            <w:pPr>
              <w:spacing w:after="0"/>
              <w:rPr>
                <w:sz w:val="24"/>
                <w:szCs w:val="24"/>
                <w:color w:val="auto"/>
              </w:rPr>
            </w:pPr>
          </w:p>
        </w:tc>
        <w:tc>
          <w:tcPr>
            <w:tcW w:w="1220" w:type="dxa"/>
            <w:vAlign w:val="bottom"/>
            <w:gridSpan w:val="2"/>
            <w:shd w:val="clear" w:color="auto" w:fill="048297"/>
          </w:tcPr>
          <w:p>
            <w:pPr>
              <w:jc w:val="center"/>
              <w:spacing w:after="0"/>
              <w:rPr>
                <w:sz w:val="20"/>
                <w:szCs w:val="20"/>
                <w:color w:val="auto"/>
              </w:rPr>
            </w:pPr>
            <w:r>
              <w:rPr>
                <w:rFonts w:ascii="Arial" w:cs="Arial" w:eastAsia="Arial" w:hAnsi="Arial"/>
                <w:sz w:val="14"/>
                <w:szCs w:val="14"/>
                <w:b w:val="1"/>
                <w:bCs w:val="1"/>
                <w:color w:val="FFFFFF"/>
              </w:rPr>
              <w:t>4Q23 ROE 28%</w:t>
            </w:r>
          </w:p>
        </w:tc>
        <w:tc>
          <w:tcPr>
            <w:tcW w:w="4200" w:type="dxa"/>
            <w:vAlign w:val="bottom"/>
            <w:gridSpan w:val="3"/>
          </w:tcPr>
          <w:p>
            <w:pPr>
              <w:ind w:left="20"/>
              <w:spacing w:after="0"/>
              <w:rPr>
                <w:sz w:val="20"/>
                <w:szCs w:val="20"/>
                <w:color w:val="auto"/>
              </w:rPr>
            </w:pPr>
            <w:r>
              <w:rPr>
                <w:rFonts w:ascii="Wingdings" w:cs="Wingdings" w:eastAsia="Wingdings" w:hAnsi="Wingdings"/>
                <w:sz w:val="18"/>
                <w:szCs w:val="18"/>
                <w:b w:val="1"/>
                <w:bCs w:val="1"/>
                <w:color w:val="048297"/>
              </w:rPr>
              <w:t xml:space="preserve">n </w:t>
            </w:r>
            <w:r>
              <w:rPr>
                <w:rFonts w:ascii="Times New Roman" w:cs="Times New Roman" w:eastAsia="Times New Roman" w:hAnsi="Times New Roman"/>
                <w:sz w:val="16"/>
                <w:szCs w:val="16"/>
                <w:color w:val="000000"/>
              </w:rPr>
              <w:t>Average loans up 6%, or up 1% excluding First Republic;</w:t>
            </w:r>
          </w:p>
        </w:tc>
        <w:tc>
          <w:tcPr>
            <w:tcW w:w="1840" w:type="dxa"/>
            <w:vAlign w:val="bottom"/>
            <w:shd w:val="clear" w:color="auto" w:fill="E2E4E5"/>
          </w:tcPr>
          <w:p>
            <w:pPr>
              <w:spacing w:after="0"/>
              <w:rPr>
                <w:sz w:val="24"/>
                <w:szCs w:val="24"/>
                <w:color w:val="auto"/>
              </w:rPr>
            </w:pPr>
          </w:p>
        </w:tc>
        <w:tc>
          <w:tcPr>
            <w:tcW w:w="400" w:type="dxa"/>
            <w:vAlign w:val="bottom"/>
            <w:shd w:val="clear" w:color="auto" w:fill="E2E4E5"/>
          </w:tcPr>
          <w:p>
            <w:pPr>
              <w:spacing w:after="0"/>
              <w:rPr>
                <w:sz w:val="24"/>
                <w:szCs w:val="24"/>
                <w:color w:val="auto"/>
              </w:rPr>
            </w:pPr>
          </w:p>
        </w:tc>
        <w:tc>
          <w:tcPr>
            <w:tcW w:w="3420" w:type="dxa"/>
            <w:vAlign w:val="bottom"/>
            <w:shd w:val="clear" w:color="auto" w:fill="E2E4E5"/>
          </w:tcPr>
          <w:p>
            <w:pPr>
              <w:spacing w:after="0"/>
              <w:rPr>
                <w:sz w:val="24"/>
                <w:szCs w:val="24"/>
                <w:color w:val="auto"/>
              </w:rPr>
            </w:pPr>
          </w:p>
        </w:tc>
        <w:tc>
          <w:tcPr>
            <w:tcW w:w="80" w:type="dxa"/>
            <w:vAlign w:val="bottom"/>
            <w:tcBorders>
              <w:left w:val="single" w:sz="8" w:color="E2E4E5"/>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0" w:type="dxa"/>
            <w:vAlign w:val="bottom"/>
            <w:shd w:val="clear" w:color="auto" w:fill="048297"/>
          </w:tcPr>
          <w:p>
            <w:pPr>
              <w:spacing w:after="0"/>
              <w:rPr>
                <w:sz w:val="21"/>
                <w:szCs w:val="21"/>
                <w:color w:val="auto"/>
              </w:rPr>
            </w:pPr>
          </w:p>
        </w:tc>
        <w:tc>
          <w:tcPr>
            <w:tcW w:w="20" w:type="dxa"/>
            <w:vAlign w:val="bottom"/>
            <w:shd w:val="clear" w:color="auto" w:fill="048297"/>
          </w:tcPr>
          <w:p>
            <w:pPr>
              <w:spacing w:after="0"/>
              <w:rPr>
                <w:sz w:val="21"/>
                <w:szCs w:val="21"/>
                <w:color w:val="auto"/>
              </w:rPr>
            </w:pPr>
          </w:p>
        </w:tc>
        <w:tc>
          <w:tcPr>
            <w:tcW w:w="60" w:type="dxa"/>
            <w:vAlign w:val="bottom"/>
            <w:shd w:val="clear" w:color="auto" w:fill="048297"/>
          </w:tcPr>
          <w:p>
            <w:pPr>
              <w:spacing w:after="0"/>
              <w:rPr>
                <w:sz w:val="21"/>
                <w:szCs w:val="21"/>
                <w:color w:val="auto"/>
              </w:rPr>
            </w:pPr>
          </w:p>
        </w:tc>
        <w:tc>
          <w:tcPr>
            <w:tcW w:w="1160" w:type="dxa"/>
            <w:vAlign w:val="bottom"/>
            <w:shd w:val="clear" w:color="auto" w:fill="048297"/>
          </w:tcPr>
          <w:p>
            <w:pPr>
              <w:jc w:val="center"/>
              <w:ind w:right="39"/>
              <w:spacing w:after="0"/>
              <w:rPr>
                <w:sz w:val="20"/>
                <w:szCs w:val="20"/>
                <w:color w:val="auto"/>
              </w:rPr>
            </w:pPr>
            <w:r>
              <w:rPr>
                <w:rFonts w:ascii="Arial" w:cs="Arial" w:eastAsia="Arial" w:hAnsi="Arial"/>
                <w:sz w:val="14"/>
                <w:szCs w:val="14"/>
                <w:b w:val="1"/>
                <w:bCs w:val="1"/>
                <w:color w:val="FFFFFF"/>
              </w:rPr>
              <w:t>2023 ROE 31%</w:t>
            </w:r>
          </w:p>
        </w:tc>
        <w:tc>
          <w:tcPr>
            <w:tcW w:w="26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average deposits down 4%</w:t>
            </w:r>
          </w:p>
        </w:tc>
        <w:tc>
          <w:tcPr>
            <w:tcW w:w="1580" w:type="dxa"/>
            <w:vAlign w:val="bottom"/>
          </w:tcPr>
          <w:p>
            <w:pPr>
              <w:spacing w:after="0"/>
              <w:rPr>
                <w:sz w:val="21"/>
                <w:szCs w:val="21"/>
                <w:color w:val="auto"/>
              </w:rPr>
            </w:pPr>
          </w:p>
        </w:tc>
        <w:tc>
          <w:tcPr>
            <w:tcW w:w="1840" w:type="dxa"/>
            <w:vAlign w:val="bottom"/>
            <w:shd w:val="clear" w:color="auto" w:fill="E2E4E5"/>
          </w:tcPr>
          <w:p>
            <w:pPr>
              <w:spacing w:after="0"/>
              <w:rPr>
                <w:sz w:val="21"/>
                <w:szCs w:val="21"/>
                <w:color w:val="auto"/>
              </w:rPr>
            </w:pPr>
          </w:p>
        </w:tc>
        <w:tc>
          <w:tcPr>
            <w:tcW w:w="400" w:type="dxa"/>
            <w:vAlign w:val="bottom"/>
            <w:shd w:val="clear" w:color="auto" w:fill="E2E4E5"/>
          </w:tcPr>
          <w:p>
            <w:pPr>
              <w:spacing w:after="0"/>
              <w:rPr>
                <w:sz w:val="21"/>
                <w:szCs w:val="21"/>
                <w:color w:val="auto"/>
              </w:rPr>
            </w:pPr>
          </w:p>
        </w:tc>
        <w:tc>
          <w:tcPr>
            <w:tcW w:w="3420" w:type="dxa"/>
            <w:vAlign w:val="bottom"/>
            <w:shd w:val="clear" w:color="auto" w:fill="E2E4E5"/>
          </w:tcPr>
          <w:p>
            <w:pPr>
              <w:spacing w:after="0"/>
              <w:rPr>
                <w:sz w:val="21"/>
                <w:szCs w:val="21"/>
                <w:color w:val="auto"/>
              </w:rPr>
            </w:pPr>
          </w:p>
        </w:tc>
        <w:tc>
          <w:tcPr>
            <w:tcW w:w="80" w:type="dxa"/>
            <w:vAlign w:val="bottom"/>
            <w:tcBorders>
              <w:left w:val="single" w:sz="8" w:color="E2E4E5"/>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 w:type="dxa"/>
            <w:vAlign w:val="bottom"/>
            <w:tcBorders>
              <w:bottom w:val="single" w:sz="8" w:color="ACACAC"/>
            </w:tcBorders>
          </w:tcPr>
          <w:p>
            <w:pPr>
              <w:spacing w:after="0"/>
              <w:rPr>
                <w:sz w:val="15"/>
                <w:szCs w:val="15"/>
                <w:color w:val="auto"/>
              </w:rPr>
            </w:pPr>
          </w:p>
        </w:tc>
        <w:tc>
          <w:tcPr>
            <w:tcW w:w="60" w:type="dxa"/>
            <w:vAlign w:val="bottom"/>
            <w:tcBorders>
              <w:bottom w:val="single" w:sz="8" w:color="ACACAC"/>
            </w:tcBorders>
          </w:tcPr>
          <w:p>
            <w:pPr>
              <w:spacing w:after="0"/>
              <w:rPr>
                <w:sz w:val="15"/>
                <w:szCs w:val="15"/>
                <w:color w:val="auto"/>
              </w:rPr>
            </w:pPr>
          </w:p>
        </w:tc>
        <w:tc>
          <w:tcPr>
            <w:tcW w:w="1160" w:type="dxa"/>
            <w:vAlign w:val="bottom"/>
            <w:tcBorders>
              <w:bottom w:val="single" w:sz="8" w:color="ACACAC"/>
            </w:tcBorders>
          </w:tcPr>
          <w:p>
            <w:pPr>
              <w:spacing w:after="0"/>
              <w:rPr>
                <w:sz w:val="15"/>
                <w:szCs w:val="15"/>
                <w:color w:val="auto"/>
              </w:rPr>
            </w:pPr>
          </w:p>
        </w:tc>
        <w:tc>
          <w:tcPr>
            <w:tcW w:w="2220" w:type="dxa"/>
            <w:vAlign w:val="bottom"/>
            <w:tcBorders>
              <w:bottom w:val="single" w:sz="8" w:color="ACACAC"/>
            </w:tcBorders>
          </w:tcPr>
          <w:p>
            <w:pPr>
              <w:spacing w:after="0"/>
              <w:rPr>
                <w:sz w:val="15"/>
                <w:szCs w:val="15"/>
                <w:color w:val="auto"/>
              </w:rPr>
            </w:pPr>
          </w:p>
        </w:tc>
        <w:tc>
          <w:tcPr>
            <w:tcW w:w="400" w:type="dxa"/>
            <w:vAlign w:val="bottom"/>
            <w:tcBorders>
              <w:bottom w:val="single" w:sz="8" w:color="ACACAC"/>
            </w:tcBorders>
          </w:tcPr>
          <w:p>
            <w:pPr>
              <w:spacing w:after="0"/>
              <w:rPr>
                <w:sz w:val="15"/>
                <w:szCs w:val="15"/>
                <w:color w:val="auto"/>
              </w:rPr>
            </w:pPr>
          </w:p>
        </w:tc>
        <w:tc>
          <w:tcPr>
            <w:tcW w:w="1580" w:type="dxa"/>
            <w:vAlign w:val="bottom"/>
            <w:tcBorders>
              <w:bottom w:val="single" w:sz="8" w:color="ACACAC"/>
            </w:tcBorders>
          </w:tcPr>
          <w:p>
            <w:pPr>
              <w:spacing w:after="0"/>
              <w:rPr>
                <w:sz w:val="15"/>
                <w:szCs w:val="15"/>
                <w:color w:val="auto"/>
              </w:rPr>
            </w:pPr>
          </w:p>
        </w:tc>
        <w:tc>
          <w:tcPr>
            <w:tcW w:w="1840" w:type="dxa"/>
            <w:vAlign w:val="bottom"/>
            <w:tcBorders>
              <w:bottom w:val="single" w:sz="8" w:color="ACACAC"/>
            </w:tcBorders>
          </w:tcPr>
          <w:p>
            <w:pPr>
              <w:spacing w:after="0"/>
              <w:rPr>
                <w:sz w:val="15"/>
                <w:szCs w:val="15"/>
                <w:color w:val="auto"/>
              </w:rPr>
            </w:pPr>
          </w:p>
        </w:tc>
        <w:tc>
          <w:tcPr>
            <w:tcW w:w="400" w:type="dxa"/>
            <w:vAlign w:val="bottom"/>
            <w:tcBorders>
              <w:bottom w:val="single" w:sz="8" w:color="ACACAC"/>
            </w:tcBorders>
          </w:tcPr>
          <w:p>
            <w:pPr>
              <w:spacing w:after="0"/>
              <w:rPr>
                <w:sz w:val="15"/>
                <w:szCs w:val="15"/>
                <w:color w:val="auto"/>
              </w:rPr>
            </w:pPr>
          </w:p>
        </w:tc>
        <w:tc>
          <w:tcPr>
            <w:tcW w:w="3420" w:type="dxa"/>
            <w:vAlign w:val="bottom"/>
            <w:tcBorders>
              <w:bottom w:val="single" w:sz="8" w:color="ACACAC"/>
            </w:tcBorders>
          </w:tcPr>
          <w:p>
            <w:pPr>
              <w:spacing w:after="0"/>
              <w:rPr>
                <w:sz w:val="15"/>
                <w:szCs w:val="15"/>
                <w:color w:val="auto"/>
              </w:rPr>
            </w:pPr>
          </w:p>
        </w:tc>
        <w:tc>
          <w:tcPr>
            <w:tcW w:w="80" w:type="dxa"/>
            <w:vAlign w:val="bottom"/>
            <w:tcBorders>
              <w:bottom w:val="single" w:sz="8" w:color="ACACAC"/>
            </w:tcBorders>
          </w:tcPr>
          <w:p>
            <w:pPr>
              <w:spacing w:after="0"/>
              <w:rPr>
                <w:sz w:val="15"/>
                <w:szCs w:val="15"/>
                <w:color w:val="auto"/>
              </w:rPr>
            </w:pPr>
          </w:p>
        </w:tc>
        <w:tc>
          <w:tcPr>
            <w:tcW w:w="20" w:type="dxa"/>
            <w:vAlign w:val="bottom"/>
            <w:tcBorders>
              <w:bottom w:val="single" w:sz="8" w:color="ACACA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SIGNIFICANT ITEMS IN 4Q23 RESULTS</w:t>
            </w:r>
          </w:p>
        </w:tc>
        <w:tc>
          <w:tcPr>
            <w:tcW w:w="5560" w:type="dxa"/>
            <w:vAlign w:val="bottom"/>
          </w:tcPr>
          <w:p>
            <w:pPr>
              <w:ind w:left="60"/>
              <w:spacing w:after="0"/>
              <w:rPr>
                <w:sz w:val="20"/>
                <w:szCs w:val="20"/>
                <w:color w:val="auto"/>
              </w:rPr>
            </w:pPr>
            <w:r>
              <w:rPr>
                <w:rFonts w:ascii="Wingdings" w:cs="Wingdings" w:eastAsia="Wingdings" w:hAnsi="Wingdings"/>
                <w:sz w:val="16"/>
                <w:szCs w:val="16"/>
                <w:b w:val="1"/>
                <w:bCs w:val="1"/>
                <w:color w:val="0A4875"/>
                <w:w w:val="92"/>
              </w:rPr>
              <w:t xml:space="preserve">n  </w:t>
            </w:r>
            <w:r>
              <w:rPr>
                <w:rFonts w:ascii="Times New Roman" w:cs="Times New Roman" w:eastAsia="Times New Roman" w:hAnsi="Times New Roman"/>
                <w:sz w:val="16"/>
                <w:szCs w:val="16"/>
                <w:color w:val="000000"/>
                <w:w w:val="92"/>
              </w:rPr>
              <w:t>Basel III common equity Tier 1 capital</w:t>
            </w:r>
            <w:r>
              <w:rPr>
                <w:rFonts w:ascii="Times New Roman" w:cs="Times New Roman" w:eastAsia="Times New Roman" w:hAnsi="Times New Roman"/>
                <w:sz w:val="20"/>
                <w:szCs w:val="20"/>
                <w:color w:val="000000"/>
                <w:w w:val="92"/>
                <w:vertAlign w:val="superscript"/>
              </w:rPr>
              <w:t>3</w:t>
            </w:r>
            <w:r>
              <w:rPr>
                <w:rFonts w:ascii="Wingdings" w:cs="Wingdings" w:eastAsia="Wingdings" w:hAnsi="Wingdings"/>
                <w:sz w:val="16"/>
                <w:szCs w:val="16"/>
                <w:b w:val="1"/>
                <w:bCs w:val="1"/>
                <w:color w:val="0A4875"/>
                <w:w w:val="92"/>
              </w:rPr>
              <w:t xml:space="preserve"> </w:t>
            </w:r>
            <w:r>
              <w:rPr>
                <w:rFonts w:ascii="Times New Roman" w:cs="Times New Roman" w:eastAsia="Times New Roman" w:hAnsi="Times New Roman"/>
                <w:sz w:val="16"/>
                <w:szCs w:val="16"/>
                <w:color w:val="000000"/>
                <w:w w:val="92"/>
              </w:rPr>
              <w:t>of $251 billion and Standardized ratio</w:t>
            </w:r>
            <w:r>
              <w:rPr>
                <w:rFonts w:ascii="Times New Roman" w:cs="Times New Roman" w:eastAsia="Times New Roman" w:hAnsi="Times New Roman"/>
                <w:sz w:val="20"/>
                <w:szCs w:val="20"/>
                <w:color w:val="000000"/>
                <w:w w:val="92"/>
                <w:vertAlign w:val="superscript"/>
              </w:rPr>
              <w:t>3</w:t>
            </w:r>
            <w:r>
              <w:rPr>
                <w:rFonts w:ascii="Wingdings" w:cs="Wingdings" w:eastAsia="Wingdings" w:hAnsi="Wingdings"/>
                <w:sz w:val="16"/>
                <w:szCs w:val="16"/>
                <w:b w:val="1"/>
                <w:bCs w:val="1"/>
                <w:color w:val="0A4875"/>
                <w:w w:val="92"/>
              </w:rPr>
              <w:t xml:space="preserve"> </w:t>
            </w:r>
            <w:r>
              <w:rPr>
                <w:rFonts w:ascii="Times New Roman" w:cs="Times New Roman" w:eastAsia="Times New Roman" w:hAnsi="Times New Roman"/>
                <w:sz w:val="16"/>
                <w:szCs w:val="16"/>
                <w:color w:val="000000"/>
                <w:w w:val="92"/>
              </w:rPr>
              <w:t>of</w:t>
            </w:r>
          </w:p>
        </w:tc>
        <w:tc>
          <w:tcPr>
            <w:tcW w:w="0" w:type="dxa"/>
            <w:vAlign w:val="bottom"/>
          </w:tcPr>
          <w:p>
            <w:pPr>
              <w:spacing w:after="0"/>
              <w:rPr>
                <w:sz w:val="1"/>
                <w:szCs w:val="1"/>
                <w:color w:val="auto"/>
              </w:rPr>
            </w:pPr>
          </w:p>
        </w:tc>
      </w:tr>
      <w:tr>
        <w:trPr>
          <w:trHeight w:val="216"/>
        </w:trPr>
        <w:tc>
          <w:tcPr>
            <w:tcW w:w="5600" w:type="dxa"/>
            <w:vAlign w:val="bottom"/>
            <w:gridSpan w:val="2"/>
          </w:tcPr>
          <w:p>
            <w:pPr>
              <w:ind w:left="40"/>
              <w:spacing w:after="0"/>
              <w:rPr>
                <w:sz w:val="20"/>
                <w:szCs w:val="20"/>
                <w:color w:val="auto"/>
              </w:rPr>
            </w:pPr>
            <w:r>
              <w:rPr>
                <w:rFonts w:ascii="Wingdings" w:cs="Wingdings" w:eastAsia="Wingdings" w:hAnsi="Wingdings"/>
                <w:sz w:val="16"/>
                <w:szCs w:val="16"/>
                <w:b w:val="1"/>
                <w:bCs w:val="1"/>
                <w:color w:val="0A4875"/>
              </w:rPr>
              <w:t xml:space="preserve">n  </w:t>
            </w:r>
            <w:r>
              <w:rPr>
                <w:rFonts w:ascii="Times New Roman" w:cs="Times New Roman" w:eastAsia="Times New Roman" w:hAnsi="Times New Roman"/>
                <w:sz w:val="16"/>
                <w:szCs w:val="16"/>
                <w:color w:val="000000"/>
              </w:rPr>
              <w:t>$2.9 billion FDIC special assessment in Corporate ($0.74 decrease in EPS)</w:t>
            </w:r>
          </w:p>
        </w:tc>
        <w:tc>
          <w:tcPr>
            <w:tcW w:w="55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15.0%; Advanced ratio</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 xml:space="preserve"> of 15.0%</w:t>
            </w:r>
          </w:p>
        </w:tc>
        <w:tc>
          <w:tcPr>
            <w:tcW w:w="0" w:type="dxa"/>
            <w:vAlign w:val="bottom"/>
          </w:tcPr>
          <w:p>
            <w:pPr>
              <w:spacing w:after="0"/>
              <w:rPr>
                <w:sz w:val="1"/>
                <w:szCs w:val="1"/>
                <w:color w:val="auto"/>
              </w:rPr>
            </w:pPr>
          </w:p>
        </w:tc>
      </w:tr>
      <w:tr>
        <w:trPr>
          <w:trHeight w:val="216"/>
        </w:trPr>
        <w:tc>
          <w:tcPr>
            <w:tcW w:w="5600" w:type="dxa"/>
            <w:vAlign w:val="bottom"/>
            <w:gridSpan w:val="2"/>
          </w:tcPr>
          <w:p>
            <w:pPr>
              <w:ind w:left="40"/>
              <w:spacing w:after="0"/>
              <w:rPr>
                <w:sz w:val="20"/>
                <w:szCs w:val="20"/>
                <w:color w:val="auto"/>
              </w:rPr>
            </w:pPr>
            <w:r>
              <w:rPr>
                <w:rFonts w:ascii="Wingdings" w:cs="Wingdings" w:eastAsia="Wingdings" w:hAnsi="Wingdings"/>
                <w:sz w:val="16"/>
                <w:szCs w:val="16"/>
                <w:b w:val="1"/>
                <w:bCs w:val="1"/>
                <w:color w:val="0A4875"/>
              </w:rPr>
              <w:t xml:space="preserve">n  </w:t>
            </w:r>
            <w:r>
              <w:rPr>
                <w:rFonts w:ascii="Times New Roman" w:cs="Times New Roman" w:eastAsia="Times New Roman" w:hAnsi="Times New Roman"/>
                <w:sz w:val="16"/>
                <w:szCs w:val="16"/>
                <w:color w:val="000000"/>
              </w:rPr>
              <w:t>$743 million of net investment securities losses in Corporate ($0.19 decrease in</w:t>
            </w:r>
          </w:p>
        </w:tc>
        <w:tc>
          <w:tcPr>
            <w:tcW w:w="5560" w:type="dxa"/>
            <w:vAlign w:val="bottom"/>
          </w:tcPr>
          <w:p>
            <w:pPr>
              <w:ind w:left="60"/>
              <w:spacing w:after="0"/>
              <w:rPr>
                <w:sz w:val="20"/>
                <w:szCs w:val="20"/>
                <w:color w:val="auto"/>
              </w:rPr>
            </w:pPr>
            <w:r>
              <w:rPr>
                <w:rFonts w:ascii="Wingdings" w:cs="Wingdings" w:eastAsia="Wingdings" w:hAnsi="Wingdings"/>
                <w:sz w:val="16"/>
                <w:szCs w:val="16"/>
                <w:b w:val="1"/>
                <w:bCs w:val="1"/>
                <w:color w:val="0A4875"/>
              </w:rPr>
              <w:t xml:space="preserve">n  </w:t>
            </w:r>
            <w:r>
              <w:rPr>
                <w:rFonts w:ascii="Times New Roman" w:cs="Times New Roman" w:eastAsia="Times New Roman" w:hAnsi="Times New Roman"/>
                <w:sz w:val="16"/>
                <w:szCs w:val="16"/>
                <w:color w:val="000000"/>
              </w:rPr>
              <w:t>Firm supplementary leverage ratio of 6.1%</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EPS)</w:t>
            </w:r>
          </w:p>
        </w:tc>
        <w:tc>
          <w:tcPr>
            <w:tcW w:w="55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SUPPORTED CONSUMERS, BUSINESSES &amp; COMMUNITIES</w:t>
            </w:r>
          </w:p>
        </w:tc>
        <w:tc>
          <w:tcPr>
            <w:tcW w:w="0" w:type="dxa"/>
            <w:vAlign w:val="bottom"/>
          </w:tcPr>
          <w:p>
            <w:pPr>
              <w:spacing w:after="0"/>
              <w:rPr>
                <w:sz w:val="1"/>
                <w:szCs w:val="1"/>
                <w:color w:val="auto"/>
              </w:rPr>
            </w:pPr>
          </w:p>
        </w:tc>
      </w:tr>
      <w:tr>
        <w:trPr>
          <w:trHeight w:val="218"/>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CAPITAL DISTRIBUTIONS</w:t>
            </w:r>
          </w:p>
        </w:tc>
        <w:tc>
          <w:tcPr>
            <w:tcW w:w="5560" w:type="dxa"/>
            <w:vAlign w:val="bottom"/>
          </w:tcPr>
          <w:p>
            <w:pPr>
              <w:ind w:left="60"/>
              <w:spacing w:after="0" w:line="218" w:lineRule="exact"/>
              <w:rPr>
                <w:sz w:val="20"/>
                <w:szCs w:val="20"/>
                <w:color w:val="auto"/>
              </w:rPr>
            </w:pPr>
            <w:r>
              <w:rPr>
                <w:rFonts w:ascii="Wingdings" w:cs="Wingdings" w:eastAsia="Wingdings" w:hAnsi="Wingdings"/>
                <w:sz w:val="16"/>
                <w:szCs w:val="16"/>
                <w:b w:val="1"/>
                <w:bCs w:val="1"/>
                <w:color w:val="0A4875"/>
              </w:rPr>
              <w:t xml:space="preserve">n  </w:t>
            </w:r>
            <w:r>
              <w:rPr>
                <w:rFonts w:ascii="Times New Roman" w:cs="Times New Roman" w:eastAsia="Times New Roman" w:hAnsi="Times New Roman"/>
                <w:sz w:val="16"/>
                <w:szCs w:val="16"/>
                <w:b w:val="1"/>
                <w:bCs w:val="1"/>
                <w:color w:val="000000"/>
              </w:rPr>
              <w:t>$2.3 trillion</w:t>
            </w:r>
            <w:r>
              <w:rPr>
                <w:rFonts w:ascii="Wingdings" w:cs="Wingdings" w:eastAsia="Wingdings" w:hAnsi="Wingdings"/>
                <w:sz w:val="16"/>
                <w:szCs w:val="16"/>
                <w:b w:val="1"/>
                <w:bCs w:val="1"/>
                <w:color w:val="0A4875"/>
              </w:rPr>
              <w:t xml:space="preserve"> </w:t>
            </w:r>
            <w:r>
              <w:rPr>
                <w:rFonts w:ascii="Times New Roman" w:cs="Times New Roman" w:eastAsia="Times New Roman" w:hAnsi="Times New Roman"/>
                <w:sz w:val="16"/>
                <w:szCs w:val="16"/>
                <w:color w:val="000000"/>
              </w:rPr>
              <w:t>of credit and capital</w:t>
            </w:r>
            <w:r>
              <w:rPr>
                <w:rFonts w:ascii="Times New Roman" w:cs="Times New Roman" w:eastAsia="Times New Roman" w:hAnsi="Times New Roman"/>
                <w:sz w:val="20"/>
                <w:szCs w:val="20"/>
                <w:color w:val="000000"/>
                <w:vertAlign w:val="superscript"/>
              </w:rPr>
              <w:t>13</w:t>
            </w:r>
            <w:r>
              <w:rPr>
                <w:rFonts w:ascii="Wingdings" w:cs="Wingdings" w:eastAsia="Wingdings" w:hAnsi="Wingdings"/>
                <w:sz w:val="16"/>
                <w:szCs w:val="16"/>
                <w:b w:val="1"/>
                <w:bCs w:val="1"/>
                <w:color w:val="0A4875"/>
              </w:rPr>
              <w:t xml:space="preserve"> </w:t>
            </w:r>
            <w:r>
              <w:rPr>
                <w:rFonts w:ascii="Times New Roman" w:cs="Times New Roman" w:eastAsia="Times New Roman" w:hAnsi="Times New Roman"/>
                <w:sz w:val="16"/>
                <w:szCs w:val="16"/>
                <w:color w:val="000000"/>
              </w:rPr>
              <w:t>raised in 2023</w:t>
            </w:r>
          </w:p>
        </w:tc>
        <w:tc>
          <w:tcPr>
            <w:tcW w:w="0" w:type="dxa"/>
            <w:vAlign w:val="bottom"/>
          </w:tcPr>
          <w:p>
            <w:pPr>
              <w:spacing w:after="0"/>
              <w:rPr>
                <w:sz w:val="1"/>
                <w:szCs w:val="1"/>
                <w:color w:val="auto"/>
              </w:rPr>
            </w:pPr>
          </w:p>
        </w:tc>
      </w:tr>
      <w:tr>
        <w:trPr>
          <w:trHeight w:val="207"/>
        </w:trPr>
        <w:tc>
          <w:tcPr>
            <w:tcW w:w="5600" w:type="dxa"/>
            <w:vAlign w:val="bottom"/>
            <w:gridSpan w:val="2"/>
          </w:tcPr>
          <w:p>
            <w:pPr>
              <w:ind w:left="40"/>
              <w:spacing w:after="0"/>
              <w:rPr>
                <w:sz w:val="20"/>
                <w:szCs w:val="20"/>
                <w:color w:val="auto"/>
              </w:rPr>
            </w:pPr>
            <w:r>
              <w:rPr>
                <w:rFonts w:ascii="Wingdings" w:cs="Wingdings" w:eastAsia="Wingdings" w:hAnsi="Wingdings"/>
                <w:sz w:val="16"/>
                <w:szCs w:val="16"/>
                <w:b w:val="1"/>
                <w:bCs w:val="1"/>
                <w:color w:val="0A4875"/>
              </w:rPr>
              <w:t xml:space="preserve">n  </w:t>
            </w:r>
            <w:r>
              <w:rPr>
                <w:rFonts w:ascii="Times New Roman" w:cs="Times New Roman" w:eastAsia="Times New Roman" w:hAnsi="Times New Roman"/>
                <w:sz w:val="16"/>
                <w:szCs w:val="16"/>
                <w:color w:val="000000"/>
              </w:rPr>
              <w:t>Common dividend of $3.1 billion or $1.05 per share</w:t>
            </w:r>
          </w:p>
        </w:tc>
        <w:tc>
          <w:tcPr>
            <w:tcW w:w="5560" w:type="dxa"/>
            <w:vAlign w:val="bottom"/>
            <w:vMerge w:val="restart"/>
          </w:tcPr>
          <w:p>
            <w:pPr>
              <w:ind w:left="180"/>
              <w:spacing w:after="0"/>
              <w:rPr>
                <w:sz w:val="20"/>
                <w:szCs w:val="20"/>
                <w:color w:val="auto"/>
              </w:rPr>
            </w:pPr>
            <w:r>
              <w:rPr>
                <w:rFonts w:ascii="Wingdings" w:cs="Wingdings" w:eastAsia="Wingdings" w:hAnsi="Wingdings"/>
                <w:sz w:val="16"/>
                <w:szCs w:val="16"/>
                <w:b w:val="1"/>
                <w:bCs w:val="1"/>
                <w:color w:val="7F7F7F"/>
              </w:rPr>
              <w:t xml:space="preserve">n  </w:t>
            </w:r>
            <w:r>
              <w:rPr>
                <w:rFonts w:ascii="Times New Roman" w:cs="Times New Roman" w:eastAsia="Times New Roman" w:hAnsi="Times New Roman"/>
                <w:sz w:val="16"/>
                <w:szCs w:val="16"/>
                <w:b w:val="1"/>
                <w:bCs w:val="1"/>
                <w:color w:val="000000"/>
              </w:rPr>
              <w:t>$239 billion</w:t>
            </w:r>
            <w:r>
              <w:rPr>
                <w:rFonts w:ascii="Wingdings" w:cs="Wingdings" w:eastAsia="Wingdings" w:hAnsi="Wingdings"/>
                <w:sz w:val="16"/>
                <w:szCs w:val="16"/>
                <w:b w:val="1"/>
                <w:bCs w:val="1"/>
                <w:color w:val="7F7F7F"/>
              </w:rPr>
              <w:t xml:space="preserve"> </w:t>
            </w:r>
            <w:r>
              <w:rPr>
                <w:rFonts w:ascii="Times New Roman" w:cs="Times New Roman" w:eastAsia="Times New Roman" w:hAnsi="Times New Roman"/>
                <w:sz w:val="16"/>
                <w:szCs w:val="16"/>
                <w:color w:val="000000"/>
              </w:rPr>
              <w:t>of credit for consumers</w:t>
            </w:r>
          </w:p>
        </w:tc>
        <w:tc>
          <w:tcPr>
            <w:tcW w:w="0" w:type="dxa"/>
            <w:vAlign w:val="bottom"/>
          </w:tcPr>
          <w:p>
            <w:pPr>
              <w:spacing w:after="0"/>
              <w:rPr>
                <w:sz w:val="1"/>
                <w:szCs w:val="1"/>
                <w:color w:val="auto"/>
              </w:rPr>
            </w:pPr>
          </w:p>
        </w:tc>
      </w:tr>
      <w:tr>
        <w:trPr>
          <w:trHeight w:val="54"/>
        </w:trPr>
        <w:tc>
          <w:tcPr>
            <w:tcW w:w="5600" w:type="dxa"/>
            <w:vAlign w:val="bottom"/>
            <w:gridSpan w:val="2"/>
            <w:vMerge w:val="restart"/>
          </w:tcPr>
          <w:p>
            <w:pPr>
              <w:ind w:left="40"/>
              <w:spacing w:after="0"/>
              <w:rPr>
                <w:sz w:val="20"/>
                <w:szCs w:val="20"/>
                <w:color w:val="auto"/>
              </w:rPr>
            </w:pPr>
            <w:r>
              <w:rPr>
                <w:rFonts w:ascii="Wingdings" w:cs="Wingdings" w:eastAsia="Wingdings" w:hAnsi="Wingdings"/>
                <w:sz w:val="16"/>
                <w:szCs w:val="16"/>
                <w:b w:val="1"/>
                <w:bCs w:val="1"/>
                <w:color w:val="0A4875"/>
              </w:rPr>
              <w:t xml:space="preserve">n  </w:t>
            </w:r>
            <w:r>
              <w:rPr>
                <w:rFonts w:ascii="Times New Roman" w:cs="Times New Roman" w:eastAsia="Times New Roman" w:hAnsi="Times New Roman"/>
                <w:sz w:val="16"/>
                <w:szCs w:val="16"/>
                <w:color w:val="000000"/>
              </w:rPr>
              <w:t>$2.0 billion of common stock net repurchases</w:t>
            </w:r>
            <w:r>
              <w:rPr>
                <w:rFonts w:ascii="Times New Roman" w:cs="Times New Roman" w:eastAsia="Times New Roman" w:hAnsi="Times New Roman"/>
                <w:sz w:val="20"/>
                <w:szCs w:val="20"/>
                <w:color w:val="000000"/>
                <w:vertAlign w:val="superscript"/>
              </w:rPr>
              <w:t>11</w:t>
            </w:r>
          </w:p>
        </w:tc>
        <w:tc>
          <w:tcPr>
            <w:tcW w:w="5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5600" w:type="dxa"/>
            <w:vAlign w:val="bottom"/>
            <w:gridSpan w:val="2"/>
            <w:vMerge w:val="continue"/>
          </w:tcPr>
          <w:p>
            <w:pPr>
              <w:spacing w:after="0"/>
              <w:rPr>
                <w:sz w:val="15"/>
                <w:szCs w:val="15"/>
                <w:color w:val="auto"/>
              </w:rPr>
            </w:pPr>
          </w:p>
        </w:tc>
        <w:tc>
          <w:tcPr>
            <w:tcW w:w="5560" w:type="dxa"/>
            <w:vAlign w:val="bottom"/>
            <w:vMerge w:val="restart"/>
          </w:tcPr>
          <w:p>
            <w:pPr>
              <w:ind w:left="180"/>
              <w:spacing w:after="0"/>
              <w:rPr>
                <w:sz w:val="20"/>
                <w:szCs w:val="20"/>
                <w:color w:val="auto"/>
              </w:rPr>
            </w:pPr>
            <w:r>
              <w:rPr>
                <w:rFonts w:ascii="Wingdings" w:cs="Wingdings" w:eastAsia="Wingdings" w:hAnsi="Wingdings"/>
                <w:sz w:val="16"/>
                <w:szCs w:val="16"/>
                <w:b w:val="1"/>
                <w:bCs w:val="1"/>
                <w:color w:val="7F7F7F"/>
              </w:rPr>
              <w:t xml:space="preserve">n  </w:t>
            </w:r>
            <w:r>
              <w:rPr>
                <w:rFonts w:ascii="Times New Roman" w:cs="Times New Roman" w:eastAsia="Times New Roman" w:hAnsi="Times New Roman"/>
                <w:sz w:val="16"/>
                <w:szCs w:val="16"/>
                <w:b w:val="1"/>
                <w:bCs w:val="1"/>
                <w:color w:val="000000"/>
              </w:rPr>
              <w:t>$36 billion</w:t>
            </w:r>
            <w:r>
              <w:rPr>
                <w:rFonts w:ascii="Wingdings" w:cs="Wingdings" w:eastAsia="Wingdings" w:hAnsi="Wingdings"/>
                <w:sz w:val="16"/>
                <w:szCs w:val="16"/>
                <w:b w:val="1"/>
                <w:bCs w:val="1"/>
                <w:color w:val="7F7F7F"/>
              </w:rPr>
              <w:t xml:space="preserve"> </w:t>
            </w:r>
            <w:r>
              <w:rPr>
                <w:rFonts w:ascii="Times New Roman" w:cs="Times New Roman" w:eastAsia="Times New Roman" w:hAnsi="Times New Roman"/>
                <w:sz w:val="16"/>
                <w:szCs w:val="16"/>
                <w:color w:val="000000"/>
              </w:rPr>
              <w:t>of credit for U.S. small businesses</w:t>
            </w:r>
          </w:p>
        </w:tc>
        <w:tc>
          <w:tcPr>
            <w:tcW w:w="0" w:type="dxa"/>
            <w:vAlign w:val="bottom"/>
          </w:tcPr>
          <w:p>
            <w:pPr>
              <w:spacing w:after="0"/>
              <w:rPr>
                <w:sz w:val="1"/>
                <w:szCs w:val="1"/>
                <w:color w:val="auto"/>
              </w:rPr>
            </w:pPr>
          </w:p>
        </w:tc>
      </w:tr>
      <w:tr>
        <w:trPr>
          <w:trHeight w:val="48"/>
        </w:trPr>
        <w:tc>
          <w:tcPr>
            <w:tcW w:w="5600" w:type="dxa"/>
            <w:vAlign w:val="bottom"/>
            <w:gridSpan w:val="2"/>
            <w:vMerge w:val="restart"/>
          </w:tcPr>
          <w:p>
            <w:pPr>
              <w:ind w:left="40"/>
              <w:spacing w:after="0" w:line="216" w:lineRule="exact"/>
              <w:rPr>
                <w:sz w:val="20"/>
                <w:szCs w:val="20"/>
                <w:color w:val="auto"/>
              </w:rPr>
            </w:pPr>
            <w:r>
              <w:rPr>
                <w:rFonts w:ascii="Wingdings" w:cs="Wingdings" w:eastAsia="Wingdings" w:hAnsi="Wingdings"/>
                <w:sz w:val="16"/>
                <w:szCs w:val="16"/>
                <w:b w:val="1"/>
                <w:bCs w:val="1"/>
                <w:color w:val="0A4875"/>
              </w:rPr>
              <w:t xml:space="preserve">n  </w:t>
            </w:r>
            <w:r>
              <w:rPr>
                <w:rFonts w:ascii="Times New Roman" w:cs="Times New Roman" w:eastAsia="Times New Roman" w:hAnsi="Times New Roman"/>
                <w:sz w:val="16"/>
                <w:szCs w:val="16"/>
                <w:color w:val="000000"/>
              </w:rPr>
              <w:t>Net payout LTM</w:t>
            </w:r>
            <w:r>
              <w:rPr>
                <w:rFonts w:ascii="Times New Roman" w:cs="Times New Roman" w:eastAsia="Times New Roman" w:hAnsi="Times New Roman"/>
                <w:sz w:val="20"/>
                <w:szCs w:val="20"/>
                <w:color w:val="000000"/>
                <w:vertAlign w:val="superscript"/>
              </w:rPr>
              <w:t>11,12</w:t>
            </w:r>
            <w:r>
              <w:rPr>
                <w:rFonts w:ascii="Wingdings" w:cs="Wingdings" w:eastAsia="Wingdings" w:hAnsi="Wingdings"/>
                <w:sz w:val="16"/>
                <w:szCs w:val="16"/>
                <w:b w:val="1"/>
                <w:bCs w:val="1"/>
                <w:color w:val="0A4875"/>
              </w:rPr>
              <w:t xml:space="preserve"> </w:t>
            </w:r>
            <w:r>
              <w:rPr>
                <w:rFonts w:ascii="Times New Roman" w:cs="Times New Roman" w:eastAsia="Times New Roman" w:hAnsi="Times New Roman"/>
                <w:sz w:val="16"/>
                <w:szCs w:val="16"/>
                <w:color w:val="000000"/>
              </w:rPr>
              <w:t>of 41%</w:t>
            </w:r>
          </w:p>
        </w:tc>
        <w:tc>
          <w:tcPr>
            <w:tcW w:w="5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600" w:type="dxa"/>
            <w:vAlign w:val="bottom"/>
            <w:gridSpan w:val="2"/>
            <w:vMerge w:val="continue"/>
          </w:tcPr>
          <w:p>
            <w:pPr>
              <w:spacing w:after="0"/>
              <w:rPr>
                <w:sz w:val="14"/>
                <w:szCs w:val="14"/>
                <w:color w:val="auto"/>
              </w:rPr>
            </w:pPr>
          </w:p>
        </w:tc>
        <w:tc>
          <w:tcPr>
            <w:tcW w:w="5560" w:type="dxa"/>
            <w:vAlign w:val="bottom"/>
            <w:vMerge w:val="restart"/>
          </w:tcPr>
          <w:p>
            <w:pPr>
              <w:ind w:left="180"/>
              <w:spacing w:after="0"/>
              <w:rPr>
                <w:sz w:val="20"/>
                <w:szCs w:val="20"/>
                <w:color w:val="auto"/>
              </w:rPr>
            </w:pPr>
            <w:r>
              <w:rPr>
                <w:rFonts w:ascii="Wingdings" w:cs="Wingdings" w:eastAsia="Wingdings" w:hAnsi="Wingdings"/>
                <w:sz w:val="16"/>
                <w:szCs w:val="16"/>
                <w:b w:val="1"/>
                <w:bCs w:val="1"/>
                <w:color w:val="7F7F7F"/>
              </w:rPr>
              <w:t xml:space="preserve">n  </w:t>
            </w:r>
            <w:r>
              <w:rPr>
                <w:rFonts w:ascii="Times New Roman" w:cs="Times New Roman" w:eastAsia="Times New Roman" w:hAnsi="Times New Roman"/>
                <w:sz w:val="16"/>
                <w:szCs w:val="16"/>
                <w:b w:val="1"/>
                <w:bCs w:val="1"/>
                <w:color w:val="000000"/>
              </w:rPr>
              <w:t>$1.0 trillion</w:t>
            </w:r>
            <w:r>
              <w:rPr>
                <w:rFonts w:ascii="Wingdings" w:cs="Wingdings" w:eastAsia="Wingdings" w:hAnsi="Wingdings"/>
                <w:sz w:val="16"/>
                <w:szCs w:val="16"/>
                <w:b w:val="1"/>
                <w:bCs w:val="1"/>
                <w:color w:val="7F7F7F"/>
              </w:rPr>
              <w:t xml:space="preserve"> </w:t>
            </w:r>
            <w:r>
              <w:rPr>
                <w:rFonts w:ascii="Times New Roman" w:cs="Times New Roman" w:eastAsia="Times New Roman" w:hAnsi="Times New Roman"/>
                <w:sz w:val="16"/>
                <w:szCs w:val="16"/>
                <w:color w:val="000000"/>
              </w:rPr>
              <w:t>of credit for corporations</w:t>
            </w:r>
          </w:p>
        </w:tc>
        <w:tc>
          <w:tcPr>
            <w:tcW w:w="0" w:type="dxa"/>
            <w:vAlign w:val="bottom"/>
          </w:tcPr>
          <w:p>
            <w:pPr>
              <w:spacing w:after="0"/>
              <w:rPr>
                <w:sz w:val="1"/>
                <w:szCs w:val="1"/>
                <w:color w:val="auto"/>
              </w:rPr>
            </w:pPr>
          </w:p>
        </w:tc>
      </w:tr>
      <w:tr>
        <w:trPr>
          <w:trHeight w:val="48"/>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FORTRESS PRINCIPLES</w:t>
            </w:r>
          </w:p>
        </w:tc>
        <w:tc>
          <w:tcPr>
            <w:tcW w:w="5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5600" w:type="dxa"/>
            <w:vAlign w:val="bottom"/>
            <w:gridSpan w:val="2"/>
            <w:vMerge w:val="continue"/>
          </w:tcPr>
          <w:p>
            <w:pPr>
              <w:spacing w:after="0"/>
              <w:rPr>
                <w:sz w:val="18"/>
                <w:szCs w:val="18"/>
                <w:color w:val="auto"/>
              </w:rPr>
            </w:pPr>
          </w:p>
        </w:tc>
        <w:tc>
          <w:tcPr>
            <w:tcW w:w="5560" w:type="dxa"/>
            <w:vAlign w:val="bottom"/>
          </w:tcPr>
          <w:p>
            <w:pPr>
              <w:ind w:left="180"/>
              <w:spacing w:after="0"/>
              <w:rPr>
                <w:sz w:val="20"/>
                <w:szCs w:val="20"/>
                <w:color w:val="auto"/>
              </w:rPr>
            </w:pPr>
            <w:r>
              <w:rPr>
                <w:rFonts w:ascii="Wingdings" w:cs="Wingdings" w:eastAsia="Wingdings" w:hAnsi="Wingdings"/>
                <w:sz w:val="16"/>
                <w:szCs w:val="16"/>
                <w:b w:val="1"/>
                <w:bCs w:val="1"/>
                <w:color w:val="7F7F7F"/>
              </w:rPr>
              <w:t xml:space="preserve">n  </w:t>
            </w:r>
            <w:r>
              <w:rPr>
                <w:rFonts w:ascii="Times New Roman" w:cs="Times New Roman" w:eastAsia="Times New Roman" w:hAnsi="Times New Roman"/>
                <w:sz w:val="16"/>
                <w:szCs w:val="16"/>
                <w:b w:val="1"/>
                <w:bCs w:val="1"/>
                <w:color w:val="000000"/>
              </w:rPr>
              <w:t>$915 billion</w:t>
            </w:r>
            <w:r>
              <w:rPr>
                <w:rFonts w:ascii="Wingdings" w:cs="Wingdings" w:eastAsia="Wingdings" w:hAnsi="Wingdings"/>
                <w:sz w:val="16"/>
                <w:szCs w:val="16"/>
                <w:b w:val="1"/>
                <w:bCs w:val="1"/>
                <w:color w:val="7F7F7F"/>
              </w:rPr>
              <w:t xml:space="preserve"> </w:t>
            </w:r>
            <w:r>
              <w:rPr>
                <w:rFonts w:ascii="Times New Roman" w:cs="Times New Roman" w:eastAsia="Times New Roman" w:hAnsi="Times New Roman"/>
                <w:sz w:val="16"/>
                <w:szCs w:val="16"/>
                <w:color w:val="000000"/>
              </w:rPr>
              <w:t>of capital for corporations and non-U.S. government entities</w:t>
            </w:r>
          </w:p>
        </w:tc>
        <w:tc>
          <w:tcPr>
            <w:tcW w:w="0" w:type="dxa"/>
            <w:vAlign w:val="bottom"/>
          </w:tcPr>
          <w:p>
            <w:pPr>
              <w:spacing w:after="0"/>
              <w:rPr>
                <w:sz w:val="1"/>
                <w:szCs w:val="1"/>
                <w:color w:val="auto"/>
              </w:rPr>
            </w:pPr>
          </w:p>
        </w:tc>
      </w:tr>
      <w:tr>
        <w:trPr>
          <w:trHeight w:val="189"/>
        </w:trPr>
        <w:tc>
          <w:tcPr>
            <w:tcW w:w="5600" w:type="dxa"/>
            <w:vAlign w:val="bottom"/>
            <w:gridSpan w:val="2"/>
          </w:tcPr>
          <w:p>
            <w:pPr>
              <w:ind w:left="40"/>
              <w:spacing w:after="0" w:line="189" w:lineRule="exact"/>
              <w:rPr>
                <w:sz w:val="20"/>
                <w:szCs w:val="20"/>
                <w:color w:val="auto"/>
              </w:rPr>
            </w:pPr>
            <w:r>
              <w:rPr>
                <w:rFonts w:ascii="Wingdings" w:cs="Wingdings" w:eastAsia="Wingdings" w:hAnsi="Wingdings"/>
                <w:sz w:val="16"/>
                <w:szCs w:val="16"/>
                <w:b w:val="1"/>
                <w:bCs w:val="1"/>
                <w:color w:val="0A4875"/>
                <w:w w:val="95"/>
              </w:rPr>
              <w:t xml:space="preserve">n </w:t>
            </w:r>
            <w:r>
              <w:rPr>
                <w:rFonts w:ascii="Times New Roman" w:cs="Times New Roman" w:eastAsia="Times New Roman" w:hAnsi="Times New Roman"/>
                <w:sz w:val="16"/>
                <w:szCs w:val="16"/>
                <w:color w:val="000000"/>
                <w:w w:val="95"/>
              </w:rPr>
              <w:t>Book value per share of $104.45, up 16%; tangible book value per share</w:t>
            </w:r>
            <w:r>
              <w:rPr>
                <w:rFonts w:ascii="Times New Roman" w:cs="Times New Roman" w:eastAsia="Times New Roman" w:hAnsi="Times New Roman"/>
                <w:sz w:val="20"/>
                <w:szCs w:val="20"/>
                <w:color w:val="000000"/>
                <w:w w:val="95"/>
                <w:vertAlign w:val="superscript"/>
              </w:rPr>
              <w:t>2</w:t>
            </w:r>
            <w:r>
              <w:rPr>
                <w:rFonts w:ascii="Wingdings" w:cs="Wingdings" w:eastAsia="Wingdings" w:hAnsi="Wingdings"/>
                <w:sz w:val="16"/>
                <w:szCs w:val="16"/>
                <w:b w:val="1"/>
                <w:bCs w:val="1"/>
                <w:color w:val="0A4875"/>
                <w:w w:val="95"/>
              </w:rPr>
              <w:t xml:space="preserve"> </w:t>
            </w:r>
            <w:r>
              <w:rPr>
                <w:rFonts w:ascii="Times New Roman" w:cs="Times New Roman" w:eastAsia="Times New Roman" w:hAnsi="Times New Roman"/>
                <w:sz w:val="16"/>
                <w:szCs w:val="16"/>
                <w:color w:val="000000"/>
                <w:w w:val="95"/>
              </w:rPr>
              <w:t>of $86.08,</w:t>
            </w:r>
          </w:p>
        </w:tc>
        <w:tc>
          <w:tcPr>
            <w:tcW w:w="5560" w:type="dxa"/>
            <w:vAlign w:val="bottom"/>
          </w:tcPr>
          <w:p>
            <w:pPr>
              <w:ind w:left="180"/>
              <w:spacing w:after="0"/>
              <w:rPr>
                <w:sz w:val="20"/>
                <w:szCs w:val="20"/>
                <w:color w:val="auto"/>
              </w:rPr>
            </w:pPr>
            <w:r>
              <w:rPr>
                <w:rFonts w:ascii="Wingdings" w:cs="Wingdings" w:eastAsia="Wingdings" w:hAnsi="Wingdings"/>
                <w:sz w:val="16"/>
                <w:szCs w:val="16"/>
                <w:b w:val="1"/>
                <w:bCs w:val="1"/>
                <w:color w:val="7F7F7F"/>
                <w:w w:val="99"/>
              </w:rPr>
              <w:t xml:space="preserve">n  </w:t>
            </w:r>
            <w:r>
              <w:rPr>
                <w:rFonts w:ascii="Times New Roman" w:cs="Times New Roman" w:eastAsia="Times New Roman" w:hAnsi="Times New Roman"/>
                <w:sz w:val="16"/>
                <w:szCs w:val="16"/>
                <w:b w:val="1"/>
                <w:bCs w:val="1"/>
                <w:color w:val="000000"/>
                <w:w w:val="99"/>
              </w:rPr>
              <w:t>$47 billion</w:t>
            </w:r>
            <w:r>
              <w:rPr>
                <w:rFonts w:ascii="Wingdings" w:cs="Wingdings" w:eastAsia="Wingdings" w:hAnsi="Wingdings"/>
                <w:sz w:val="16"/>
                <w:szCs w:val="16"/>
                <w:b w:val="1"/>
                <w:bCs w:val="1"/>
                <w:color w:val="7F7F7F"/>
                <w:w w:val="99"/>
              </w:rPr>
              <w:t xml:space="preserve"> </w:t>
            </w:r>
            <w:r>
              <w:rPr>
                <w:rFonts w:ascii="Times New Roman" w:cs="Times New Roman" w:eastAsia="Times New Roman" w:hAnsi="Times New Roman"/>
                <w:sz w:val="16"/>
                <w:szCs w:val="16"/>
                <w:color w:val="000000"/>
                <w:w w:val="99"/>
              </w:rPr>
              <w:t>of credit and capital for nonprofit and U.S. government entities,</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up 18%</w:t>
            </w:r>
          </w:p>
        </w:tc>
        <w:tc>
          <w:tcPr>
            <w:tcW w:w="55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including states, municipalities, hospitals and universities</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5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Investor Contact: Mikael Grubb (212) 270-2479</w:t>
            </w:r>
          </w:p>
        </w:tc>
        <w:tc>
          <w:tcPr>
            <w:tcW w:w="556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Media Contact: Joseph Evangelisti (212) 270-2438</w:t>
            </w:r>
          </w:p>
        </w:tc>
        <w:tc>
          <w:tcPr>
            <w:tcW w:w="0" w:type="dxa"/>
            <w:vAlign w:val="bottom"/>
          </w:tcPr>
          <w:p>
            <w:pPr>
              <w:spacing w:after="0"/>
              <w:rPr>
                <w:sz w:val="1"/>
                <w:szCs w:val="1"/>
                <w:color w:val="auto"/>
              </w:rPr>
            </w:pPr>
          </w:p>
        </w:tc>
      </w:tr>
    </w:tbl>
    <w:p>
      <w:pPr>
        <w:ind w:left="100"/>
        <w:spacing w:after="0"/>
        <w:rPr>
          <w:sz w:val="20"/>
          <w:szCs w:val="20"/>
          <w:color w:val="auto"/>
        </w:rPr>
      </w:pPr>
      <w:r>
        <w:rPr>
          <w:rFonts w:ascii="Times New Roman" w:cs="Times New Roman" w:eastAsia="Times New Roman" w:hAnsi="Times New Roman"/>
          <w:sz w:val="14"/>
          <w:szCs w:val="14"/>
          <w:color w:val="auto"/>
        </w:rPr>
        <w:t>Note: Totals may not sum due to rounding.</w:t>
      </w:r>
    </w:p>
    <w:p>
      <w:pPr>
        <w:spacing w:after="0" w:line="8" w:lineRule="exact"/>
        <w:rPr>
          <w:sz w:val="20"/>
          <w:szCs w:val="20"/>
          <w:color w:val="auto"/>
        </w:rPr>
      </w:pPr>
    </w:p>
    <w:p>
      <w:pPr>
        <w:ind w:left="180" w:hanging="73"/>
        <w:spacing w:after="0"/>
        <w:tabs>
          <w:tab w:leader="none" w:pos="1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Percentage comparisons noted in the bullet points are for the fourth quarter of 2023 versus the prior-year fourth quarter, unless otherwise specified.</w:t>
      </w:r>
    </w:p>
    <w:p>
      <w:pPr>
        <w:spacing w:after="0" w:line="16" w:lineRule="exact"/>
        <w:rPr>
          <w:rFonts w:ascii="Times New Roman" w:cs="Times New Roman" w:eastAsia="Times New Roman" w:hAnsi="Times New Roman"/>
          <w:sz w:val="19"/>
          <w:szCs w:val="19"/>
          <w:color w:val="auto"/>
          <w:vertAlign w:val="superscript"/>
        </w:rPr>
      </w:pPr>
    </w:p>
    <w:p>
      <w:pPr>
        <w:ind w:left="100" w:right="5780"/>
        <w:spacing w:after="0" w:line="318"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4"/>
          <w:szCs w:val="14"/>
          <w:color w:val="auto"/>
        </w:rPr>
        <w:t>For notes on non-GAAP financial measures, including managed basis reporting, see page 6.</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For additional notes see page 7.</w:t>
      </w:r>
    </w:p>
    <w:p>
      <w:pPr>
        <w:sectPr>
          <w:pgSz w:w="11900" w:h="16838" w:orient="portrait"/>
          <w:cols w:equalWidth="0" w:num="1">
            <w:col w:w="11240"/>
          </w:cols>
          <w:pgMar w:left="320" w:top="121" w:right="339" w:bottom="621"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3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 the discussion below of Firmwide results of JPMorgan Chase &amp; Co. (“JPMorgan Chase” or the “Firm”), information is presented on a managed basis, which is a non-GAAP financial measure, unless otherwise specified. The discussion below of the Firm’s business segments is also presented on a managed basis. For more information about managed basis and non-GAAP financial measures used by management to evaluate the performance of each line of business, refer to page 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Comparisons noted in the sections below are for the fourth quarter of 2023 versus the prior-year fourth quarter,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09803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FFFFFF"/>
        </w:rPr>
        <w:t>JPMORGAN CHASE (JPM)</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80" w:type="dxa"/>
            <w:vAlign w:val="bottom"/>
            <w:tcBorders>
              <w:bottom w:val="single" w:sz="8" w:color="EAEAEA"/>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Results for JPM</w:t>
            </w:r>
          </w:p>
        </w:tc>
        <w:tc>
          <w:tcPr>
            <w:tcW w:w="240" w:type="dxa"/>
            <w:vAlign w:val="bottom"/>
            <w:tcBorders>
              <w:bottom w:val="single" w:sz="8" w:color="auto"/>
            </w:tcBorders>
            <w:shd w:val="clear" w:color="auto" w:fill="EAEAEA"/>
          </w:tcPr>
          <w:p>
            <w:pPr>
              <w:spacing w:after="0"/>
              <w:rPr>
                <w:sz w:val="19"/>
                <w:szCs w:val="19"/>
                <w:color w:val="auto"/>
              </w:rPr>
            </w:pPr>
          </w:p>
        </w:tc>
        <w:tc>
          <w:tcPr>
            <w:tcW w:w="960" w:type="dxa"/>
            <w:vAlign w:val="bottom"/>
            <w:tcBorders>
              <w:bottom w:val="single" w:sz="8" w:color="auto"/>
            </w:tcBorders>
            <w:shd w:val="clear" w:color="auto" w:fill="EAEAEA"/>
          </w:tcPr>
          <w:p>
            <w:pPr>
              <w:spacing w:after="0"/>
              <w:rPr>
                <w:sz w:val="19"/>
                <w:szCs w:val="19"/>
                <w:color w:val="auto"/>
              </w:rPr>
            </w:pPr>
          </w:p>
        </w:tc>
        <w:tc>
          <w:tcPr>
            <w:tcW w:w="100" w:type="dxa"/>
            <w:vAlign w:val="bottom"/>
            <w:tcBorders>
              <w:bottom w:val="single" w:sz="8" w:color="auto"/>
            </w:tcBorders>
            <w:shd w:val="clear" w:color="auto" w:fill="EAEAEA"/>
          </w:tcPr>
          <w:p>
            <w:pPr>
              <w:spacing w:after="0"/>
              <w:rPr>
                <w:sz w:val="19"/>
                <w:szCs w:val="19"/>
                <w:color w:val="auto"/>
              </w:rPr>
            </w:pPr>
          </w:p>
        </w:tc>
        <w:tc>
          <w:tcPr>
            <w:tcW w:w="260" w:type="dxa"/>
            <w:vAlign w:val="bottom"/>
            <w:tcBorders>
              <w:bottom w:val="single" w:sz="8" w:color="auto"/>
            </w:tcBorders>
            <w:shd w:val="clear" w:color="auto" w:fill="EAEAEA"/>
          </w:tcPr>
          <w:p>
            <w:pPr>
              <w:spacing w:after="0"/>
              <w:rPr>
                <w:sz w:val="19"/>
                <w:szCs w:val="19"/>
                <w:color w:val="auto"/>
              </w:rPr>
            </w:pPr>
          </w:p>
        </w:tc>
        <w:tc>
          <w:tcPr>
            <w:tcW w:w="940" w:type="dxa"/>
            <w:vAlign w:val="bottom"/>
            <w:tcBorders>
              <w:bottom w:val="single" w:sz="8" w:color="auto"/>
            </w:tcBorders>
            <w:shd w:val="clear" w:color="auto" w:fill="EAEAEA"/>
          </w:tcPr>
          <w:p>
            <w:pPr>
              <w:spacing w:after="0"/>
              <w:rPr>
                <w:sz w:val="19"/>
                <w:szCs w:val="19"/>
                <w:color w:val="auto"/>
              </w:rPr>
            </w:pPr>
          </w:p>
        </w:tc>
        <w:tc>
          <w:tcPr>
            <w:tcW w:w="120" w:type="dxa"/>
            <w:vAlign w:val="bottom"/>
            <w:tcBorders>
              <w:bottom w:val="single" w:sz="8" w:color="auto"/>
            </w:tcBorders>
            <w:shd w:val="clear" w:color="auto" w:fill="EAEAEA"/>
          </w:tcPr>
          <w:p>
            <w:pPr>
              <w:spacing w:after="0"/>
              <w:rPr>
                <w:sz w:val="19"/>
                <w:szCs w:val="19"/>
                <w:color w:val="auto"/>
              </w:rPr>
            </w:pPr>
          </w:p>
        </w:tc>
        <w:tc>
          <w:tcPr>
            <w:tcW w:w="240" w:type="dxa"/>
            <w:vAlign w:val="bottom"/>
            <w:tcBorders>
              <w:bottom w:val="single" w:sz="8" w:color="auto"/>
            </w:tcBorders>
            <w:shd w:val="clear" w:color="auto" w:fill="EAEAEA"/>
          </w:tcPr>
          <w:p>
            <w:pPr>
              <w:spacing w:after="0"/>
              <w:rPr>
                <w:sz w:val="19"/>
                <w:szCs w:val="19"/>
                <w:color w:val="auto"/>
              </w:rPr>
            </w:pPr>
          </w:p>
        </w:tc>
        <w:tc>
          <w:tcPr>
            <w:tcW w:w="1000" w:type="dxa"/>
            <w:vAlign w:val="bottom"/>
            <w:tcBorders>
              <w:bottom w:val="single" w:sz="8" w:color="auto"/>
            </w:tcBorders>
            <w:shd w:val="clear" w:color="auto" w:fill="EAEAEA"/>
          </w:tcPr>
          <w:p>
            <w:pPr>
              <w:spacing w:after="0"/>
              <w:rPr>
                <w:sz w:val="19"/>
                <w:szCs w:val="19"/>
                <w:color w:val="auto"/>
              </w:rPr>
            </w:pPr>
          </w:p>
        </w:tc>
        <w:tc>
          <w:tcPr>
            <w:tcW w:w="360" w:type="dxa"/>
            <w:vAlign w:val="bottom"/>
            <w:tcBorders>
              <w:bottom w:val="single" w:sz="8" w:color="auto"/>
            </w:tcBorders>
            <w:shd w:val="clear" w:color="auto" w:fill="EAEAEA"/>
          </w:tcPr>
          <w:p>
            <w:pPr>
              <w:spacing w:after="0"/>
              <w:rPr>
                <w:sz w:val="19"/>
                <w:szCs w:val="19"/>
                <w:color w:val="auto"/>
              </w:rPr>
            </w:pPr>
          </w:p>
        </w:tc>
        <w:tc>
          <w:tcPr>
            <w:tcW w:w="1720" w:type="dxa"/>
            <w:vAlign w:val="bottom"/>
            <w:tcBorders>
              <w:bottom w:val="single" w:sz="8" w:color="auto"/>
            </w:tcBorders>
            <w:gridSpan w:val="2"/>
            <w:shd w:val="clear" w:color="auto" w:fill="EAEAEA"/>
          </w:tcPr>
          <w:p>
            <w:pPr>
              <w:jc w:val="right"/>
              <w:ind w:right="710"/>
              <w:spacing w:after="0"/>
              <w:rPr>
                <w:sz w:val="20"/>
                <w:szCs w:val="20"/>
                <w:color w:val="auto"/>
              </w:rPr>
            </w:pPr>
            <w:r>
              <w:rPr>
                <w:rFonts w:ascii="Times New Roman" w:cs="Times New Roman" w:eastAsia="Times New Roman" w:hAnsi="Times New Roman"/>
                <w:sz w:val="18"/>
                <w:szCs w:val="18"/>
                <w:color w:val="auto"/>
              </w:rPr>
              <w:t>3Q23</w:t>
            </w:r>
          </w:p>
        </w:tc>
        <w:tc>
          <w:tcPr>
            <w:tcW w:w="260" w:type="dxa"/>
            <w:vAlign w:val="bottom"/>
            <w:tcBorders>
              <w:bottom w:val="single" w:sz="8" w:color="auto"/>
            </w:tcBorders>
            <w:shd w:val="clear" w:color="auto" w:fill="EAEAEA"/>
          </w:tcPr>
          <w:p>
            <w:pPr>
              <w:spacing w:after="0"/>
              <w:rPr>
                <w:sz w:val="19"/>
                <w:szCs w:val="19"/>
                <w:color w:val="auto"/>
              </w:rPr>
            </w:pPr>
          </w:p>
        </w:tc>
        <w:tc>
          <w:tcPr>
            <w:tcW w:w="1900" w:type="dxa"/>
            <w:vAlign w:val="bottom"/>
            <w:tcBorders>
              <w:bottom w:val="single" w:sz="8" w:color="auto"/>
            </w:tcBorders>
            <w:gridSpan w:val="2"/>
            <w:shd w:val="clear" w:color="auto" w:fill="EAEAEA"/>
          </w:tcPr>
          <w:p>
            <w:pPr>
              <w:ind w:left="680"/>
              <w:spacing w:after="0"/>
              <w:rPr>
                <w:sz w:val="20"/>
                <w:szCs w:val="20"/>
                <w:color w:val="auto"/>
              </w:rPr>
            </w:pPr>
            <w:r>
              <w:rPr>
                <w:rFonts w:ascii="Times New Roman" w:cs="Times New Roman" w:eastAsia="Times New Roman" w:hAnsi="Times New Roman"/>
                <w:sz w:val="18"/>
                <w:szCs w:val="18"/>
                <w:color w:val="auto"/>
              </w:rPr>
              <w:t>4Q22</w:t>
            </w:r>
          </w:p>
        </w:tc>
      </w:tr>
      <w:tr>
        <w:trPr>
          <w:trHeight w:val="223"/>
        </w:trPr>
        <w:tc>
          <w:tcPr>
            <w:tcW w:w="3080" w:type="dxa"/>
            <w:vAlign w:val="bottom"/>
            <w:tcBorders>
              <w:bottom w:val="single" w:sz="8" w:color="auto"/>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 millions, except per share data)</w:t>
            </w:r>
          </w:p>
        </w:tc>
        <w:tc>
          <w:tcPr>
            <w:tcW w:w="240" w:type="dxa"/>
            <w:vAlign w:val="bottom"/>
            <w:tcBorders>
              <w:bottom w:val="single" w:sz="8" w:color="auto"/>
            </w:tcBorders>
            <w:shd w:val="clear" w:color="auto" w:fill="EAEAEA"/>
          </w:tcPr>
          <w:p>
            <w:pPr>
              <w:spacing w:after="0"/>
              <w:rPr>
                <w:sz w:val="19"/>
                <w:szCs w:val="19"/>
                <w:color w:val="auto"/>
              </w:rPr>
            </w:pPr>
          </w:p>
        </w:tc>
        <w:tc>
          <w:tcPr>
            <w:tcW w:w="1060" w:type="dxa"/>
            <w:vAlign w:val="bottom"/>
            <w:tcBorders>
              <w:bottom w:val="single" w:sz="8" w:color="auto"/>
            </w:tcBorders>
            <w:gridSpan w:val="2"/>
            <w:shd w:val="clear" w:color="auto" w:fill="EAEAEA"/>
          </w:tcPr>
          <w:p>
            <w:pPr>
              <w:ind w:left="160"/>
              <w:spacing w:after="0"/>
              <w:rPr>
                <w:sz w:val="20"/>
                <w:szCs w:val="20"/>
                <w:color w:val="auto"/>
              </w:rPr>
            </w:pPr>
            <w:r>
              <w:rPr>
                <w:rFonts w:ascii="Times New Roman" w:cs="Times New Roman" w:eastAsia="Times New Roman" w:hAnsi="Times New Roman"/>
                <w:sz w:val="18"/>
                <w:szCs w:val="18"/>
                <w:color w:val="auto"/>
              </w:rPr>
              <w:t>4Q23</w:t>
            </w:r>
          </w:p>
        </w:tc>
        <w:tc>
          <w:tcPr>
            <w:tcW w:w="260" w:type="dxa"/>
            <w:vAlign w:val="bottom"/>
            <w:tcBorders>
              <w:bottom w:val="single" w:sz="8" w:color="auto"/>
            </w:tcBorders>
            <w:shd w:val="clear" w:color="auto" w:fill="EAEAEA"/>
          </w:tcPr>
          <w:p>
            <w:pPr>
              <w:spacing w:after="0"/>
              <w:rPr>
                <w:sz w:val="19"/>
                <w:szCs w:val="19"/>
                <w:color w:val="auto"/>
              </w:rPr>
            </w:pPr>
          </w:p>
        </w:tc>
        <w:tc>
          <w:tcPr>
            <w:tcW w:w="1060" w:type="dxa"/>
            <w:vAlign w:val="bottom"/>
            <w:tcBorders>
              <w:bottom w:val="single" w:sz="8" w:color="auto"/>
            </w:tcBorders>
            <w:gridSpan w:val="2"/>
            <w:shd w:val="clear" w:color="auto" w:fill="EAEAEA"/>
          </w:tcPr>
          <w:p>
            <w:pPr>
              <w:ind w:left="140"/>
              <w:spacing w:after="0"/>
              <w:rPr>
                <w:sz w:val="20"/>
                <w:szCs w:val="20"/>
                <w:color w:val="auto"/>
              </w:rPr>
            </w:pPr>
            <w:r>
              <w:rPr>
                <w:rFonts w:ascii="Times New Roman" w:cs="Times New Roman" w:eastAsia="Times New Roman" w:hAnsi="Times New Roman"/>
                <w:sz w:val="18"/>
                <w:szCs w:val="18"/>
                <w:color w:val="auto"/>
              </w:rPr>
              <w:t>3Q23</w:t>
            </w:r>
          </w:p>
        </w:tc>
        <w:tc>
          <w:tcPr>
            <w:tcW w:w="240" w:type="dxa"/>
            <w:vAlign w:val="bottom"/>
            <w:tcBorders>
              <w:bottom w:val="single" w:sz="8" w:color="auto"/>
            </w:tcBorders>
            <w:shd w:val="clear" w:color="auto" w:fill="EAEAEA"/>
          </w:tcPr>
          <w:p>
            <w:pPr>
              <w:spacing w:after="0"/>
              <w:rPr>
                <w:sz w:val="19"/>
                <w:szCs w:val="19"/>
                <w:color w:val="auto"/>
              </w:rPr>
            </w:pPr>
          </w:p>
        </w:tc>
        <w:tc>
          <w:tcPr>
            <w:tcW w:w="1000" w:type="dxa"/>
            <w:vAlign w:val="bottom"/>
            <w:tcBorders>
              <w:bottom w:val="single" w:sz="8" w:color="auto"/>
            </w:tcBorders>
            <w:shd w:val="clear" w:color="auto" w:fill="EAEAEA"/>
          </w:tcPr>
          <w:p>
            <w:pPr>
              <w:jc w:val="right"/>
              <w:ind w:right="350"/>
              <w:spacing w:after="0"/>
              <w:rPr>
                <w:sz w:val="20"/>
                <w:szCs w:val="20"/>
                <w:color w:val="auto"/>
              </w:rPr>
            </w:pPr>
            <w:r>
              <w:rPr>
                <w:rFonts w:ascii="Times New Roman" w:cs="Times New Roman" w:eastAsia="Times New Roman" w:hAnsi="Times New Roman"/>
                <w:sz w:val="18"/>
                <w:szCs w:val="18"/>
                <w:color w:val="auto"/>
              </w:rPr>
              <w:t>4Q22</w:t>
            </w:r>
          </w:p>
        </w:tc>
        <w:tc>
          <w:tcPr>
            <w:tcW w:w="3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EAEAEA"/>
          </w:tcPr>
          <w:p>
            <w:pPr>
              <w:jc w:val="right"/>
              <w:ind w:right="110"/>
              <w:spacing w:after="0"/>
              <w:rPr>
                <w:sz w:val="20"/>
                <w:szCs w:val="20"/>
                <w:color w:val="auto"/>
              </w:rPr>
            </w:pPr>
            <w:r>
              <w:rPr>
                <w:rFonts w:ascii="Times New Roman" w:cs="Times New Roman" w:eastAsia="Times New Roman" w:hAnsi="Times New Roman"/>
                <w:sz w:val="18"/>
                <w:szCs w:val="18"/>
                <w:color w:val="auto"/>
                <w:w w:val="97"/>
              </w:rPr>
              <w:t>O/(U)</w:t>
            </w:r>
          </w:p>
        </w:tc>
        <w:tc>
          <w:tcPr>
            <w:tcW w:w="1080" w:type="dxa"/>
            <w:vAlign w:val="bottom"/>
            <w:tcBorders>
              <w:bottom w:val="single" w:sz="8" w:color="auto"/>
            </w:tcBorders>
            <w:shd w:val="clear" w:color="auto" w:fill="EAEAEA"/>
          </w:tcPr>
          <w:p>
            <w:pPr>
              <w:jc w:val="right"/>
              <w:ind w:right="130"/>
              <w:spacing w:after="0"/>
              <w:rPr>
                <w:sz w:val="20"/>
                <w:szCs w:val="20"/>
                <w:color w:val="auto"/>
              </w:rPr>
            </w:pPr>
            <w:r>
              <w:rPr>
                <w:rFonts w:ascii="Times New Roman" w:cs="Times New Roman" w:eastAsia="Times New Roman" w:hAnsi="Times New Roman"/>
                <w:sz w:val="18"/>
                <w:szCs w:val="18"/>
                <w:color w:val="auto"/>
              </w:rPr>
              <w:t>O/(U) %</w:t>
            </w:r>
          </w:p>
        </w:tc>
        <w:tc>
          <w:tcPr>
            <w:tcW w:w="260" w:type="dxa"/>
            <w:vAlign w:val="bottom"/>
            <w:tcBorders>
              <w:bottom w:val="single" w:sz="8" w:color="auto"/>
            </w:tcBorders>
            <w:shd w:val="clear" w:color="auto" w:fill="EAEAEA"/>
          </w:tcPr>
          <w:p>
            <w:pPr>
              <w:spacing w:after="0"/>
              <w:rPr>
                <w:sz w:val="19"/>
                <w:szCs w:val="19"/>
                <w:color w:val="auto"/>
              </w:rPr>
            </w:pPr>
          </w:p>
        </w:tc>
        <w:tc>
          <w:tcPr>
            <w:tcW w:w="800" w:type="dxa"/>
            <w:vAlign w:val="bottom"/>
            <w:tcBorders>
              <w:bottom w:val="single" w:sz="8" w:color="auto"/>
            </w:tcBorders>
            <w:shd w:val="clear" w:color="auto" w:fill="EAEAEA"/>
          </w:tcPr>
          <w:p>
            <w:pPr>
              <w:jc w:val="right"/>
              <w:ind w:right="110"/>
              <w:spacing w:after="0"/>
              <w:rPr>
                <w:sz w:val="20"/>
                <w:szCs w:val="20"/>
                <w:color w:val="auto"/>
              </w:rPr>
            </w:pPr>
            <w:r>
              <w:rPr>
                <w:rFonts w:ascii="Times New Roman" w:cs="Times New Roman" w:eastAsia="Times New Roman" w:hAnsi="Times New Roman"/>
                <w:sz w:val="18"/>
                <w:szCs w:val="18"/>
                <w:color w:val="auto"/>
              </w:rPr>
              <w:t>$ O/(U)</w:t>
            </w:r>
          </w:p>
        </w:tc>
        <w:tc>
          <w:tcPr>
            <w:tcW w:w="1100" w:type="dxa"/>
            <w:vAlign w:val="bottom"/>
            <w:tcBorders>
              <w:bottom w:val="single" w:sz="8" w:color="auto"/>
            </w:tcBorders>
            <w:shd w:val="clear" w:color="auto" w:fill="EAEAEA"/>
          </w:tcPr>
          <w:p>
            <w:pPr>
              <w:ind w:left="240"/>
              <w:spacing w:after="0"/>
              <w:rPr>
                <w:sz w:val="20"/>
                <w:szCs w:val="20"/>
                <w:color w:val="auto"/>
              </w:rPr>
            </w:pPr>
            <w:r>
              <w:rPr>
                <w:rFonts w:ascii="Times New Roman" w:cs="Times New Roman" w:eastAsia="Times New Roman" w:hAnsi="Times New Roman"/>
                <w:sz w:val="18"/>
                <w:szCs w:val="18"/>
                <w:color w:val="auto"/>
              </w:rPr>
              <w:t>O/(U) %</w:t>
            </w:r>
          </w:p>
        </w:tc>
      </w:tr>
      <w:tr>
        <w:trPr>
          <w:trHeight w:val="21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 - reported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38,574</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39,874</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34,547</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 - managed</w:t>
            </w:r>
          </w:p>
        </w:tc>
        <w:tc>
          <w:tcPr>
            <w:tcW w:w="2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39,943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40,686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35,566</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21,757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19,022</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308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Borders>
              <w:bottom w:val="single" w:sz="8" w:color="828282"/>
            </w:tcBorders>
          </w:tcPr>
          <w:p>
            <w:pPr>
              <w:spacing w:after="0"/>
              <w:rPr>
                <w:sz w:val="20"/>
                <w:szCs w:val="20"/>
                <w:color w:val="auto"/>
              </w:rPr>
            </w:pPr>
          </w:p>
        </w:tc>
        <w:tc>
          <w:tcPr>
            <w:tcW w:w="96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Borders>
              <w:bottom w:val="single" w:sz="8" w:color="828282"/>
            </w:tcBorders>
          </w:tcPr>
          <w:p>
            <w:pPr>
              <w:spacing w:after="0"/>
              <w:rPr>
                <w:sz w:val="20"/>
                <w:szCs w:val="20"/>
                <w:color w:val="auto"/>
              </w:rPr>
            </w:pPr>
          </w:p>
        </w:tc>
        <w:tc>
          <w:tcPr>
            <w:tcW w:w="260" w:type="dxa"/>
            <w:vAlign w:val="bottom"/>
            <w:tcBorders>
              <w:bottom w:val="single" w:sz="8" w:color="828282"/>
            </w:tcBorders>
          </w:tcPr>
          <w:p>
            <w:pPr>
              <w:spacing w:after="0"/>
              <w:rPr>
                <w:sz w:val="20"/>
                <w:szCs w:val="20"/>
                <w:color w:val="auto"/>
              </w:rPr>
            </w:pPr>
          </w:p>
        </w:tc>
        <w:tc>
          <w:tcPr>
            <w:tcW w:w="94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Borders>
              <w:bottom w:val="single" w:sz="8" w:color="828282"/>
            </w:tcBorders>
          </w:tcPr>
          <w:p>
            <w:pPr>
              <w:spacing w:after="0"/>
              <w:rPr>
                <w:sz w:val="20"/>
                <w:szCs w:val="20"/>
                <w:color w:val="auto"/>
              </w:rPr>
            </w:pPr>
          </w:p>
        </w:tc>
        <w:tc>
          <w:tcPr>
            <w:tcW w:w="240" w:type="dxa"/>
            <w:vAlign w:val="bottom"/>
            <w:tcBorders>
              <w:bottom w:val="single" w:sz="8" w:color="828282"/>
            </w:tcBorders>
          </w:tcPr>
          <w:p>
            <w:pPr>
              <w:spacing w:after="0"/>
              <w:rPr>
                <w:sz w:val="20"/>
                <w:szCs w:val="20"/>
                <w:color w:val="auto"/>
              </w:rPr>
            </w:pPr>
          </w:p>
        </w:tc>
        <w:tc>
          <w:tcPr>
            <w:tcW w:w="1000" w:type="dxa"/>
            <w:vAlign w:val="bottom"/>
            <w:tcBorders>
              <w:bottom w:val="single" w:sz="8" w:color="828282"/>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2,288</w:t>
            </w:r>
          </w:p>
        </w:tc>
        <w:tc>
          <w:tcPr>
            <w:tcW w:w="360" w:type="dxa"/>
            <w:vAlign w:val="bottom"/>
            <w:tcBorders>
              <w:bottom w:val="single" w:sz="8" w:color="828282"/>
            </w:tcBorders>
          </w:tcPr>
          <w:p>
            <w:pPr>
              <w:spacing w:after="0"/>
              <w:rPr>
                <w:sz w:val="20"/>
                <w:szCs w:val="20"/>
                <w:color w:val="auto"/>
              </w:rPr>
            </w:pPr>
          </w:p>
        </w:tc>
        <w:tc>
          <w:tcPr>
            <w:tcW w:w="64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8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100" w:type="dxa"/>
            <w:vAlign w:val="bottom"/>
            <w:tcBorders>
              <w:bottom w:val="single" w:sz="8" w:color="828282"/>
            </w:tcBorders>
          </w:tcPr>
          <w:p>
            <w:pPr>
              <w:ind w:left="700"/>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3080" w:type="dxa"/>
            <w:vAlign w:val="bottom"/>
            <w:tcBorders>
              <w:bottom w:val="single" w:sz="8" w:color="828282"/>
            </w:tcBorders>
            <w:shd w:val="clear" w:color="auto" w:fill="D6E0E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828282"/>
            </w:tcBorders>
            <w:shd w:val="clear" w:color="auto" w:fill="D6E0E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828282"/>
            </w:tcBorders>
            <w:shd w:val="clear" w:color="auto" w:fill="D6E0EC"/>
          </w:tcPr>
          <w:p>
            <w:pPr>
              <w:jc w:val="right"/>
              <w:ind w:right="130"/>
              <w:spacing w:after="0"/>
              <w:rPr>
                <w:sz w:val="20"/>
                <w:szCs w:val="20"/>
                <w:color w:val="auto"/>
              </w:rPr>
            </w:pPr>
            <w:r>
              <w:rPr>
                <w:rFonts w:ascii="Times New Roman" w:cs="Times New Roman" w:eastAsia="Times New Roman" w:hAnsi="Times New Roman"/>
                <w:sz w:val="18"/>
                <w:szCs w:val="18"/>
                <w:color w:val="auto"/>
              </w:rPr>
              <w:t>9,307</w:t>
            </w:r>
          </w:p>
        </w:tc>
        <w:tc>
          <w:tcPr>
            <w:tcW w:w="100" w:type="dxa"/>
            <w:vAlign w:val="bottom"/>
            <w:tcBorders>
              <w:bottom w:val="single" w:sz="8" w:color="828282"/>
            </w:tcBorders>
            <w:shd w:val="clear" w:color="auto" w:fill="D6E0EC"/>
          </w:tcPr>
          <w:p>
            <w:pPr>
              <w:spacing w:after="0"/>
              <w:rPr>
                <w:sz w:val="19"/>
                <w:szCs w:val="19"/>
                <w:color w:val="auto"/>
              </w:rPr>
            </w:pPr>
          </w:p>
        </w:tc>
        <w:tc>
          <w:tcPr>
            <w:tcW w:w="260" w:type="dxa"/>
            <w:vAlign w:val="bottom"/>
            <w:tcBorders>
              <w:bottom w:val="single" w:sz="8" w:color="828282"/>
            </w:tcBorders>
            <w:shd w:val="clear" w:color="auto" w:fill="D6E0E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828282"/>
            </w:tcBorders>
            <w:shd w:val="clear" w:color="auto" w:fill="D6E0EC"/>
          </w:tcPr>
          <w:p>
            <w:pPr>
              <w:jc w:val="right"/>
              <w:ind w:right="130"/>
              <w:spacing w:after="0"/>
              <w:rPr>
                <w:sz w:val="20"/>
                <w:szCs w:val="20"/>
                <w:color w:val="auto"/>
              </w:rPr>
            </w:pPr>
            <w:r>
              <w:rPr>
                <w:rFonts w:ascii="Times New Roman" w:cs="Times New Roman" w:eastAsia="Times New Roman" w:hAnsi="Times New Roman"/>
                <w:sz w:val="18"/>
                <w:szCs w:val="18"/>
                <w:color w:val="auto"/>
              </w:rPr>
              <w:t>13,151</w:t>
            </w:r>
          </w:p>
        </w:tc>
        <w:tc>
          <w:tcPr>
            <w:tcW w:w="120" w:type="dxa"/>
            <w:vAlign w:val="bottom"/>
            <w:tcBorders>
              <w:bottom w:val="single" w:sz="8" w:color="828282"/>
            </w:tcBorders>
            <w:shd w:val="clear" w:color="auto" w:fill="D6E0EC"/>
          </w:tcPr>
          <w:p>
            <w:pPr>
              <w:spacing w:after="0"/>
              <w:rPr>
                <w:sz w:val="19"/>
                <w:szCs w:val="19"/>
                <w:color w:val="auto"/>
              </w:rPr>
            </w:pPr>
          </w:p>
        </w:tc>
        <w:tc>
          <w:tcPr>
            <w:tcW w:w="240" w:type="dxa"/>
            <w:vAlign w:val="bottom"/>
            <w:tcBorders>
              <w:bottom w:val="single" w:sz="8" w:color="828282"/>
            </w:tcBorders>
            <w:shd w:val="clear" w:color="auto" w:fill="D6E0E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828282"/>
            </w:tcBorders>
            <w:shd w:val="clear" w:color="auto" w:fill="D6E0EC"/>
          </w:tcPr>
          <w:p>
            <w:pPr>
              <w:jc w:val="right"/>
              <w:ind w:right="170"/>
              <w:spacing w:after="0"/>
              <w:rPr>
                <w:sz w:val="20"/>
                <w:szCs w:val="20"/>
                <w:color w:val="auto"/>
              </w:rPr>
            </w:pPr>
            <w:r>
              <w:rPr>
                <w:rFonts w:ascii="Times New Roman" w:cs="Times New Roman" w:eastAsia="Times New Roman" w:hAnsi="Times New Roman"/>
                <w:sz w:val="18"/>
                <w:szCs w:val="18"/>
                <w:color w:val="auto"/>
              </w:rPr>
              <w:t>11,008</w:t>
            </w:r>
          </w:p>
        </w:tc>
        <w:tc>
          <w:tcPr>
            <w:tcW w:w="360" w:type="dxa"/>
            <w:vAlign w:val="bottom"/>
            <w:tcBorders>
              <w:bottom w:val="single" w:sz="8" w:color="828282"/>
            </w:tcBorders>
            <w:shd w:val="clear" w:color="auto" w:fill="D6E0E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8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100" w:type="dxa"/>
            <w:vAlign w:val="bottom"/>
            <w:tcBorders>
              <w:bottom w:val="single" w:sz="8" w:color="828282"/>
            </w:tcBorders>
            <w:shd w:val="clear" w:color="auto" w:fill="D6E0EC"/>
          </w:tcPr>
          <w:p>
            <w:pPr>
              <w:ind w:left="62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308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4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7F7F7F"/>
            </w:tcBorders>
          </w:tcPr>
          <w:p>
            <w:pPr>
              <w:spacing w:after="0"/>
              <w:rPr>
                <w:sz w:val="19"/>
                <w:szCs w:val="19"/>
                <w:color w:val="auto"/>
              </w:rPr>
            </w:pPr>
          </w:p>
        </w:tc>
        <w:tc>
          <w:tcPr>
            <w:tcW w:w="26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bottom w:val="single" w:sz="8" w:color="7F7F7F"/>
            </w:tcBorders>
          </w:tcPr>
          <w:p>
            <w:pPr>
              <w:spacing w:after="0"/>
              <w:rPr>
                <w:sz w:val="19"/>
                <w:szCs w:val="19"/>
                <w:color w:val="auto"/>
              </w:rPr>
            </w:pPr>
          </w:p>
        </w:tc>
        <w:tc>
          <w:tcPr>
            <w:tcW w:w="24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828282"/>
            </w:tcBorders>
          </w:tcPr>
          <w:p>
            <w:pPr>
              <w:jc w:val="right"/>
              <w:ind w:right="170"/>
              <w:spacing w:after="0"/>
              <w:rPr>
                <w:sz w:val="20"/>
                <w:szCs w:val="20"/>
                <w:color w:val="auto"/>
              </w:rPr>
            </w:pPr>
            <w:r>
              <w:rPr>
                <w:rFonts w:ascii="Times New Roman" w:cs="Times New Roman" w:eastAsia="Times New Roman" w:hAnsi="Times New Roman"/>
                <w:sz w:val="18"/>
                <w:szCs w:val="18"/>
                <w:color w:val="auto"/>
              </w:rPr>
              <w:t>3.57</w:t>
            </w:r>
          </w:p>
        </w:tc>
        <w:tc>
          <w:tcPr>
            <w:tcW w:w="360" w:type="dxa"/>
            <w:vAlign w:val="bottom"/>
            <w:tcBorders>
              <w:bottom w:val="single" w:sz="8" w:color="828282"/>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80" w:type="dxa"/>
            <w:vAlign w:val="bottom"/>
            <w:tcBorders>
              <w:bottom w:val="single" w:sz="8" w:color="7F7F7F"/>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100" w:type="dxa"/>
            <w:vAlign w:val="bottom"/>
            <w:tcBorders>
              <w:bottom w:val="single" w:sz="8" w:color="7F7F7F"/>
            </w:tcBorders>
          </w:tcPr>
          <w:p>
            <w:pPr>
              <w:ind w:left="62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3080" w:type="dxa"/>
            <w:vAlign w:val="bottom"/>
            <w:tcBorders>
              <w:bottom w:val="single" w:sz="8" w:color="7F7F7F"/>
            </w:tcBorders>
          </w:tcPr>
          <w:p>
            <w:pPr>
              <w:ind w:left="20"/>
              <w:spacing w:after="0"/>
              <w:rPr>
                <w:sz w:val="20"/>
                <w:szCs w:val="20"/>
                <w:color w:val="auto"/>
              </w:rPr>
            </w:pPr>
            <w:r>
              <w:rPr>
                <w:rFonts w:ascii="Times New Roman" w:cs="Times New Roman" w:eastAsia="Times New Roman" w:hAnsi="Times New Roman"/>
                <w:sz w:val="18"/>
                <w:szCs w:val="18"/>
                <w:color w:val="auto"/>
              </w:rPr>
              <w:t>Return on common equity</w:t>
            </w:r>
          </w:p>
        </w:tc>
        <w:tc>
          <w:tcPr>
            <w:tcW w:w="240" w:type="dxa"/>
            <w:vAlign w:val="bottom"/>
            <w:tcBorders>
              <w:bottom w:val="single" w:sz="8" w:color="7F7F7F"/>
            </w:tcBorders>
          </w:tcPr>
          <w:p>
            <w:pPr>
              <w:spacing w:after="0"/>
              <w:rPr>
                <w:sz w:val="19"/>
                <w:szCs w:val="19"/>
                <w:color w:val="auto"/>
              </w:rPr>
            </w:pPr>
          </w:p>
        </w:tc>
        <w:tc>
          <w:tcPr>
            <w:tcW w:w="960" w:type="dxa"/>
            <w:vAlign w:val="bottom"/>
            <w:tcBorders>
              <w:bottom w:val="single" w:sz="8" w:color="7F7F7F"/>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bottom w:val="single" w:sz="8" w:color="7F7F7F"/>
            </w:tcBorders>
          </w:tcPr>
          <w:p>
            <w:pPr>
              <w:spacing w:after="0"/>
              <w:rPr>
                <w:sz w:val="19"/>
                <w:szCs w:val="19"/>
                <w:color w:val="auto"/>
              </w:rPr>
            </w:pPr>
          </w:p>
        </w:tc>
        <w:tc>
          <w:tcPr>
            <w:tcW w:w="240" w:type="dxa"/>
            <w:vAlign w:val="bottom"/>
            <w:tcBorders>
              <w:bottom w:val="single" w:sz="8" w:color="7F7F7F"/>
            </w:tcBorders>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360" w:type="dxa"/>
            <w:vAlign w:val="bottom"/>
            <w:tcBorders>
              <w:bottom w:val="single" w:sz="8" w:color="7F7F7F"/>
            </w:tcBorders>
          </w:tcPr>
          <w:p>
            <w:pPr>
              <w:spacing w:after="0"/>
              <w:rPr>
                <w:sz w:val="19"/>
                <w:szCs w:val="19"/>
                <w:color w:val="auto"/>
              </w:rPr>
            </w:pPr>
          </w:p>
        </w:tc>
        <w:tc>
          <w:tcPr>
            <w:tcW w:w="640" w:type="dxa"/>
            <w:vAlign w:val="bottom"/>
            <w:tcBorders>
              <w:bottom w:val="single" w:sz="8" w:color="7F7F7F"/>
            </w:tcBorders>
          </w:tcPr>
          <w:p>
            <w:pPr>
              <w:spacing w:after="0"/>
              <w:rPr>
                <w:sz w:val="19"/>
                <w:szCs w:val="19"/>
                <w:color w:val="auto"/>
              </w:rPr>
            </w:pPr>
          </w:p>
        </w:tc>
        <w:tc>
          <w:tcPr>
            <w:tcW w:w="108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800" w:type="dxa"/>
            <w:vAlign w:val="bottom"/>
            <w:tcBorders>
              <w:bottom w:val="single" w:sz="8" w:color="7F7F7F"/>
            </w:tcBorders>
          </w:tcPr>
          <w:p>
            <w:pPr>
              <w:spacing w:after="0"/>
              <w:rPr>
                <w:sz w:val="19"/>
                <w:szCs w:val="19"/>
                <w:color w:val="auto"/>
              </w:rPr>
            </w:pPr>
          </w:p>
        </w:tc>
        <w:tc>
          <w:tcPr>
            <w:tcW w:w="1100" w:type="dxa"/>
            <w:vAlign w:val="bottom"/>
            <w:tcBorders>
              <w:bottom w:val="single" w:sz="8" w:color="7F7F7F"/>
            </w:tcBorders>
          </w:tcPr>
          <w:p>
            <w:pPr>
              <w:spacing w:after="0"/>
              <w:rPr>
                <w:sz w:val="19"/>
                <w:szCs w:val="19"/>
                <w:color w:val="auto"/>
              </w:rPr>
            </w:pPr>
          </w:p>
        </w:tc>
      </w:tr>
      <w:tr>
        <w:trPr>
          <w:trHeight w:val="223"/>
        </w:trPr>
        <w:tc>
          <w:tcPr>
            <w:tcW w:w="3080" w:type="dxa"/>
            <w:vAlign w:val="bottom"/>
            <w:tcBorders>
              <w:bottom w:val="single" w:sz="8" w:color="7F7F7F"/>
            </w:tcBorders>
          </w:tcPr>
          <w:p>
            <w:pPr>
              <w:ind w:left="20"/>
              <w:spacing w:after="0"/>
              <w:rPr>
                <w:sz w:val="20"/>
                <w:szCs w:val="20"/>
                <w:color w:val="auto"/>
              </w:rPr>
            </w:pPr>
            <w:r>
              <w:rPr>
                <w:rFonts w:ascii="Times New Roman" w:cs="Times New Roman" w:eastAsia="Times New Roman" w:hAnsi="Times New Roman"/>
                <w:sz w:val="18"/>
                <w:szCs w:val="18"/>
                <w:color w:val="auto"/>
              </w:rPr>
              <w:t>Return on tangible common equity</w:t>
            </w:r>
          </w:p>
        </w:tc>
        <w:tc>
          <w:tcPr>
            <w:tcW w:w="240" w:type="dxa"/>
            <w:vAlign w:val="bottom"/>
            <w:tcBorders>
              <w:bottom w:val="single" w:sz="8" w:color="7F7F7F"/>
            </w:tcBorders>
          </w:tcPr>
          <w:p>
            <w:pPr>
              <w:spacing w:after="0"/>
              <w:rPr>
                <w:sz w:val="19"/>
                <w:szCs w:val="19"/>
                <w:color w:val="auto"/>
              </w:rPr>
            </w:pPr>
          </w:p>
        </w:tc>
        <w:tc>
          <w:tcPr>
            <w:tcW w:w="960" w:type="dxa"/>
            <w:vAlign w:val="bottom"/>
            <w:tcBorders>
              <w:bottom w:val="single" w:sz="8" w:color="7F7F7F"/>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7F7F7F"/>
            </w:tcBorders>
          </w:tcPr>
          <w:p>
            <w:pPr>
              <w:spacing w:after="0"/>
              <w:rPr>
                <w:sz w:val="19"/>
                <w:szCs w:val="19"/>
                <w:color w:val="auto"/>
              </w:rPr>
            </w:pPr>
          </w:p>
        </w:tc>
        <w:tc>
          <w:tcPr>
            <w:tcW w:w="240" w:type="dxa"/>
            <w:vAlign w:val="bottom"/>
            <w:tcBorders>
              <w:bottom w:val="single" w:sz="8" w:color="7F7F7F"/>
            </w:tcBorders>
          </w:tcPr>
          <w:p>
            <w:pPr>
              <w:spacing w:after="0"/>
              <w:rPr>
                <w:sz w:val="19"/>
                <w:szCs w:val="19"/>
                <w:color w:val="auto"/>
              </w:rPr>
            </w:pPr>
          </w:p>
        </w:tc>
        <w:tc>
          <w:tcPr>
            <w:tcW w:w="1000" w:type="dxa"/>
            <w:vAlign w:val="bottom"/>
            <w:tcBorders>
              <w:bottom w:val="single" w:sz="8" w:color="7F7F7F"/>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Borders>
              <w:bottom w:val="single" w:sz="8" w:color="7F7F7F"/>
            </w:tcBorders>
          </w:tcPr>
          <w:p>
            <w:pPr>
              <w:spacing w:after="0"/>
              <w:rPr>
                <w:sz w:val="19"/>
                <w:szCs w:val="19"/>
                <w:color w:val="auto"/>
              </w:rPr>
            </w:pPr>
          </w:p>
        </w:tc>
        <w:tc>
          <w:tcPr>
            <w:tcW w:w="640" w:type="dxa"/>
            <w:vAlign w:val="bottom"/>
            <w:tcBorders>
              <w:bottom w:val="single" w:sz="8" w:color="7F7F7F"/>
            </w:tcBorders>
          </w:tcPr>
          <w:p>
            <w:pPr>
              <w:spacing w:after="0"/>
              <w:rPr>
                <w:sz w:val="19"/>
                <w:szCs w:val="19"/>
                <w:color w:val="auto"/>
              </w:rPr>
            </w:pPr>
          </w:p>
        </w:tc>
        <w:tc>
          <w:tcPr>
            <w:tcW w:w="108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800" w:type="dxa"/>
            <w:vAlign w:val="bottom"/>
            <w:tcBorders>
              <w:bottom w:val="single" w:sz="8" w:color="7F7F7F"/>
            </w:tcBorders>
          </w:tcPr>
          <w:p>
            <w:pPr>
              <w:spacing w:after="0"/>
              <w:rPr>
                <w:sz w:val="19"/>
                <w:szCs w:val="19"/>
                <w:color w:val="auto"/>
              </w:rPr>
            </w:pPr>
          </w:p>
        </w:tc>
        <w:tc>
          <w:tcPr>
            <w:tcW w:w="1100" w:type="dxa"/>
            <w:vAlign w:val="bottom"/>
            <w:tcBorders>
              <w:bottom w:val="single" w:sz="8" w:color="7F7F7F"/>
            </w:tcBorders>
          </w:tcPr>
          <w:p>
            <w:pPr>
              <w:spacing w:after="0"/>
              <w:rPr>
                <w:sz w:val="19"/>
                <w:szCs w:val="19"/>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$9.3 billion, down 15%, or down 21% excluding First Republic, predominantly driven by the FDIC special assessment.</w:t>
      </w:r>
    </w:p>
    <w:p>
      <w:pPr>
        <w:spacing w:after="0" w:line="1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Net revenue was $39.9 billion, up 12%, or up 7% excluding First Republic. Net interest income (NII) was $24.2 billion, up 19%, or up 12% excluding First Republic. NII excluding Markets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was $23.6 billion, up 18%, or up 11% excluding First Republic, predominantly driven by higher rates and higher revolving balances in Card Services, partially offset by lower deposit balances. Noninterest revenue was $15.8 billion, up 3%, or relatively flat excluding First Republic. The current quarter reflected higher asset management and Investment Banking fees. The prior-year quarter reflected a $914 million gain on the sale of Visa B shares and higher markdowns on equity investments in Payments.</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was $24.5 billion, up 29%, or up 24% excluding First Republic, predominantly driven by the FDIC special assessment and higher compensation, including front office incentive compensation, wage inflation and growth in front office and technology employees.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 for credit losses was $2.8 billion, reflecting net charge-offs of $2.2 billion and a net reserve build of $598 million. The net reserve build included a $546 million net build in Consumer, driven by loan growth in Card Services, and a $41 million net build in Wholesale. Net charge-offs of $2.2 billion were up $1.3 billion, predominantly driven by Card Services and single-name exposures in Wholesale which were largely previously reserved. The prior-year provision was $2.3 billion, reflecting a net reserve build of $1.4 billion and net charge-offs of $887 million.</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income attributable to First Republic was $647 million. This reflected $1.3 billion of net interest income, $533 million of noninterest revenue and $890 million of noninterest expense. The provision for credit losses was $125 million, predominantly in CB. For additional information, see note 7 on page 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331470</wp:posOffset>
            </wp:positionV>
            <wp:extent cx="6978015" cy="266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7801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FFFFFF"/>
        </w:rPr>
        <w:t>CONSUMER &amp; COMMUNITY BANKING (CCB)</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3620" w:type="dxa"/>
            <w:vAlign w:val="bottom"/>
            <w:tcBorders>
              <w:bottom w:val="single" w:sz="8" w:color="EAEAEA"/>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Results for CCB</w:t>
            </w:r>
          </w:p>
        </w:tc>
        <w:tc>
          <w:tcPr>
            <w:tcW w:w="20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86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rPr>
                <w:sz w:val="19"/>
                <w:szCs w:val="19"/>
                <w:color w:val="auto"/>
              </w:rPr>
            </w:pPr>
          </w:p>
        </w:tc>
        <w:tc>
          <w:tcPr>
            <w:tcW w:w="1960" w:type="dxa"/>
            <w:vAlign w:val="bottom"/>
            <w:tcBorders>
              <w:bottom w:val="single" w:sz="8" w:color="auto"/>
            </w:tcBorders>
            <w:gridSpan w:val="2"/>
            <w:shd w:val="clear" w:color="auto" w:fill="EAEAEA"/>
          </w:tcPr>
          <w:p>
            <w:pPr>
              <w:jc w:val="right"/>
              <w:ind w:right="790"/>
              <w:spacing w:after="0"/>
              <w:rPr>
                <w:sz w:val="20"/>
                <w:szCs w:val="20"/>
                <w:color w:val="auto"/>
              </w:rPr>
            </w:pPr>
            <w:r>
              <w:rPr>
                <w:rFonts w:ascii="Times New Roman" w:cs="Times New Roman" w:eastAsia="Times New Roman" w:hAnsi="Times New Roman"/>
                <w:sz w:val="18"/>
                <w:szCs w:val="18"/>
                <w:color w:val="auto"/>
              </w:rPr>
              <w:t>3Q23</w:t>
            </w:r>
          </w:p>
        </w:tc>
        <w:tc>
          <w:tcPr>
            <w:tcW w:w="200" w:type="dxa"/>
            <w:vAlign w:val="bottom"/>
            <w:tcBorders>
              <w:bottom w:val="single" w:sz="8" w:color="auto"/>
            </w:tcBorders>
            <w:shd w:val="clear" w:color="auto" w:fill="EAEAEA"/>
          </w:tcPr>
          <w:p>
            <w:pPr>
              <w:spacing w:after="0"/>
              <w:rPr>
                <w:sz w:val="19"/>
                <w:szCs w:val="19"/>
                <w:color w:val="auto"/>
              </w:rPr>
            </w:pPr>
          </w:p>
        </w:tc>
        <w:tc>
          <w:tcPr>
            <w:tcW w:w="1900" w:type="dxa"/>
            <w:vAlign w:val="bottom"/>
            <w:tcBorders>
              <w:bottom w:val="single" w:sz="8" w:color="auto"/>
            </w:tcBorders>
            <w:gridSpan w:val="2"/>
            <w:shd w:val="clear" w:color="auto" w:fill="EAEAEA"/>
          </w:tcPr>
          <w:p>
            <w:pPr>
              <w:jc w:val="right"/>
              <w:ind w:right="730"/>
              <w:spacing w:after="0"/>
              <w:rPr>
                <w:sz w:val="20"/>
                <w:szCs w:val="20"/>
                <w:color w:val="auto"/>
              </w:rPr>
            </w:pPr>
            <w:r>
              <w:rPr>
                <w:rFonts w:ascii="Times New Roman" w:cs="Times New Roman" w:eastAsia="Times New Roman" w:hAnsi="Times New Roman"/>
                <w:sz w:val="18"/>
                <w:szCs w:val="18"/>
                <w:color w:val="auto"/>
              </w:rPr>
              <w:t>4Q22</w:t>
            </w:r>
          </w:p>
        </w:tc>
      </w:tr>
      <w:tr>
        <w:trPr>
          <w:trHeight w:val="223"/>
        </w:trPr>
        <w:tc>
          <w:tcPr>
            <w:tcW w:w="3620" w:type="dxa"/>
            <w:vAlign w:val="bottom"/>
            <w:tcBorders>
              <w:bottom w:val="single" w:sz="8" w:color="auto"/>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 millions)</w:t>
            </w:r>
          </w:p>
        </w:tc>
        <w:tc>
          <w:tcPr>
            <w:tcW w:w="200" w:type="dxa"/>
            <w:vAlign w:val="bottom"/>
            <w:tcBorders>
              <w:bottom w:val="single" w:sz="8" w:color="auto"/>
            </w:tcBorders>
            <w:shd w:val="clear" w:color="auto" w:fill="EAEAEA"/>
          </w:tcPr>
          <w:p>
            <w:pPr>
              <w:spacing w:after="0"/>
              <w:rPr>
                <w:sz w:val="19"/>
                <w:szCs w:val="19"/>
                <w:color w:val="auto"/>
              </w:rPr>
            </w:pPr>
          </w:p>
        </w:tc>
        <w:tc>
          <w:tcPr>
            <w:tcW w:w="78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4Q23</w:t>
            </w:r>
          </w:p>
        </w:tc>
        <w:tc>
          <w:tcPr>
            <w:tcW w:w="280" w:type="dxa"/>
            <w:vAlign w:val="bottom"/>
            <w:tcBorders>
              <w:bottom w:val="single" w:sz="8" w:color="auto"/>
            </w:tcBorders>
            <w:shd w:val="clear" w:color="auto" w:fill="EAEAEA"/>
          </w:tcPr>
          <w:p>
            <w:pPr>
              <w:spacing w:after="0"/>
              <w:rPr>
                <w:sz w:val="19"/>
                <w:szCs w:val="19"/>
                <w:color w:val="auto"/>
              </w:rPr>
            </w:pPr>
          </w:p>
        </w:tc>
        <w:tc>
          <w:tcPr>
            <w:tcW w:w="78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3Q23</w:t>
            </w:r>
          </w:p>
        </w:tc>
        <w:tc>
          <w:tcPr>
            <w:tcW w:w="260" w:type="dxa"/>
            <w:vAlign w:val="bottom"/>
            <w:tcBorders>
              <w:bottom w:val="single" w:sz="8" w:color="auto"/>
            </w:tcBorders>
            <w:shd w:val="clear" w:color="auto" w:fill="EAEAEA"/>
          </w:tcPr>
          <w:p>
            <w:pPr>
              <w:spacing w:after="0"/>
              <w:rPr>
                <w:sz w:val="19"/>
                <w:szCs w:val="19"/>
                <w:color w:val="auto"/>
              </w:rPr>
            </w:pPr>
          </w:p>
        </w:tc>
        <w:tc>
          <w:tcPr>
            <w:tcW w:w="860" w:type="dxa"/>
            <w:vAlign w:val="bottom"/>
            <w:tcBorders>
              <w:bottom w:val="single" w:sz="8" w:color="auto"/>
            </w:tcBorders>
            <w:shd w:val="clear" w:color="auto" w:fill="EAEAEA"/>
          </w:tcPr>
          <w:p>
            <w:pPr>
              <w:jc w:val="right"/>
              <w:ind w:right="290"/>
              <w:spacing w:after="0"/>
              <w:rPr>
                <w:sz w:val="20"/>
                <w:szCs w:val="20"/>
                <w:color w:val="auto"/>
              </w:rPr>
            </w:pPr>
            <w:r>
              <w:rPr>
                <w:rFonts w:ascii="Times New Roman" w:cs="Times New Roman" w:eastAsia="Times New Roman" w:hAnsi="Times New Roman"/>
                <w:sz w:val="18"/>
                <w:szCs w:val="18"/>
                <w:color w:val="auto"/>
              </w:rPr>
              <w:t>4Q22</w:t>
            </w:r>
          </w:p>
        </w:tc>
        <w:tc>
          <w:tcPr>
            <w:tcW w:w="160" w:type="dxa"/>
            <w:vAlign w:val="bottom"/>
            <w:tcBorders>
              <w:bottom w:val="single" w:sz="8" w:color="auto"/>
            </w:tcBorders>
            <w:shd w:val="clear" w:color="auto" w:fill="EAEAEA"/>
          </w:tcPr>
          <w:p>
            <w:pPr>
              <w:spacing w:after="0"/>
              <w:rPr>
                <w:sz w:val="19"/>
                <w:szCs w:val="19"/>
                <w:color w:val="auto"/>
              </w:rPr>
            </w:pPr>
          </w:p>
        </w:tc>
        <w:tc>
          <w:tcPr>
            <w:tcW w:w="90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 O/(U)</w:t>
            </w:r>
          </w:p>
        </w:tc>
        <w:tc>
          <w:tcPr>
            <w:tcW w:w="106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O/(U) %</w:t>
            </w:r>
          </w:p>
        </w:tc>
        <w:tc>
          <w:tcPr>
            <w:tcW w:w="20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shd w:val="clear" w:color="auto" w:fill="EAEAEA"/>
          </w:tcPr>
          <w:p>
            <w:pPr>
              <w:jc w:val="right"/>
              <w:ind w:right="190"/>
              <w:spacing w:after="0"/>
              <w:rPr>
                <w:sz w:val="20"/>
                <w:szCs w:val="20"/>
                <w:color w:val="auto"/>
              </w:rPr>
            </w:pPr>
            <w:r>
              <w:rPr>
                <w:rFonts w:ascii="Times New Roman" w:cs="Times New Roman" w:eastAsia="Times New Roman" w:hAnsi="Times New Roman"/>
                <w:sz w:val="18"/>
                <w:szCs w:val="18"/>
                <w:color w:val="auto"/>
              </w:rPr>
              <w:t>$ O/(U)</w:t>
            </w:r>
          </w:p>
        </w:tc>
        <w:tc>
          <w:tcPr>
            <w:tcW w:w="1020" w:type="dxa"/>
            <w:vAlign w:val="bottom"/>
            <w:tcBorders>
              <w:bottom w:val="single" w:sz="8" w:color="auto"/>
            </w:tcBorders>
            <w:shd w:val="clear" w:color="auto" w:fill="EAEAEA"/>
          </w:tcPr>
          <w:p>
            <w:pPr>
              <w:jc w:val="right"/>
              <w:ind w:right="150"/>
              <w:spacing w:after="0"/>
              <w:rPr>
                <w:sz w:val="20"/>
                <w:szCs w:val="20"/>
                <w:color w:val="auto"/>
              </w:rPr>
            </w:pPr>
            <w:r>
              <w:rPr>
                <w:rFonts w:ascii="Times New Roman" w:cs="Times New Roman" w:eastAsia="Times New Roman" w:hAnsi="Times New Roman"/>
                <w:sz w:val="18"/>
                <w:szCs w:val="18"/>
                <w:color w:val="auto"/>
              </w:rPr>
              <w:t>O/(U) %</w:t>
            </w:r>
          </w:p>
        </w:tc>
      </w:tr>
      <w:tr>
        <w:trPr>
          <w:trHeight w:val="215"/>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18,097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18,362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15,793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2,304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3"/>
        </w:trPr>
        <w:tc>
          <w:tcPr>
            <w:tcW w:w="3620" w:type="dxa"/>
            <w:vAlign w:val="bottom"/>
          </w:tcPr>
          <w:p>
            <w:pPr>
              <w:ind w:left="140"/>
              <w:spacing w:after="0" w:line="233" w:lineRule="exact"/>
              <w:rPr>
                <w:sz w:val="20"/>
                <w:szCs w:val="20"/>
                <w:color w:val="auto"/>
              </w:rPr>
            </w:pPr>
            <w:r>
              <w:rPr>
                <w:rFonts w:ascii="Times New Roman" w:cs="Times New Roman" w:eastAsia="Times New Roman" w:hAnsi="Times New Roman"/>
                <w:sz w:val="18"/>
                <w:szCs w:val="18"/>
                <w:color w:val="auto"/>
              </w:rPr>
              <w:t>Banking &amp; Wealth Management</w:t>
            </w:r>
            <w:r>
              <w:rPr>
                <w:rFonts w:ascii="Times New Roman" w:cs="Times New Roman" w:eastAsia="Times New Roman" w:hAnsi="Times New Roman"/>
                <w:sz w:val="23"/>
                <w:szCs w:val="23"/>
                <w:color w:val="auto"/>
                <w:vertAlign w:val="superscript"/>
              </w:rPr>
              <w:t>14</w:t>
            </w:r>
          </w:p>
        </w:tc>
        <w:tc>
          <w:tcPr>
            <w:tcW w:w="2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10,877</w:t>
            </w:r>
          </w:p>
        </w:tc>
        <w:tc>
          <w:tcPr>
            <w:tcW w:w="2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11,345</w:t>
            </w:r>
          </w:p>
        </w:tc>
        <w:tc>
          <w:tcPr>
            <w:tcW w:w="2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9,582</w:t>
            </w:r>
          </w:p>
        </w:tc>
        <w:tc>
          <w:tcPr>
            <w:tcW w:w="1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(468)</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1,295</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Lending</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1,161</w:t>
            </w:r>
          </w:p>
        </w:tc>
        <w:tc>
          <w:tcPr>
            <w:tcW w:w="2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1,252</w:t>
            </w:r>
          </w:p>
        </w:tc>
        <w:tc>
          <w:tcPr>
            <w:tcW w:w="2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577</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r>
      <w:tr>
        <w:trPr>
          <w:trHeight w:val="226"/>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Card Services &amp; Auto</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6,059</w:t>
            </w:r>
          </w:p>
        </w:tc>
        <w:tc>
          <w:tcPr>
            <w:tcW w:w="2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5,765</w:t>
            </w:r>
          </w:p>
        </w:tc>
        <w:tc>
          <w:tcPr>
            <w:tcW w:w="2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5,627</w:t>
            </w:r>
          </w:p>
        </w:tc>
        <w:tc>
          <w:tcPr>
            <w:tcW w:w="16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294</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432</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r>
      <w:tr>
        <w:trPr>
          <w:trHeight w:val="233"/>
        </w:trPr>
        <w:tc>
          <w:tcPr>
            <w:tcW w:w="362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Noninterest expense</w:t>
            </w:r>
            <w:r>
              <w:rPr>
                <w:rFonts w:ascii="Times New Roman" w:cs="Times New Roman" w:eastAsia="Times New Roman" w:hAnsi="Times New Roman"/>
                <w:sz w:val="23"/>
                <w:szCs w:val="23"/>
                <w:color w:val="auto"/>
                <w:vertAlign w:val="superscript"/>
              </w:rPr>
              <w:t>14</w:t>
            </w:r>
          </w:p>
        </w:tc>
        <w:tc>
          <w:tcPr>
            <w:tcW w:w="2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9,336</w:t>
            </w:r>
          </w:p>
        </w:tc>
        <w:tc>
          <w:tcPr>
            <w:tcW w:w="2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9,105</w:t>
            </w:r>
          </w:p>
        </w:tc>
        <w:tc>
          <w:tcPr>
            <w:tcW w:w="2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7,912</w:t>
            </w:r>
          </w:p>
        </w:tc>
        <w:tc>
          <w:tcPr>
            <w:tcW w:w="16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231</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1,424</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362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78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2,189</w:t>
            </w:r>
          </w:p>
        </w:tc>
        <w:tc>
          <w:tcPr>
            <w:tcW w:w="280" w:type="dxa"/>
            <w:vAlign w:val="bottom"/>
            <w:tcBorders>
              <w:bottom w:val="single" w:sz="8" w:color="828282"/>
            </w:tcBorders>
          </w:tcPr>
          <w:p>
            <w:pPr>
              <w:spacing w:after="0"/>
              <w:rPr>
                <w:sz w:val="20"/>
                <w:szCs w:val="20"/>
                <w:color w:val="auto"/>
              </w:rPr>
            </w:pPr>
          </w:p>
        </w:tc>
        <w:tc>
          <w:tcPr>
            <w:tcW w:w="78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1,446</w:t>
            </w:r>
          </w:p>
        </w:tc>
        <w:tc>
          <w:tcPr>
            <w:tcW w:w="260" w:type="dxa"/>
            <w:vAlign w:val="bottom"/>
            <w:tcBorders>
              <w:bottom w:val="single" w:sz="8" w:color="828282"/>
            </w:tcBorders>
          </w:tcPr>
          <w:p>
            <w:pPr>
              <w:spacing w:after="0"/>
              <w:rPr>
                <w:sz w:val="20"/>
                <w:szCs w:val="20"/>
                <w:color w:val="auto"/>
              </w:rPr>
            </w:pPr>
          </w:p>
        </w:tc>
        <w:tc>
          <w:tcPr>
            <w:tcW w:w="86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1,845</w:t>
            </w:r>
          </w:p>
        </w:tc>
        <w:tc>
          <w:tcPr>
            <w:tcW w:w="160" w:type="dxa"/>
            <w:vAlign w:val="bottom"/>
            <w:tcBorders>
              <w:bottom w:val="single" w:sz="8" w:color="828282"/>
            </w:tcBorders>
          </w:tcPr>
          <w:p>
            <w:pPr>
              <w:spacing w:after="0"/>
              <w:rPr>
                <w:sz w:val="20"/>
                <w:szCs w:val="20"/>
                <w:color w:val="auto"/>
              </w:rPr>
            </w:pPr>
          </w:p>
        </w:tc>
        <w:tc>
          <w:tcPr>
            <w:tcW w:w="90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743</w:t>
            </w:r>
          </w:p>
        </w:tc>
        <w:tc>
          <w:tcPr>
            <w:tcW w:w="1060" w:type="dxa"/>
            <w:vAlign w:val="bottom"/>
            <w:tcBorders>
              <w:bottom w:val="single" w:sz="8" w:color="828282"/>
            </w:tcBorders>
          </w:tcPr>
          <w:p>
            <w:pPr>
              <w:jc w:val="right"/>
              <w:ind w:right="19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70"/>
              <w:spacing w:after="0"/>
              <w:rPr>
                <w:sz w:val="20"/>
                <w:szCs w:val="20"/>
                <w:color w:val="auto"/>
              </w:rPr>
            </w:pPr>
            <w:r>
              <w:rPr>
                <w:rFonts w:ascii="Times New Roman" w:cs="Times New Roman" w:eastAsia="Times New Roman" w:hAnsi="Times New Roman"/>
                <w:sz w:val="18"/>
                <w:szCs w:val="18"/>
                <w:color w:val="auto"/>
              </w:rPr>
              <w:t>344</w:t>
            </w:r>
          </w:p>
        </w:tc>
        <w:tc>
          <w:tcPr>
            <w:tcW w:w="102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3620" w:type="dxa"/>
            <w:vAlign w:val="bottom"/>
            <w:tcBorders>
              <w:bottom w:val="single" w:sz="8" w:color="828282"/>
            </w:tcBorders>
            <w:shd w:val="clear" w:color="auto" w:fill="D6E0E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rPr>
              <w:t>4,788</w:t>
            </w:r>
          </w:p>
        </w:tc>
        <w:tc>
          <w:tcPr>
            <w:tcW w:w="28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rPr>
              <w:t>5,895</w:t>
            </w:r>
          </w:p>
        </w:tc>
        <w:tc>
          <w:tcPr>
            <w:tcW w:w="2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828282"/>
            </w:tcBorders>
            <w:shd w:val="clear" w:color="auto" w:fill="D6E0EC"/>
          </w:tcPr>
          <w:p>
            <w:pPr>
              <w:jc w:val="right"/>
              <w:ind w:right="90"/>
              <w:spacing w:after="0"/>
              <w:rPr>
                <w:sz w:val="20"/>
                <w:szCs w:val="20"/>
                <w:color w:val="auto"/>
              </w:rPr>
            </w:pPr>
            <w:r>
              <w:rPr>
                <w:rFonts w:ascii="Times New Roman" w:cs="Times New Roman" w:eastAsia="Times New Roman" w:hAnsi="Times New Roman"/>
                <w:sz w:val="18"/>
                <w:szCs w:val="18"/>
                <w:color w:val="auto"/>
              </w:rPr>
              <w:t>4,556</w:t>
            </w:r>
          </w:p>
        </w:tc>
        <w:tc>
          <w:tcPr>
            <w:tcW w:w="1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828282"/>
            </w:tcBorders>
            <w:shd w:val="clear" w:color="auto" w:fill="D6E0EC"/>
          </w:tcPr>
          <w:p>
            <w:pPr>
              <w:jc w:val="right"/>
              <w:ind w:right="50"/>
              <w:spacing w:after="0"/>
              <w:rPr>
                <w:sz w:val="20"/>
                <w:szCs w:val="20"/>
                <w:color w:val="auto"/>
              </w:rPr>
            </w:pPr>
            <w:r>
              <w:rPr>
                <w:rFonts w:ascii="Times New Roman" w:cs="Times New Roman" w:eastAsia="Times New Roman" w:hAnsi="Times New Roman"/>
                <w:sz w:val="18"/>
                <w:szCs w:val="18"/>
                <w:color w:val="auto"/>
              </w:rPr>
              <w:t>(1,107)</w:t>
            </w:r>
          </w:p>
        </w:tc>
        <w:tc>
          <w:tcPr>
            <w:tcW w:w="10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828282"/>
            </w:tcBorders>
            <w:shd w:val="clear" w:color="auto" w:fill="D6E0EC"/>
          </w:tcPr>
          <w:p>
            <w:pPr>
              <w:jc w:val="right"/>
              <w:ind w:right="70"/>
              <w:spacing w:after="0"/>
              <w:rPr>
                <w:sz w:val="20"/>
                <w:szCs w:val="20"/>
                <w:color w:val="auto"/>
              </w:rPr>
            </w:pPr>
            <w:r>
              <w:rPr>
                <w:rFonts w:ascii="Times New Roman" w:cs="Times New Roman" w:eastAsia="Times New Roman" w:hAnsi="Times New Roman"/>
                <w:sz w:val="18"/>
                <w:szCs w:val="18"/>
                <w:color w:val="auto"/>
              </w:rPr>
              <w:t>232</w:t>
            </w:r>
          </w:p>
        </w:tc>
        <w:tc>
          <w:tcPr>
            <w:tcW w:w="102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5 %</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$4.8 billion, up 5%, or down 3% excluding First Republic. Net revenue was $18.1 billion, up 15%, or up 8% excluding First Republic.</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Banking &amp; Wealth Management net revenue was $10.9 billion, up 14%, or up 6% excluding First Republic, predominantly driven by higher net interest income and higher asset management revenue. The increase in net interest income was driven by higher rates, largely offset by lower deposit balances. Home Lending net revenue was $1.2 billion, up 99%, or up 39% excluding First Republic, driven by higher servicing revenue, largely due to the absence of a net MSR loss in the current quarter compared with the prior year, as well as higher net interest income. Card Services &amp; Auto net revenue was $6.1 billion, up 8%, driven by higher Card Services net interest income on higher revolving balances, partially offset by lower auto operating lease income.</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Noninterest expense was $9.3 billion, up 18%, or up 10% excluding First Republic, largely driven by higher compensation, including an increase in employees, primarily in bankers, advisors and technology, and wage inflation, as well as continued investments in marketing and technology.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 for credit losses was $2.2 billion, reflecting net charge-offs of $1.6 billion and a net reserve build of $551 million. The net reserve build was driven by loan growth in Card Services, including increases in revolving balances, partially offset by an improvement in the Firm’s macroeconomic scenarios. Net charge-offs of $1.6 billion were up $793 million, predominantly driven by continued normalization in Card Services. The prior-year provision was $1.8 billion, reflecting a net reserve build of $1.0 billion and net charge-offs of $845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331470</wp:posOffset>
            </wp:positionV>
            <wp:extent cx="7098030"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FFFFFF"/>
        </w:rPr>
        <w:t>CORPORATE &amp; INVESTMENT BANK (CIB)</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20" w:type="dxa"/>
            <w:vAlign w:val="bottom"/>
            <w:tcBorders>
              <w:bottom w:val="single" w:sz="8" w:color="EAEAEA"/>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Results for CIB</w:t>
            </w:r>
          </w:p>
        </w:tc>
        <w:tc>
          <w:tcPr>
            <w:tcW w:w="20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spacing w:after="0"/>
              <w:rPr>
                <w:sz w:val="19"/>
                <w:szCs w:val="19"/>
                <w:color w:val="auto"/>
              </w:rPr>
            </w:pPr>
          </w:p>
        </w:tc>
        <w:tc>
          <w:tcPr>
            <w:tcW w:w="820" w:type="dxa"/>
            <w:vAlign w:val="bottom"/>
            <w:tcBorders>
              <w:bottom w:val="single" w:sz="8" w:color="EAEAEA"/>
            </w:tcBorders>
            <w:shd w:val="clear" w:color="auto" w:fill="EAEAEA"/>
          </w:tcPr>
          <w:p>
            <w:pPr>
              <w:spacing w:after="0"/>
              <w:rPr>
                <w:sz w:val="19"/>
                <w:szCs w:val="19"/>
                <w:color w:val="auto"/>
              </w:rPr>
            </w:pPr>
          </w:p>
        </w:tc>
        <w:tc>
          <w:tcPr>
            <w:tcW w:w="240" w:type="dxa"/>
            <w:vAlign w:val="bottom"/>
            <w:tcBorders>
              <w:bottom w:val="single" w:sz="8" w:color="EAEAEA"/>
            </w:tcBorders>
            <w:shd w:val="clear" w:color="auto" w:fill="EAEAEA"/>
          </w:tcPr>
          <w:p>
            <w:pPr>
              <w:spacing w:after="0"/>
              <w:rPr>
                <w:sz w:val="19"/>
                <w:szCs w:val="19"/>
                <w:color w:val="auto"/>
              </w:rPr>
            </w:pPr>
          </w:p>
        </w:tc>
        <w:tc>
          <w:tcPr>
            <w:tcW w:w="8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rPr>
                <w:sz w:val="19"/>
                <w:szCs w:val="19"/>
                <w:color w:val="auto"/>
              </w:rPr>
            </w:pPr>
          </w:p>
        </w:tc>
        <w:tc>
          <w:tcPr>
            <w:tcW w:w="1960" w:type="dxa"/>
            <w:vAlign w:val="bottom"/>
            <w:tcBorders>
              <w:bottom w:val="single" w:sz="8" w:color="auto"/>
            </w:tcBorders>
            <w:gridSpan w:val="2"/>
            <w:shd w:val="clear" w:color="auto" w:fill="EAEAEA"/>
          </w:tcPr>
          <w:p>
            <w:pPr>
              <w:jc w:val="right"/>
              <w:ind w:right="790"/>
              <w:spacing w:after="0"/>
              <w:rPr>
                <w:sz w:val="20"/>
                <w:szCs w:val="20"/>
                <w:color w:val="auto"/>
              </w:rPr>
            </w:pPr>
            <w:r>
              <w:rPr>
                <w:rFonts w:ascii="Times New Roman" w:cs="Times New Roman" w:eastAsia="Times New Roman" w:hAnsi="Times New Roman"/>
                <w:sz w:val="18"/>
                <w:szCs w:val="18"/>
                <w:color w:val="auto"/>
              </w:rPr>
              <w:t>3Q23</w:t>
            </w:r>
          </w:p>
        </w:tc>
        <w:tc>
          <w:tcPr>
            <w:tcW w:w="200" w:type="dxa"/>
            <w:vAlign w:val="bottom"/>
            <w:tcBorders>
              <w:bottom w:val="single" w:sz="8" w:color="auto"/>
            </w:tcBorders>
            <w:shd w:val="clear" w:color="auto" w:fill="EAEAEA"/>
          </w:tcPr>
          <w:p>
            <w:pPr>
              <w:spacing w:after="0"/>
              <w:rPr>
                <w:sz w:val="19"/>
                <w:szCs w:val="19"/>
                <w:color w:val="auto"/>
              </w:rPr>
            </w:pPr>
          </w:p>
        </w:tc>
        <w:tc>
          <w:tcPr>
            <w:tcW w:w="1940" w:type="dxa"/>
            <w:vAlign w:val="bottom"/>
            <w:tcBorders>
              <w:bottom w:val="single" w:sz="8" w:color="auto"/>
            </w:tcBorders>
            <w:gridSpan w:val="2"/>
            <w:shd w:val="clear" w:color="auto" w:fill="EAEAEA"/>
          </w:tcPr>
          <w:p>
            <w:pPr>
              <w:jc w:val="right"/>
              <w:ind w:right="750"/>
              <w:spacing w:after="0"/>
              <w:rPr>
                <w:sz w:val="20"/>
                <w:szCs w:val="20"/>
                <w:color w:val="auto"/>
              </w:rPr>
            </w:pPr>
            <w:r>
              <w:rPr>
                <w:rFonts w:ascii="Times New Roman" w:cs="Times New Roman" w:eastAsia="Times New Roman" w:hAnsi="Times New Roman"/>
                <w:sz w:val="18"/>
                <w:szCs w:val="18"/>
                <w:color w:val="auto"/>
              </w:rPr>
              <w:t>4Q22</w:t>
            </w:r>
          </w:p>
        </w:tc>
      </w:tr>
      <w:tr>
        <w:trPr>
          <w:trHeight w:val="223"/>
        </w:trPr>
        <w:tc>
          <w:tcPr>
            <w:tcW w:w="3720" w:type="dxa"/>
            <w:vAlign w:val="bottom"/>
            <w:tcBorders>
              <w:bottom w:val="single" w:sz="8" w:color="auto"/>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 millions)</w:t>
            </w:r>
          </w:p>
        </w:tc>
        <w:tc>
          <w:tcPr>
            <w:tcW w:w="200" w:type="dxa"/>
            <w:vAlign w:val="bottom"/>
            <w:tcBorders>
              <w:bottom w:val="single" w:sz="8" w:color="auto"/>
            </w:tcBorders>
            <w:shd w:val="clear" w:color="auto" w:fill="EAEAEA"/>
          </w:tcPr>
          <w:p>
            <w:pPr>
              <w:spacing w:after="0"/>
              <w:rPr>
                <w:sz w:val="19"/>
                <w:szCs w:val="19"/>
                <w:color w:val="auto"/>
              </w:rPr>
            </w:pPr>
          </w:p>
        </w:tc>
        <w:tc>
          <w:tcPr>
            <w:tcW w:w="78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4Q23</w:t>
            </w:r>
          </w:p>
        </w:tc>
        <w:tc>
          <w:tcPr>
            <w:tcW w:w="280" w:type="dxa"/>
            <w:vAlign w:val="bottom"/>
            <w:tcBorders>
              <w:bottom w:val="single" w:sz="8" w:color="auto"/>
            </w:tcBorders>
            <w:shd w:val="clear" w:color="auto" w:fill="EAEAEA"/>
          </w:tcPr>
          <w:p>
            <w:pPr>
              <w:spacing w:after="0"/>
              <w:rPr>
                <w:sz w:val="19"/>
                <w:szCs w:val="19"/>
                <w:color w:val="auto"/>
              </w:rPr>
            </w:pPr>
          </w:p>
        </w:tc>
        <w:tc>
          <w:tcPr>
            <w:tcW w:w="820" w:type="dxa"/>
            <w:vAlign w:val="bottom"/>
            <w:tcBorders>
              <w:bottom w:val="single" w:sz="8" w:color="auto"/>
            </w:tcBorders>
            <w:shd w:val="clear" w:color="auto" w:fill="EAEAEA"/>
          </w:tcPr>
          <w:p>
            <w:pPr>
              <w:jc w:val="right"/>
              <w:ind w:right="250"/>
              <w:spacing w:after="0"/>
              <w:rPr>
                <w:sz w:val="20"/>
                <w:szCs w:val="20"/>
                <w:color w:val="auto"/>
              </w:rPr>
            </w:pPr>
            <w:r>
              <w:rPr>
                <w:rFonts w:ascii="Times New Roman" w:cs="Times New Roman" w:eastAsia="Times New Roman" w:hAnsi="Times New Roman"/>
                <w:sz w:val="18"/>
                <w:szCs w:val="18"/>
                <w:color w:val="auto"/>
              </w:rPr>
              <w:t>3Q23</w:t>
            </w:r>
          </w:p>
        </w:tc>
        <w:tc>
          <w:tcPr>
            <w:tcW w:w="24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shd w:val="clear" w:color="auto" w:fill="EAEAEA"/>
          </w:tcPr>
          <w:p>
            <w:pPr>
              <w:jc w:val="right"/>
              <w:ind w:right="290"/>
              <w:spacing w:after="0"/>
              <w:rPr>
                <w:sz w:val="20"/>
                <w:szCs w:val="20"/>
                <w:color w:val="auto"/>
              </w:rPr>
            </w:pPr>
            <w:r>
              <w:rPr>
                <w:rFonts w:ascii="Times New Roman" w:cs="Times New Roman" w:eastAsia="Times New Roman" w:hAnsi="Times New Roman"/>
                <w:sz w:val="18"/>
                <w:szCs w:val="18"/>
                <w:color w:val="auto"/>
              </w:rPr>
              <w:t>4Q22</w:t>
            </w:r>
          </w:p>
        </w:tc>
        <w:tc>
          <w:tcPr>
            <w:tcW w:w="160" w:type="dxa"/>
            <w:vAlign w:val="bottom"/>
            <w:tcBorders>
              <w:bottom w:val="single" w:sz="8" w:color="auto"/>
            </w:tcBorders>
            <w:shd w:val="clear" w:color="auto" w:fill="EAEAEA"/>
          </w:tcPr>
          <w:p>
            <w:pPr>
              <w:spacing w:after="0"/>
              <w:rPr>
                <w:sz w:val="19"/>
                <w:szCs w:val="19"/>
                <w:color w:val="auto"/>
              </w:rPr>
            </w:pPr>
          </w:p>
        </w:tc>
        <w:tc>
          <w:tcPr>
            <w:tcW w:w="90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 O/(U)</w:t>
            </w:r>
          </w:p>
        </w:tc>
        <w:tc>
          <w:tcPr>
            <w:tcW w:w="106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O/(U) %</w:t>
            </w:r>
          </w:p>
        </w:tc>
        <w:tc>
          <w:tcPr>
            <w:tcW w:w="20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 O/(U)</w:t>
            </w:r>
          </w:p>
        </w:tc>
        <w:tc>
          <w:tcPr>
            <w:tcW w:w="1020" w:type="dxa"/>
            <w:vAlign w:val="bottom"/>
            <w:tcBorders>
              <w:bottom w:val="single" w:sz="8" w:color="auto"/>
            </w:tcBorders>
            <w:shd w:val="clear" w:color="auto" w:fill="EAEAEA"/>
          </w:tcPr>
          <w:p>
            <w:pPr>
              <w:jc w:val="right"/>
              <w:ind w:right="170"/>
              <w:spacing w:after="0"/>
              <w:rPr>
                <w:sz w:val="20"/>
                <w:szCs w:val="20"/>
                <w:color w:val="auto"/>
              </w:rPr>
            </w:pPr>
            <w:r>
              <w:rPr>
                <w:rFonts w:ascii="Times New Roman" w:cs="Times New Roman" w:eastAsia="Times New Roman" w:hAnsi="Times New Roman"/>
                <w:sz w:val="18"/>
                <w:szCs w:val="18"/>
                <w:color w:val="auto"/>
              </w:rPr>
              <w:t>O/(U) %</w:t>
            </w:r>
          </w:p>
        </w:tc>
      </w:tr>
      <w:tr>
        <w:trPr>
          <w:trHeight w:val="21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10,958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11,730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10,598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3"/>
        </w:trPr>
        <w:tc>
          <w:tcPr>
            <w:tcW w:w="3720" w:type="dxa"/>
            <w:vAlign w:val="bottom"/>
          </w:tcPr>
          <w:p>
            <w:pPr>
              <w:ind w:left="140"/>
              <w:spacing w:after="0" w:line="233" w:lineRule="exact"/>
              <w:rPr>
                <w:sz w:val="20"/>
                <w:szCs w:val="20"/>
                <w:color w:val="auto"/>
              </w:rPr>
            </w:pPr>
            <w:r>
              <w:rPr>
                <w:rFonts w:ascii="Times New Roman" w:cs="Times New Roman" w:eastAsia="Times New Roman" w:hAnsi="Times New Roman"/>
                <w:sz w:val="18"/>
                <w:szCs w:val="18"/>
                <w:color w:val="auto"/>
              </w:rPr>
              <w:t>Banking</w:t>
            </w:r>
            <w:r>
              <w:rPr>
                <w:rFonts w:ascii="Times New Roman" w:cs="Times New Roman" w:eastAsia="Times New Roman" w:hAnsi="Times New Roman"/>
                <w:sz w:val="23"/>
                <w:szCs w:val="23"/>
                <w:color w:val="auto"/>
                <w:vertAlign w:val="superscript"/>
              </w:rPr>
              <w:t>14</w:t>
            </w:r>
          </w:p>
        </w:tc>
        <w:tc>
          <w:tcPr>
            <w:tcW w:w="2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4,058</w:t>
            </w:r>
          </w:p>
        </w:tc>
        <w:tc>
          <w:tcPr>
            <w:tcW w:w="2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3,998</w:t>
            </w:r>
          </w:p>
        </w:tc>
        <w:tc>
          <w:tcPr>
            <w:tcW w:w="24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3,832</w:t>
            </w:r>
          </w:p>
        </w:tc>
        <w:tc>
          <w:tcPr>
            <w:tcW w:w="16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226</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r>
      <w:tr>
        <w:trPr>
          <w:trHeight w:val="226"/>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Markets &amp; Securities Services</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6,900</w:t>
            </w:r>
          </w:p>
        </w:tc>
        <w:tc>
          <w:tcPr>
            <w:tcW w:w="2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7,732</w:t>
            </w:r>
          </w:p>
        </w:tc>
        <w:tc>
          <w:tcPr>
            <w:tcW w:w="24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6,766</w:t>
            </w: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(832)</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134</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233"/>
        </w:trPr>
        <w:tc>
          <w:tcPr>
            <w:tcW w:w="372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Noninterest expense</w:t>
            </w:r>
            <w:r>
              <w:rPr>
                <w:rFonts w:ascii="Times New Roman" w:cs="Times New Roman" w:eastAsia="Times New Roman" w:hAnsi="Times New Roman"/>
                <w:sz w:val="23"/>
                <w:szCs w:val="23"/>
                <w:color w:val="auto"/>
                <w:vertAlign w:val="superscript"/>
              </w:rPr>
              <w:t>14</w:t>
            </w:r>
          </w:p>
        </w:tc>
        <w:tc>
          <w:tcPr>
            <w:tcW w:w="2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6,774</w:t>
            </w:r>
          </w:p>
        </w:tc>
        <w:tc>
          <w:tcPr>
            <w:tcW w:w="2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7,443</w:t>
            </w:r>
          </w:p>
        </w:tc>
        <w:tc>
          <w:tcPr>
            <w:tcW w:w="24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6,495</w:t>
            </w:r>
          </w:p>
        </w:tc>
        <w:tc>
          <w:tcPr>
            <w:tcW w:w="1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(669)</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279</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372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78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Borders>
              <w:bottom w:val="single" w:sz="8" w:color="828282"/>
            </w:tcBorders>
          </w:tcPr>
          <w:p>
            <w:pPr>
              <w:spacing w:after="0"/>
              <w:rPr>
                <w:sz w:val="20"/>
                <w:szCs w:val="20"/>
                <w:color w:val="auto"/>
              </w:rPr>
            </w:pPr>
          </w:p>
        </w:tc>
        <w:tc>
          <w:tcPr>
            <w:tcW w:w="82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Borders>
              <w:bottom w:val="single" w:sz="8" w:color="828282"/>
            </w:tcBorders>
          </w:tcPr>
          <w:p>
            <w:pPr>
              <w:spacing w:after="0"/>
              <w:rPr>
                <w:sz w:val="20"/>
                <w:szCs w:val="20"/>
                <w:color w:val="auto"/>
              </w:rPr>
            </w:pPr>
          </w:p>
        </w:tc>
        <w:tc>
          <w:tcPr>
            <w:tcW w:w="90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395</w:t>
            </w:r>
          </w:p>
        </w:tc>
        <w:tc>
          <w:tcPr>
            <w:tcW w:w="1060" w:type="dxa"/>
            <w:vAlign w:val="bottom"/>
            <w:tcBorders>
              <w:bottom w:val="single" w:sz="8" w:color="828282"/>
            </w:tcBorders>
          </w:tcPr>
          <w:p>
            <w:pPr>
              <w:ind w:left="70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1020" w:type="dxa"/>
            <w:vAlign w:val="bottom"/>
            <w:tcBorders>
              <w:bottom w:val="single" w:sz="8" w:color="828282"/>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3720" w:type="dxa"/>
            <w:vAlign w:val="bottom"/>
            <w:tcBorders>
              <w:bottom w:val="single" w:sz="8" w:color="828282"/>
            </w:tcBorders>
            <w:shd w:val="clear" w:color="auto" w:fill="D6E0E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rPr>
              <w:t>2,524</w:t>
            </w:r>
          </w:p>
        </w:tc>
        <w:tc>
          <w:tcPr>
            <w:tcW w:w="28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828282"/>
            </w:tcBorders>
            <w:shd w:val="clear" w:color="auto" w:fill="D6E0EC"/>
          </w:tcPr>
          <w:p>
            <w:pPr>
              <w:jc w:val="right"/>
              <w:ind w:right="30"/>
              <w:spacing w:after="0"/>
              <w:rPr>
                <w:sz w:val="20"/>
                <w:szCs w:val="20"/>
                <w:color w:val="auto"/>
              </w:rPr>
            </w:pPr>
            <w:r>
              <w:rPr>
                <w:rFonts w:ascii="Times New Roman" w:cs="Times New Roman" w:eastAsia="Times New Roman" w:hAnsi="Times New Roman"/>
                <w:sz w:val="18"/>
                <w:szCs w:val="18"/>
                <w:color w:val="auto"/>
              </w:rPr>
              <w:t>3,092</w:t>
            </w:r>
          </w:p>
        </w:tc>
        <w:tc>
          <w:tcPr>
            <w:tcW w:w="24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828282"/>
            </w:tcBorders>
            <w:shd w:val="clear" w:color="auto" w:fill="D6E0EC"/>
          </w:tcPr>
          <w:p>
            <w:pPr>
              <w:jc w:val="right"/>
              <w:ind w:right="90"/>
              <w:spacing w:after="0"/>
              <w:rPr>
                <w:sz w:val="20"/>
                <w:szCs w:val="20"/>
                <w:color w:val="auto"/>
              </w:rPr>
            </w:pPr>
            <w:r>
              <w:rPr>
                <w:rFonts w:ascii="Times New Roman" w:cs="Times New Roman" w:eastAsia="Times New Roman" w:hAnsi="Times New Roman"/>
                <w:sz w:val="18"/>
                <w:szCs w:val="18"/>
                <w:color w:val="auto"/>
              </w:rPr>
              <w:t>3,314</w:t>
            </w:r>
          </w:p>
        </w:tc>
        <w:tc>
          <w:tcPr>
            <w:tcW w:w="1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828282"/>
            </w:tcBorders>
            <w:shd w:val="clear" w:color="auto" w:fill="D6E0EC"/>
          </w:tcPr>
          <w:p>
            <w:pPr>
              <w:jc w:val="right"/>
              <w:ind w:right="30"/>
              <w:spacing w:after="0"/>
              <w:rPr>
                <w:sz w:val="20"/>
                <w:szCs w:val="20"/>
                <w:color w:val="auto"/>
              </w:rPr>
            </w:pPr>
            <w:r>
              <w:rPr>
                <w:rFonts w:ascii="Times New Roman" w:cs="Times New Roman" w:eastAsia="Times New Roman" w:hAnsi="Times New Roman"/>
                <w:sz w:val="18"/>
                <w:szCs w:val="18"/>
                <w:color w:val="auto"/>
              </w:rPr>
              <w:t>(568)</w:t>
            </w:r>
          </w:p>
        </w:tc>
        <w:tc>
          <w:tcPr>
            <w:tcW w:w="10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828282"/>
            </w:tcBorders>
            <w:shd w:val="clear" w:color="auto" w:fill="D6E0EC"/>
          </w:tcPr>
          <w:p>
            <w:pPr>
              <w:jc w:val="right"/>
              <w:ind w:right="50"/>
              <w:spacing w:after="0"/>
              <w:rPr>
                <w:sz w:val="20"/>
                <w:szCs w:val="20"/>
                <w:color w:val="auto"/>
              </w:rPr>
            </w:pPr>
            <w:r>
              <w:rPr>
                <w:rFonts w:ascii="Times New Roman" w:cs="Times New Roman" w:eastAsia="Times New Roman" w:hAnsi="Times New Roman"/>
                <w:sz w:val="18"/>
                <w:szCs w:val="18"/>
                <w:color w:val="auto"/>
              </w:rPr>
              <w:t>(790)</w:t>
            </w:r>
          </w:p>
        </w:tc>
        <w:tc>
          <w:tcPr>
            <w:tcW w:w="102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$2.5 billion, down 24%, with net revenue of $11.0 billion, up 3%.</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Banking revenue was $4.1 billion, up 6%. Investment Banking revenue was $1.6 billion, up 13%. Investment Banking fees were up 13%, predominantly driven by higher debt and equity underwriting fees. Payments revenue was $2.3 billion, up 10%. Excluding the net impact of equity investments, which included higher markdowns in the prior year, Payments revenue was flat, as fee growth was predominantly offset by higher deposit-related client credits. Lending revenue was $150 million, down 54%, driven by mark-to-market losses on hedges of retained loans, partially offset by higher net interest income.</w:t>
      </w:r>
    </w:p>
    <w:p>
      <w:pPr>
        <w:spacing w:after="0" w:line="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Markets &amp; Securities Services revenue was $6.9 billion, up 2%. Markets revenue was $5.8 billion, up 2%. Fixed Income Markets revenue was $4.0 billion, up 8%, driven by higher revenue in the Securitized Products Group,</w:t>
      </w:r>
      <w:r>
        <w:rPr>
          <w:rFonts w:ascii="Times New Roman" w:cs="Times New Roman" w:eastAsia="Times New Roman" w:hAnsi="Times New Roman"/>
          <w:sz w:val="23"/>
          <w:szCs w:val="23"/>
          <w:color w:val="auto"/>
          <w:vertAlign w:val="superscript"/>
        </w:rPr>
        <w:t>15</w:t>
      </w:r>
      <w:r>
        <w:rPr>
          <w:rFonts w:ascii="Times New Roman" w:cs="Times New Roman" w:eastAsia="Times New Roman" w:hAnsi="Times New Roman"/>
          <w:sz w:val="18"/>
          <w:szCs w:val="18"/>
          <w:color w:val="auto"/>
        </w:rPr>
        <w:t xml:space="preserve"> partially offset by lower revenue in Rates. Equity Markets revenue was $1.8 billion, down 8%, driven by lower revenue in Derivatives and Cash. Securities Services revenue was $1.2 billion, up 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Noninterest expense was $6.8 billion, up 4%, predominantly driven by the timing of revenue-related compensation.</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 for credit losses was $210 million, driven by a reserve build for certain accounts receivable. The prior-year provision was $141 million, reflecting a net reserve build of $134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285750</wp:posOffset>
            </wp:positionV>
            <wp:extent cx="709803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FFFFFF"/>
        </w:rPr>
        <w:t>COMMERCIAL BANKING (CB)</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680" w:type="dxa"/>
            <w:vAlign w:val="bottom"/>
            <w:tcBorders>
              <w:bottom w:val="single" w:sz="8" w:color="EAEAEA"/>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Results for CB</w:t>
            </w:r>
          </w:p>
        </w:tc>
        <w:tc>
          <w:tcPr>
            <w:tcW w:w="20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EAEAEA"/>
            </w:tcBorders>
            <w:shd w:val="clear" w:color="auto" w:fill="EAEAEA"/>
          </w:tcPr>
          <w:p>
            <w:pPr>
              <w:spacing w:after="0"/>
              <w:rPr>
                <w:sz w:val="19"/>
                <w:szCs w:val="19"/>
                <w:color w:val="auto"/>
              </w:rPr>
            </w:pPr>
          </w:p>
        </w:tc>
        <w:tc>
          <w:tcPr>
            <w:tcW w:w="80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8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rPr>
                <w:sz w:val="19"/>
                <w:szCs w:val="19"/>
                <w:color w:val="auto"/>
              </w:rPr>
            </w:pPr>
          </w:p>
        </w:tc>
        <w:tc>
          <w:tcPr>
            <w:tcW w:w="1980" w:type="dxa"/>
            <w:vAlign w:val="bottom"/>
            <w:tcBorders>
              <w:bottom w:val="single" w:sz="8" w:color="auto"/>
            </w:tcBorders>
            <w:gridSpan w:val="2"/>
            <w:shd w:val="clear" w:color="auto" w:fill="EAEAEA"/>
          </w:tcPr>
          <w:p>
            <w:pPr>
              <w:jc w:val="right"/>
              <w:ind w:right="810"/>
              <w:spacing w:after="0"/>
              <w:rPr>
                <w:sz w:val="20"/>
                <w:szCs w:val="20"/>
                <w:color w:val="auto"/>
              </w:rPr>
            </w:pPr>
            <w:r>
              <w:rPr>
                <w:rFonts w:ascii="Times New Roman" w:cs="Times New Roman" w:eastAsia="Times New Roman" w:hAnsi="Times New Roman"/>
                <w:sz w:val="18"/>
                <w:szCs w:val="18"/>
                <w:color w:val="auto"/>
              </w:rPr>
              <w:t>3Q23</w:t>
            </w:r>
          </w:p>
        </w:tc>
        <w:tc>
          <w:tcPr>
            <w:tcW w:w="220" w:type="dxa"/>
            <w:vAlign w:val="bottom"/>
            <w:tcBorders>
              <w:bottom w:val="single" w:sz="8" w:color="auto"/>
            </w:tcBorders>
            <w:shd w:val="clear" w:color="auto" w:fill="EAEAEA"/>
          </w:tcPr>
          <w:p>
            <w:pPr>
              <w:spacing w:after="0"/>
              <w:rPr>
                <w:sz w:val="19"/>
                <w:szCs w:val="19"/>
                <w:color w:val="auto"/>
              </w:rPr>
            </w:pPr>
          </w:p>
        </w:tc>
        <w:tc>
          <w:tcPr>
            <w:tcW w:w="1940" w:type="dxa"/>
            <w:vAlign w:val="bottom"/>
            <w:tcBorders>
              <w:bottom w:val="single" w:sz="8" w:color="auto"/>
            </w:tcBorders>
            <w:gridSpan w:val="2"/>
            <w:shd w:val="clear" w:color="auto" w:fill="EAEAEA"/>
          </w:tcPr>
          <w:p>
            <w:pPr>
              <w:ind w:left="680"/>
              <w:spacing w:after="0"/>
              <w:rPr>
                <w:sz w:val="20"/>
                <w:szCs w:val="20"/>
                <w:color w:val="auto"/>
              </w:rPr>
            </w:pPr>
            <w:r>
              <w:rPr>
                <w:rFonts w:ascii="Times New Roman" w:cs="Times New Roman" w:eastAsia="Times New Roman" w:hAnsi="Times New Roman"/>
                <w:sz w:val="18"/>
                <w:szCs w:val="18"/>
                <w:color w:val="auto"/>
              </w:rPr>
              <w:t>4Q22</w:t>
            </w:r>
          </w:p>
        </w:tc>
      </w:tr>
      <w:tr>
        <w:trPr>
          <w:trHeight w:val="223"/>
        </w:trPr>
        <w:tc>
          <w:tcPr>
            <w:tcW w:w="3680" w:type="dxa"/>
            <w:vAlign w:val="bottom"/>
            <w:tcBorders>
              <w:bottom w:val="single" w:sz="8" w:color="auto"/>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 millions)</w:t>
            </w:r>
          </w:p>
        </w:tc>
        <w:tc>
          <w:tcPr>
            <w:tcW w:w="200" w:type="dxa"/>
            <w:vAlign w:val="bottom"/>
            <w:tcBorders>
              <w:bottom w:val="single" w:sz="8" w:color="auto"/>
            </w:tcBorders>
            <w:shd w:val="clear" w:color="auto" w:fill="EAEAEA"/>
          </w:tcPr>
          <w:p>
            <w:pPr>
              <w:spacing w:after="0"/>
              <w:rPr>
                <w:sz w:val="19"/>
                <w:szCs w:val="19"/>
                <w:color w:val="auto"/>
              </w:rPr>
            </w:pPr>
          </w:p>
        </w:tc>
        <w:tc>
          <w:tcPr>
            <w:tcW w:w="78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4Q23</w:t>
            </w:r>
          </w:p>
        </w:tc>
        <w:tc>
          <w:tcPr>
            <w:tcW w:w="280" w:type="dxa"/>
            <w:vAlign w:val="bottom"/>
            <w:tcBorders>
              <w:bottom w:val="single" w:sz="8" w:color="auto"/>
            </w:tcBorders>
            <w:shd w:val="clear" w:color="auto" w:fill="EAEAEA"/>
          </w:tcPr>
          <w:p>
            <w:pPr>
              <w:spacing w:after="0"/>
              <w:rPr>
                <w:sz w:val="19"/>
                <w:szCs w:val="19"/>
                <w:color w:val="auto"/>
              </w:rPr>
            </w:pPr>
          </w:p>
        </w:tc>
        <w:tc>
          <w:tcPr>
            <w:tcW w:w="800" w:type="dxa"/>
            <w:vAlign w:val="bottom"/>
            <w:tcBorders>
              <w:bottom w:val="single" w:sz="8" w:color="auto"/>
            </w:tcBorders>
            <w:shd w:val="clear" w:color="auto" w:fill="EAEAEA"/>
          </w:tcPr>
          <w:p>
            <w:pPr>
              <w:jc w:val="right"/>
              <w:ind w:right="230"/>
              <w:spacing w:after="0"/>
              <w:rPr>
                <w:sz w:val="20"/>
                <w:szCs w:val="20"/>
                <w:color w:val="auto"/>
              </w:rPr>
            </w:pPr>
            <w:r>
              <w:rPr>
                <w:rFonts w:ascii="Times New Roman" w:cs="Times New Roman" w:eastAsia="Times New Roman" w:hAnsi="Times New Roman"/>
                <w:sz w:val="18"/>
                <w:szCs w:val="18"/>
                <w:color w:val="auto"/>
              </w:rPr>
              <w:t>3Q23</w:t>
            </w:r>
          </w:p>
        </w:tc>
        <w:tc>
          <w:tcPr>
            <w:tcW w:w="26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shd w:val="clear" w:color="auto" w:fill="EAEAEA"/>
          </w:tcPr>
          <w:p>
            <w:pPr>
              <w:jc w:val="right"/>
              <w:ind w:right="290"/>
              <w:spacing w:after="0"/>
              <w:rPr>
                <w:sz w:val="20"/>
                <w:szCs w:val="20"/>
                <w:color w:val="auto"/>
              </w:rPr>
            </w:pPr>
            <w:r>
              <w:rPr>
                <w:rFonts w:ascii="Times New Roman" w:cs="Times New Roman" w:eastAsia="Times New Roman" w:hAnsi="Times New Roman"/>
                <w:sz w:val="18"/>
                <w:szCs w:val="18"/>
                <w:color w:val="auto"/>
              </w:rPr>
              <w:t>4Q22</w:t>
            </w:r>
          </w:p>
        </w:tc>
        <w:tc>
          <w:tcPr>
            <w:tcW w:w="16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jc w:val="right"/>
              <w:ind w:right="230"/>
              <w:spacing w:after="0"/>
              <w:rPr>
                <w:sz w:val="20"/>
                <w:szCs w:val="20"/>
                <w:color w:val="auto"/>
              </w:rPr>
            </w:pPr>
            <w:r>
              <w:rPr>
                <w:rFonts w:ascii="Times New Roman" w:cs="Times New Roman" w:eastAsia="Times New Roman" w:hAnsi="Times New Roman"/>
                <w:sz w:val="18"/>
                <w:szCs w:val="18"/>
                <w:color w:val="auto"/>
              </w:rPr>
              <w:t>$ O/(U)</w:t>
            </w:r>
          </w:p>
        </w:tc>
        <w:tc>
          <w:tcPr>
            <w:tcW w:w="106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O/(U) %</w:t>
            </w:r>
          </w:p>
        </w:tc>
        <w:tc>
          <w:tcPr>
            <w:tcW w:w="220" w:type="dxa"/>
            <w:vAlign w:val="bottom"/>
            <w:tcBorders>
              <w:bottom w:val="single" w:sz="8" w:color="auto"/>
            </w:tcBorders>
            <w:shd w:val="clear" w:color="auto" w:fill="EAEAEA"/>
          </w:tcPr>
          <w:p>
            <w:pPr>
              <w:spacing w:after="0"/>
              <w:rPr>
                <w:sz w:val="19"/>
                <w:szCs w:val="19"/>
                <w:color w:val="auto"/>
              </w:rPr>
            </w:pPr>
          </w:p>
        </w:tc>
        <w:tc>
          <w:tcPr>
            <w:tcW w:w="90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 O/(U)</w:t>
            </w:r>
          </w:p>
        </w:tc>
        <w:tc>
          <w:tcPr>
            <w:tcW w:w="1040" w:type="dxa"/>
            <w:vAlign w:val="bottom"/>
            <w:tcBorders>
              <w:bottom w:val="single" w:sz="8" w:color="auto"/>
            </w:tcBorders>
            <w:shd w:val="clear" w:color="auto" w:fill="EAEAEA"/>
          </w:tcPr>
          <w:p>
            <w:pPr>
              <w:ind w:left="160"/>
              <w:spacing w:after="0"/>
              <w:rPr>
                <w:sz w:val="20"/>
                <w:szCs w:val="20"/>
                <w:color w:val="auto"/>
              </w:rPr>
            </w:pPr>
            <w:r>
              <w:rPr>
                <w:rFonts w:ascii="Times New Roman" w:cs="Times New Roman" w:eastAsia="Times New Roman" w:hAnsi="Times New Roman"/>
                <w:sz w:val="18"/>
                <w:szCs w:val="18"/>
                <w:color w:val="auto"/>
              </w:rPr>
              <w:t>O/(U) %</w:t>
            </w:r>
          </w:p>
        </w:tc>
      </w:tr>
      <w:tr>
        <w:trPr>
          <w:trHeight w:val="21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612</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1,395</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1,375</w:t>
            </w:r>
          </w:p>
        </w:tc>
        <w:tc>
          <w:tcPr>
            <w:tcW w:w="2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1,254</w:t>
            </w:r>
          </w:p>
        </w:tc>
        <w:tc>
          <w:tcPr>
            <w:tcW w:w="16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141</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368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78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276</w:t>
            </w:r>
          </w:p>
        </w:tc>
        <w:tc>
          <w:tcPr>
            <w:tcW w:w="1060" w:type="dxa"/>
            <w:vAlign w:val="bottom"/>
            <w:tcBorders>
              <w:bottom w:val="single" w:sz="8" w:color="828282"/>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Borders>
              <w:bottom w:val="single" w:sz="8" w:color="828282"/>
            </w:tcBorders>
          </w:tcPr>
          <w:p>
            <w:pPr>
              <w:spacing w:after="0"/>
              <w:rPr>
                <w:sz w:val="20"/>
                <w:szCs w:val="20"/>
                <w:color w:val="auto"/>
              </w:rPr>
            </w:pPr>
          </w:p>
        </w:tc>
        <w:tc>
          <w:tcPr>
            <w:tcW w:w="900" w:type="dxa"/>
            <w:vAlign w:val="bottom"/>
            <w:tcBorders>
              <w:bottom w:val="single" w:sz="8" w:color="828282"/>
            </w:tcBorders>
          </w:tcPr>
          <w:p>
            <w:pPr>
              <w:jc w:val="right"/>
              <w:ind w:right="70"/>
              <w:spacing w:after="0"/>
              <w:rPr>
                <w:sz w:val="20"/>
                <w:szCs w:val="20"/>
                <w:color w:val="auto"/>
              </w:rPr>
            </w:pPr>
            <w:r>
              <w:rPr>
                <w:rFonts w:ascii="Times New Roman" w:cs="Times New Roman" w:eastAsia="Times New Roman" w:hAnsi="Times New Roman"/>
                <w:sz w:val="18"/>
                <w:szCs w:val="18"/>
                <w:color w:val="auto"/>
              </w:rPr>
              <w:t>82</w:t>
            </w:r>
          </w:p>
        </w:tc>
        <w:tc>
          <w:tcPr>
            <w:tcW w:w="1040" w:type="dxa"/>
            <w:vAlign w:val="bottom"/>
            <w:tcBorders>
              <w:bottom w:val="single" w:sz="8" w:color="828282"/>
            </w:tcBorders>
          </w:tcPr>
          <w:p>
            <w:pPr>
              <w:ind w:left="640"/>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3680" w:type="dxa"/>
            <w:vAlign w:val="bottom"/>
            <w:tcBorders>
              <w:bottom w:val="single" w:sz="8" w:color="828282"/>
            </w:tcBorders>
            <w:shd w:val="clear" w:color="auto" w:fill="D6E0E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rPr>
              <w:t>1,653</w:t>
            </w:r>
          </w:p>
        </w:tc>
        <w:tc>
          <w:tcPr>
            <w:tcW w:w="28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rPr>
              <w:t>1,935</w:t>
            </w:r>
          </w:p>
        </w:tc>
        <w:tc>
          <w:tcPr>
            <w:tcW w:w="2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828282"/>
            </w:tcBorders>
            <w:shd w:val="clear" w:color="auto" w:fill="D6E0EC"/>
          </w:tcPr>
          <w:p>
            <w:pPr>
              <w:jc w:val="right"/>
              <w:ind w:right="90"/>
              <w:spacing w:after="0"/>
              <w:rPr>
                <w:sz w:val="20"/>
                <w:szCs w:val="20"/>
                <w:color w:val="auto"/>
              </w:rPr>
            </w:pPr>
            <w:r>
              <w:rPr>
                <w:rFonts w:ascii="Times New Roman" w:cs="Times New Roman" w:eastAsia="Times New Roman" w:hAnsi="Times New Roman"/>
                <w:sz w:val="18"/>
                <w:szCs w:val="18"/>
                <w:color w:val="auto"/>
              </w:rPr>
              <w:t>1,423</w:t>
            </w:r>
          </w:p>
        </w:tc>
        <w:tc>
          <w:tcPr>
            <w:tcW w:w="1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828282"/>
            </w:tcBorders>
            <w:shd w:val="clear" w:color="auto" w:fill="D6E0EC"/>
          </w:tcPr>
          <w:p>
            <w:pPr>
              <w:jc w:val="right"/>
              <w:ind w:right="50"/>
              <w:spacing w:after="0"/>
              <w:rPr>
                <w:sz w:val="20"/>
                <w:szCs w:val="20"/>
                <w:color w:val="auto"/>
              </w:rPr>
            </w:pPr>
            <w:r>
              <w:rPr>
                <w:rFonts w:ascii="Times New Roman" w:cs="Times New Roman" w:eastAsia="Times New Roman" w:hAnsi="Times New Roman"/>
                <w:sz w:val="18"/>
                <w:szCs w:val="18"/>
                <w:color w:val="auto"/>
              </w:rPr>
              <w:t>(282)</w:t>
            </w:r>
          </w:p>
        </w:tc>
        <w:tc>
          <w:tcPr>
            <w:tcW w:w="10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828282"/>
            </w:tcBorders>
            <w:shd w:val="clear" w:color="auto" w:fill="D6E0EC"/>
          </w:tcPr>
          <w:p>
            <w:pPr>
              <w:jc w:val="right"/>
              <w:ind w:right="70"/>
              <w:spacing w:after="0"/>
              <w:rPr>
                <w:sz w:val="20"/>
                <w:szCs w:val="20"/>
                <w:color w:val="auto"/>
              </w:rPr>
            </w:pPr>
            <w:r>
              <w:rPr>
                <w:rFonts w:ascii="Times New Roman" w:cs="Times New Roman" w:eastAsia="Times New Roman" w:hAnsi="Times New Roman"/>
                <w:sz w:val="18"/>
                <w:szCs w:val="18"/>
                <w:color w:val="auto"/>
              </w:rPr>
              <w:t>230</w:t>
            </w:r>
          </w:p>
        </w:tc>
        <w:tc>
          <w:tcPr>
            <w:tcW w:w="1040" w:type="dxa"/>
            <w:vAlign w:val="bottom"/>
            <w:tcBorders>
              <w:bottom w:val="single" w:sz="8" w:color="828282"/>
            </w:tcBorders>
            <w:shd w:val="clear" w:color="auto" w:fill="D6E0EC"/>
          </w:tcPr>
          <w:p>
            <w:pPr>
              <w:ind w:left="640"/>
              <w:spacing w:after="0"/>
              <w:rPr>
                <w:sz w:val="20"/>
                <w:szCs w:val="20"/>
                <w:color w:val="auto"/>
              </w:rPr>
            </w:pPr>
            <w:r>
              <w:rPr>
                <w:rFonts w:ascii="Times New Roman" w:cs="Times New Roman" w:eastAsia="Times New Roman" w:hAnsi="Times New Roman"/>
                <w:sz w:val="18"/>
                <w:szCs w:val="18"/>
                <w:color w:val="auto"/>
              </w:rPr>
              <w:t>16 %</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$1.7 billion, up 16%, or up 4% excluding First Republic.</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 was $4.0 billion, up 18%, or up 7% excluding First Republic, predominantly driven by higher net interest income, payments revenue and investment banking revenue. The increase in net interest income reflected the impact of higher rates, partially offset by lower deposit balances. The increase in payments revenue reflected fee growth, largely offset by higher deposit-related client credits.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was $1.4 billion, up 11%, or up 9% excluding First Republic, driven by an increase in employees, including front office and technology investments, as well as higher volume-related expense, including the impact of new client acquisition.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credit losses was $366 million, reflecting a net reserve build of $240 million and net charge-offs of $126 million. The net reserve build was driven by a deterioration in the outlook related to commercial real estate valuations. The prior-year provision was $284 million, reflecting a net reserve build of $249 million and net charge-offs of $35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331470</wp:posOffset>
            </wp:positionV>
            <wp:extent cx="7098030" cy="266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FFFFFF"/>
        </w:rPr>
        <w:t>ASSET &amp; WEALTH MANAGEMENT (AWM)</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80" w:type="dxa"/>
            <w:vAlign w:val="bottom"/>
            <w:tcBorders>
              <w:bottom w:val="single" w:sz="8" w:color="EAEAEA"/>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Results for AWM</w:t>
            </w:r>
          </w:p>
        </w:tc>
        <w:tc>
          <w:tcPr>
            <w:tcW w:w="200" w:type="dxa"/>
            <w:vAlign w:val="bottom"/>
            <w:tcBorders>
              <w:bottom w:val="single" w:sz="8" w:color="EAEAEA"/>
            </w:tcBorders>
            <w:shd w:val="clear" w:color="auto" w:fill="EAEAEA"/>
          </w:tcPr>
          <w:p>
            <w:pPr>
              <w:spacing w:after="0"/>
              <w:rPr>
                <w:sz w:val="19"/>
                <w:szCs w:val="19"/>
                <w:color w:val="auto"/>
              </w:rPr>
            </w:pPr>
          </w:p>
        </w:tc>
        <w:tc>
          <w:tcPr>
            <w:tcW w:w="80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820" w:type="dxa"/>
            <w:vAlign w:val="bottom"/>
            <w:tcBorders>
              <w:bottom w:val="single" w:sz="8" w:color="EAEAEA"/>
            </w:tcBorders>
            <w:shd w:val="clear" w:color="auto" w:fill="EAEAEA"/>
          </w:tcPr>
          <w:p>
            <w:pPr>
              <w:spacing w:after="0"/>
              <w:rPr>
                <w:sz w:val="19"/>
                <w:szCs w:val="19"/>
                <w:color w:val="auto"/>
              </w:rPr>
            </w:pPr>
          </w:p>
        </w:tc>
        <w:tc>
          <w:tcPr>
            <w:tcW w:w="240" w:type="dxa"/>
            <w:vAlign w:val="bottom"/>
            <w:tcBorders>
              <w:bottom w:val="single" w:sz="8" w:color="EAEAEA"/>
            </w:tcBorders>
            <w:shd w:val="clear" w:color="auto" w:fill="EAEAEA"/>
          </w:tcPr>
          <w:p>
            <w:pPr>
              <w:spacing w:after="0"/>
              <w:rPr>
                <w:sz w:val="19"/>
                <w:szCs w:val="19"/>
                <w:color w:val="auto"/>
              </w:rPr>
            </w:pPr>
          </w:p>
        </w:tc>
        <w:tc>
          <w:tcPr>
            <w:tcW w:w="8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rPr>
                <w:sz w:val="19"/>
                <w:szCs w:val="19"/>
                <w:color w:val="auto"/>
              </w:rPr>
            </w:pPr>
          </w:p>
        </w:tc>
        <w:tc>
          <w:tcPr>
            <w:tcW w:w="1980" w:type="dxa"/>
            <w:vAlign w:val="bottom"/>
            <w:tcBorders>
              <w:bottom w:val="single" w:sz="8" w:color="auto"/>
            </w:tcBorders>
            <w:gridSpan w:val="2"/>
            <w:shd w:val="clear" w:color="auto" w:fill="EAEAEA"/>
          </w:tcPr>
          <w:p>
            <w:pPr>
              <w:jc w:val="right"/>
              <w:ind w:right="810"/>
              <w:spacing w:after="0"/>
              <w:rPr>
                <w:sz w:val="20"/>
                <w:szCs w:val="20"/>
                <w:color w:val="auto"/>
              </w:rPr>
            </w:pPr>
            <w:r>
              <w:rPr>
                <w:rFonts w:ascii="Times New Roman" w:cs="Times New Roman" w:eastAsia="Times New Roman" w:hAnsi="Times New Roman"/>
                <w:sz w:val="18"/>
                <w:szCs w:val="18"/>
                <w:color w:val="auto"/>
              </w:rPr>
              <w:t>3Q23</w:t>
            </w:r>
          </w:p>
        </w:tc>
        <w:tc>
          <w:tcPr>
            <w:tcW w:w="220" w:type="dxa"/>
            <w:vAlign w:val="bottom"/>
            <w:tcBorders>
              <w:bottom w:val="single" w:sz="8" w:color="auto"/>
            </w:tcBorders>
            <w:shd w:val="clear" w:color="auto" w:fill="EAEAEA"/>
          </w:tcPr>
          <w:p>
            <w:pPr>
              <w:spacing w:after="0"/>
              <w:rPr>
                <w:sz w:val="19"/>
                <w:szCs w:val="19"/>
                <w:color w:val="auto"/>
              </w:rPr>
            </w:pPr>
          </w:p>
        </w:tc>
        <w:tc>
          <w:tcPr>
            <w:tcW w:w="1940" w:type="dxa"/>
            <w:vAlign w:val="bottom"/>
            <w:tcBorders>
              <w:bottom w:val="single" w:sz="8" w:color="auto"/>
            </w:tcBorders>
            <w:gridSpan w:val="2"/>
            <w:shd w:val="clear" w:color="auto" w:fill="EAEAEA"/>
          </w:tcPr>
          <w:p>
            <w:pPr>
              <w:jc w:val="right"/>
              <w:ind w:right="770"/>
              <w:spacing w:after="0"/>
              <w:rPr>
                <w:sz w:val="20"/>
                <w:szCs w:val="20"/>
                <w:color w:val="auto"/>
              </w:rPr>
            </w:pPr>
            <w:r>
              <w:rPr>
                <w:rFonts w:ascii="Times New Roman" w:cs="Times New Roman" w:eastAsia="Times New Roman" w:hAnsi="Times New Roman"/>
                <w:sz w:val="18"/>
                <w:szCs w:val="18"/>
                <w:color w:val="auto"/>
              </w:rPr>
              <w:t>4Q22</w:t>
            </w:r>
          </w:p>
        </w:tc>
      </w:tr>
      <w:tr>
        <w:trPr>
          <w:trHeight w:val="223"/>
        </w:trPr>
        <w:tc>
          <w:tcPr>
            <w:tcW w:w="3680" w:type="dxa"/>
            <w:vAlign w:val="bottom"/>
            <w:tcBorders>
              <w:bottom w:val="single" w:sz="8" w:color="auto"/>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 millions)</w:t>
            </w:r>
          </w:p>
        </w:tc>
        <w:tc>
          <w:tcPr>
            <w:tcW w:w="200" w:type="dxa"/>
            <w:vAlign w:val="bottom"/>
            <w:tcBorders>
              <w:bottom w:val="single" w:sz="8" w:color="auto"/>
            </w:tcBorders>
            <w:shd w:val="clear" w:color="auto" w:fill="EAEAEA"/>
          </w:tcPr>
          <w:p>
            <w:pPr>
              <w:spacing w:after="0"/>
              <w:rPr>
                <w:sz w:val="19"/>
                <w:szCs w:val="19"/>
                <w:color w:val="auto"/>
              </w:rPr>
            </w:pPr>
          </w:p>
        </w:tc>
        <w:tc>
          <w:tcPr>
            <w:tcW w:w="800" w:type="dxa"/>
            <w:vAlign w:val="bottom"/>
            <w:tcBorders>
              <w:bottom w:val="single" w:sz="8" w:color="auto"/>
            </w:tcBorders>
            <w:shd w:val="clear" w:color="auto" w:fill="EAEAEA"/>
          </w:tcPr>
          <w:p>
            <w:pPr>
              <w:jc w:val="right"/>
              <w:ind w:right="230"/>
              <w:spacing w:after="0"/>
              <w:rPr>
                <w:sz w:val="20"/>
                <w:szCs w:val="20"/>
                <w:color w:val="auto"/>
              </w:rPr>
            </w:pPr>
            <w:r>
              <w:rPr>
                <w:rFonts w:ascii="Times New Roman" w:cs="Times New Roman" w:eastAsia="Times New Roman" w:hAnsi="Times New Roman"/>
                <w:sz w:val="18"/>
                <w:szCs w:val="18"/>
                <w:color w:val="auto"/>
              </w:rPr>
              <w:t>4Q23</w:t>
            </w:r>
          </w:p>
        </w:tc>
        <w:tc>
          <w:tcPr>
            <w:tcW w:w="260" w:type="dxa"/>
            <w:vAlign w:val="bottom"/>
            <w:tcBorders>
              <w:bottom w:val="single" w:sz="8" w:color="auto"/>
            </w:tcBorders>
            <w:shd w:val="clear" w:color="auto" w:fill="EAEAEA"/>
          </w:tcPr>
          <w:p>
            <w:pPr>
              <w:spacing w:after="0"/>
              <w:rPr>
                <w:sz w:val="19"/>
                <w:szCs w:val="19"/>
                <w:color w:val="auto"/>
              </w:rPr>
            </w:pPr>
          </w:p>
        </w:tc>
        <w:tc>
          <w:tcPr>
            <w:tcW w:w="820" w:type="dxa"/>
            <w:vAlign w:val="bottom"/>
            <w:tcBorders>
              <w:bottom w:val="single" w:sz="8" w:color="auto"/>
            </w:tcBorders>
            <w:shd w:val="clear" w:color="auto" w:fill="EAEAEA"/>
          </w:tcPr>
          <w:p>
            <w:pPr>
              <w:jc w:val="right"/>
              <w:ind w:right="250"/>
              <w:spacing w:after="0"/>
              <w:rPr>
                <w:sz w:val="20"/>
                <w:szCs w:val="20"/>
                <w:color w:val="auto"/>
              </w:rPr>
            </w:pPr>
            <w:r>
              <w:rPr>
                <w:rFonts w:ascii="Times New Roman" w:cs="Times New Roman" w:eastAsia="Times New Roman" w:hAnsi="Times New Roman"/>
                <w:sz w:val="18"/>
                <w:szCs w:val="18"/>
                <w:color w:val="auto"/>
              </w:rPr>
              <w:t>3Q23</w:t>
            </w:r>
          </w:p>
        </w:tc>
        <w:tc>
          <w:tcPr>
            <w:tcW w:w="24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shd w:val="clear" w:color="auto" w:fill="EAEAEA"/>
          </w:tcPr>
          <w:p>
            <w:pPr>
              <w:jc w:val="right"/>
              <w:ind w:right="290"/>
              <w:spacing w:after="0"/>
              <w:rPr>
                <w:sz w:val="20"/>
                <w:szCs w:val="20"/>
                <w:color w:val="auto"/>
              </w:rPr>
            </w:pPr>
            <w:r>
              <w:rPr>
                <w:rFonts w:ascii="Times New Roman" w:cs="Times New Roman" w:eastAsia="Times New Roman" w:hAnsi="Times New Roman"/>
                <w:sz w:val="18"/>
                <w:szCs w:val="18"/>
                <w:color w:val="auto"/>
              </w:rPr>
              <w:t>4Q22</w:t>
            </w:r>
          </w:p>
        </w:tc>
        <w:tc>
          <w:tcPr>
            <w:tcW w:w="16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jc w:val="right"/>
              <w:ind w:right="230"/>
              <w:spacing w:after="0"/>
              <w:rPr>
                <w:sz w:val="20"/>
                <w:szCs w:val="20"/>
                <w:color w:val="auto"/>
              </w:rPr>
            </w:pPr>
            <w:r>
              <w:rPr>
                <w:rFonts w:ascii="Times New Roman" w:cs="Times New Roman" w:eastAsia="Times New Roman" w:hAnsi="Times New Roman"/>
                <w:sz w:val="18"/>
                <w:szCs w:val="18"/>
                <w:color w:val="auto"/>
              </w:rPr>
              <w:t>$ O/(U)</w:t>
            </w:r>
          </w:p>
        </w:tc>
        <w:tc>
          <w:tcPr>
            <w:tcW w:w="106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O/(U) %</w:t>
            </w:r>
          </w:p>
        </w:tc>
        <w:tc>
          <w:tcPr>
            <w:tcW w:w="22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jc w:val="right"/>
              <w:ind w:right="230"/>
              <w:spacing w:after="0"/>
              <w:rPr>
                <w:sz w:val="20"/>
                <w:szCs w:val="20"/>
                <w:color w:val="auto"/>
              </w:rPr>
            </w:pPr>
            <w:r>
              <w:rPr>
                <w:rFonts w:ascii="Times New Roman" w:cs="Times New Roman" w:eastAsia="Times New Roman" w:hAnsi="Times New Roman"/>
                <w:sz w:val="18"/>
                <w:szCs w:val="18"/>
                <w:color w:val="auto"/>
              </w:rPr>
              <w:t>$ O/(U)</w:t>
            </w:r>
          </w:p>
        </w:tc>
        <w:tc>
          <w:tcPr>
            <w:tcW w:w="1020" w:type="dxa"/>
            <w:vAlign w:val="bottom"/>
            <w:tcBorders>
              <w:bottom w:val="single" w:sz="8" w:color="auto"/>
            </w:tcBorders>
            <w:shd w:val="clear" w:color="auto" w:fill="EAEAEA"/>
          </w:tcPr>
          <w:p>
            <w:pPr>
              <w:jc w:val="right"/>
              <w:ind w:right="170"/>
              <w:spacing w:after="0"/>
              <w:rPr>
                <w:sz w:val="20"/>
                <w:szCs w:val="20"/>
                <w:color w:val="auto"/>
              </w:rPr>
            </w:pPr>
            <w:r>
              <w:rPr>
                <w:rFonts w:ascii="Times New Roman" w:cs="Times New Roman" w:eastAsia="Times New Roman" w:hAnsi="Times New Roman"/>
                <w:sz w:val="18"/>
                <w:szCs w:val="18"/>
                <w:color w:val="auto"/>
              </w:rPr>
              <w:t>O/(U) %</w:t>
            </w:r>
          </w:p>
        </w:tc>
      </w:tr>
      <w:tr>
        <w:trPr>
          <w:trHeight w:val="21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3,388</w:t>
            </w: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3,138</w:t>
            </w:r>
          </w:p>
        </w:tc>
        <w:tc>
          <w:tcPr>
            <w:tcW w:w="24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3,022</w:t>
            </w:r>
          </w:p>
        </w:tc>
        <w:tc>
          <w:tcPr>
            <w:tcW w:w="16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250</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366</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368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828282"/>
            </w:tcBorders>
          </w:tcPr>
          <w:p>
            <w:pPr>
              <w:spacing w:after="0"/>
              <w:rPr>
                <w:sz w:val="20"/>
                <w:szCs w:val="20"/>
                <w:color w:val="auto"/>
              </w:rPr>
            </w:pPr>
          </w:p>
        </w:tc>
        <w:tc>
          <w:tcPr>
            <w:tcW w:w="82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tcBorders>
              <w:bottom w:val="single" w:sz="8" w:color="828282"/>
            </w:tcBorders>
          </w:tcPr>
          <w:p>
            <w:pPr>
              <w:jc w:val="right"/>
              <w:ind w:right="170"/>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102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3680" w:type="dxa"/>
            <w:vAlign w:val="bottom"/>
            <w:tcBorders>
              <w:bottom w:val="single" w:sz="8" w:color="828282"/>
            </w:tcBorders>
            <w:shd w:val="clear" w:color="auto" w:fill="D6E0E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828282"/>
            </w:tcBorders>
            <w:shd w:val="clear" w:color="auto" w:fill="D6E0EC"/>
          </w:tcPr>
          <w:p>
            <w:pPr>
              <w:jc w:val="right"/>
              <w:ind w:right="30"/>
              <w:spacing w:after="0"/>
              <w:rPr>
                <w:sz w:val="20"/>
                <w:szCs w:val="20"/>
                <w:color w:val="auto"/>
              </w:rPr>
            </w:pPr>
            <w:r>
              <w:rPr>
                <w:rFonts w:ascii="Times New Roman" w:cs="Times New Roman" w:eastAsia="Times New Roman" w:hAnsi="Times New Roman"/>
                <w:sz w:val="18"/>
                <w:szCs w:val="18"/>
                <w:color w:val="auto"/>
              </w:rPr>
              <w:t>1,217</w:t>
            </w:r>
          </w:p>
        </w:tc>
        <w:tc>
          <w:tcPr>
            <w:tcW w:w="2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828282"/>
            </w:tcBorders>
            <w:shd w:val="clear" w:color="auto" w:fill="D6E0EC"/>
          </w:tcPr>
          <w:p>
            <w:pPr>
              <w:jc w:val="right"/>
              <w:ind w:right="30"/>
              <w:spacing w:after="0"/>
              <w:rPr>
                <w:sz w:val="20"/>
                <w:szCs w:val="20"/>
                <w:color w:val="auto"/>
              </w:rPr>
            </w:pPr>
            <w:r>
              <w:rPr>
                <w:rFonts w:ascii="Times New Roman" w:cs="Times New Roman" w:eastAsia="Times New Roman" w:hAnsi="Times New Roman"/>
                <w:sz w:val="18"/>
                <w:szCs w:val="18"/>
                <w:color w:val="auto"/>
              </w:rPr>
              <w:t>1,417</w:t>
            </w:r>
          </w:p>
        </w:tc>
        <w:tc>
          <w:tcPr>
            <w:tcW w:w="24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828282"/>
            </w:tcBorders>
            <w:shd w:val="clear" w:color="auto" w:fill="D6E0EC"/>
          </w:tcPr>
          <w:p>
            <w:pPr>
              <w:jc w:val="right"/>
              <w:ind w:right="90"/>
              <w:spacing w:after="0"/>
              <w:rPr>
                <w:sz w:val="20"/>
                <w:szCs w:val="20"/>
                <w:color w:val="auto"/>
              </w:rPr>
            </w:pPr>
            <w:r>
              <w:rPr>
                <w:rFonts w:ascii="Times New Roman" w:cs="Times New Roman" w:eastAsia="Times New Roman" w:hAnsi="Times New Roman"/>
                <w:sz w:val="18"/>
                <w:szCs w:val="18"/>
                <w:color w:val="auto"/>
              </w:rPr>
              <w:t>1,134</w:t>
            </w:r>
          </w:p>
        </w:tc>
        <w:tc>
          <w:tcPr>
            <w:tcW w:w="1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828282"/>
            </w:tcBorders>
            <w:shd w:val="clear" w:color="auto" w:fill="D6E0EC"/>
          </w:tcPr>
          <w:p>
            <w:pPr>
              <w:jc w:val="right"/>
              <w:ind w:right="50"/>
              <w:spacing w:after="0"/>
              <w:rPr>
                <w:sz w:val="20"/>
                <w:szCs w:val="20"/>
                <w:color w:val="auto"/>
              </w:rPr>
            </w:pPr>
            <w:r>
              <w:rPr>
                <w:rFonts w:ascii="Times New Roman" w:cs="Times New Roman" w:eastAsia="Times New Roman" w:hAnsi="Times New Roman"/>
                <w:sz w:val="18"/>
                <w:szCs w:val="18"/>
                <w:color w:val="auto"/>
              </w:rPr>
              <w:t>(200)</w:t>
            </w:r>
          </w:p>
        </w:tc>
        <w:tc>
          <w:tcPr>
            <w:tcW w:w="10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828282"/>
            </w:tcBorders>
            <w:shd w:val="clear" w:color="auto" w:fill="D6E0EC"/>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c>
          <w:tcPr>
            <w:tcW w:w="102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$1.2 billion, up 7%, or down 18% excluding First Republic.</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 was $5.1 billion, up 11%, or up 2% excluding First Republic, driven by higher management fees on strong net inflows and higher average market levels, predominantly offset by lower net interest income. The decrease in net interest income reflected lower deposit margins and balances, partially offset by wider loan spreads.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expense was $3.4 billion, up 12%, or up 11% excluding First Republic, largely driven by higher compensation, including performance-based incentives, continued growth in private banking advisor teams, the impacts of closing the J.P. Morgan Asset Management China acquisition and continued investments in Global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under management were $3.4 trillion and client assets were $5.0 trillion, each up 24%, driven by continued net inflows and higher market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325755</wp:posOffset>
            </wp:positionV>
            <wp:extent cx="709803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FFFFFF"/>
        </w:rPr>
        <w:t>CORPORATE</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80" w:type="dxa"/>
            <w:vAlign w:val="bottom"/>
            <w:tcBorders>
              <w:bottom w:val="single" w:sz="8" w:color="EAEAEA"/>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Results for Corporate</w:t>
            </w:r>
          </w:p>
        </w:tc>
        <w:tc>
          <w:tcPr>
            <w:tcW w:w="200" w:type="dxa"/>
            <w:vAlign w:val="bottom"/>
            <w:tcBorders>
              <w:bottom w:val="single" w:sz="8" w:color="EAEAEA"/>
            </w:tcBorders>
            <w:shd w:val="clear" w:color="auto" w:fill="EAEAEA"/>
          </w:tcPr>
          <w:p>
            <w:pPr>
              <w:spacing w:after="0"/>
              <w:rPr>
                <w:sz w:val="19"/>
                <w:szCs w:val="19"/>
                <w:color w:val="auto"/>
              </w:rPr>
            </w:pPr>
          </w:p>
        </w:tc>
        <w:tc>
          <w:tcPr>
            <w:tcW w:w="80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800" w:type="dxa"/>
            <w:vAlign w:val="bottom"/>
            <w:tcBorders>
              <w:bottom w:val="single" w:sz="8" w:color="EAEAEA"/>
            </w:tcBorders>
            <w:shd w:val="clear" w:color="auto" w:fill="EAEAEA"/>
          </w:tcPr>
          <w:p>
            <w:pPr>
              <w:spacing w:after="0"/>
              <w:rPr>
                <w:sz w:val="19"/>
                <w:szCs w:val="19"/>
                <w:color w:val="auto"/>
              </w:rPr>
            </w:pPr>
          </w:p>
        </w:tc>
        <w:tc>
          <w:tcPr>
            <w:tcW w:w="260" w:type="dxa"/>
            <w:vAlign w:val="bottom"/>
            <w:tcBorders>
              <w:bottom w:val="single" w:sz="8" w:color="EAEAEA"/>
            </w:tcBorders>
            <w:shd w:val="clear" w:color="auto" w:fill="EAEAEA"/>
          </w:tcPr>
          <w:p>
            <w:pPr>
              <w:spacing w:after="0"/>
              <w:rPr>
                <w:sz w:val="19"/>
                <w:szCs w:val="19"/>
                <w:color w:val="auto"/>
              </w:rPr>
            </w:pPr>
          </w:p>
        </w:tc>
        <w:tc>
          <w:tcPr>
            <w:tcW w:w="8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rPr>
                <w:sz w:val="19"/>
                <w:szCs w:val="19"/>
                <w:color w:val="auto"/>
              </w:rPr>
            </w:pPr>
          </w:p>
        </w:tc>
        <w:tc>
          <w:tcPr>
            <w:tcW w:w="1980" w:type="dxa"/>
            <w:vAlign w:val="bottom"/>
            <w:tcBorders>
              <w:bottom w:val="single" w:sz="8" w:color="auto"/>
            </w:tcBorders>
            <w:gridSpan w:val="2"/>
            <w:shd w:val="clear" w:color="auto" w:fill="EAEAEA"/>
          </w:tcPr>
          <w:p>
            <w:pPr>
              <w:jc w:val="right"/>
              <w:ind w:right="810"/>
              <w:spacing w:after="0"/>
              <w:rPr>
                <w:sz w:val="20"/>
                <w:szCs w:val="20"/>
                <w:color w:val="auto"/>
              </w:rPr>
            </w:pPr>
            <w:r>
              <w:rPr>
                <w:rFonts w:ascii="Times New Roman" w:cs="Times New Roman" w:eastAsia="Times New Roman" w:hAnsi="Times New Roman"/>
                <w:sz w:val="18"/>
                <w:szCs w:val="18"/>
                <w:color w:val="auto"/>
              </w:rPr>
              <w:t>3Q23</w:t>
            </w:r>
          </w:p>
        </w:tc>
        <w:tc>
          <w:tcPr>
            <w:tcW w:w="220" w:type="dxa"/>
            <w:vAlign w:val="bottom"/>
            <w:tcBorders>
              <w:bottom w:val="single" w:sz="8" w:color="auto"/>
            </w:tcBorders>
            <w:shd w:val="clear" w:color="auto" w:fill="EAEAEA"/>
          </w:tcPr>
          <w:p>
            <w:pPr>
              <w:spacing w:after="0"/>
              <w:rPr>
                <w:sz w:val="19"/>
                <w:szCs w:val="19"/>
                <w:color w:val="auto"/>
              </w:rPr>
            </w:pPr>
          </w:p>
        </w:tc>
        <w:tc>
          <w:tcPr>
            <w:tcW w:w="1940" w:type="dxa"/>
            <w:vAlign w:val="bottom"/>
            <w:tcBorders>
              <w:bottom w:val="single" w:sz="8" w:color="auto"/>
            </w:tcBorders>
            <w:gridSpan w:val="2"/>
            <w:shd w:val="clear" w:color="auto" w:fill="EAEAEA"/>
          </w:tcPr>
          <w:p>
            <w:pPr>
              <w:ind w:left="680"/>
              <w:spacing w:after="0"/>
              <w:rPr>
                <w:sz w:val="20"/>
                <w:szCs w:val="20"/>
                <w:color w:val="auto"/>
              </w:rPr>
            </w:pPr>
            <w:r>
              <w:rPr>
                <w:rFonts w:ascii="Times New Roman" w:cs="Times New Roman" w:eastAsia="Times New Roman" w:hAnsi="Times New Roman"/>
                <w:sz w:val="18"/>
                <w:szCs w:val="18"/>
                <w:color w:val="auto"/>
              </w:rPr>
              <w:t>4Q22</w:t>
            </w:r>
          </w:p>
        </w:tc>
      </w:tr>
      <w:tr>
        <w:trPr>
          <w:trHeight w:val="223"/>
        </w:trPr>
        <w:tc>
          <w:tcPr>
            <w:tcW w:w="3680" w:type="dxa"/>
            <w:vAlign w:val="bottom"/>
            <w:tcBorders>
              <w:bottom w:val="single" w:sz="8" w:color="auto"/>
            </w:tcBorders>
            <w:shd w:val="clear" w:color="auto" w:fill="EAEAEA"/>
          </w:tcPr>
          <w:p>
            <w:pPr>
              <w:ind w:left="20"/>
              <w:spacing w:after="0"/>
              <w:rPr>
                <w:sz w:val="20"/>
                <w:szCs w:val="20"/>
                <w:color w:val="auto"/>
              </w:rPr>
            </w:pPr>
            <w:r>
              <w:rPr>
                <w:rFonts w:ascii="Times New Roman" w:cs="Times New Roman" w:eastAsia="Times New Roman" w:hAnsi="Times New Roman"/>
                <w:sz w:val="18"/>
                <w:szCs w:val="18"/>
                <w:color w:val="auto"/>
              </w:rPr>
              <w:t>($ millions)</w:t>
            </w:r>
          </w:p>
        </w:tc>
        <w:tc>
          <w:tcPr>
            <w:tcW w:w="200" w:type="dxa"/>
            <w:vAlign w:val="bottom"/>
            <w:tcBorders>
              <w:bottom w:val="single" w:sz="8" w:color="auto"/>
            </w:tcBorders>
            <w:shd w:val="clear" w:color="auto" w:fill="EAEAEA"/>
          </w:tcPr>
          <w:p>
            <w:pPr>
              <w:spacing w:after="0"/>
              <w:rPr>
                <w:sz w:val="19"/>
                <w:szCs w:val="19"/>
                <w:color w:val="auto"/>
              </w:rPr>
            </w:pPr>
          </w:p>
        </w:tc>
        <w:tc>
          <w:tcPr>
            <w:tcW w:w="800" w:type="dxa"/>
            <w:vAlign w:val="bottom"/>
            <w:tcBorders>
              <w:bottom w:val="single" w:sz="8" w:color="auto"/>
            </w:tcBorders>
            <w:shd w:val="clear" w:color="auto" w:fill="EAEAEA"/>
          </w:tcPr>
          <w:p>
            <w:pPr>
              <w:jc w:val="right"/>
              <w:ind w:right="230"/>
              <w:spacing w:after="0"/>
              <w:rPr>
                <w:sz w:val="20"/>
                <w:szCs w:val="20"/>
                <w:color w:val="auto"/>
              </w:rPr>
            </w:pPr>
            <w:r>
              <w:rPr>
                <w:rFonts w:ascii="Times New Roman" w:cs="Times New Roman" w:eastAsia="Times New Roman" w:hAnsi="Times New Roman"/>
                <w:sz w:val="18"/>
                <w:szCs w:val="18"/>
                <w:color w:val="auto"/>
              </w:rPr>
              <w:t>4Q23</w:t>
            </w:r>
          </w:p>
        </w:tc>
        <w:tc>
          <w:tcPr>
            <w:tcW w:w="260" w:type="dxa"/>
            <w:vAlign w:val="bottom"/>
            <w:tcBorders>
              <w:bottom w:val="single" w:sz="8" w:color="auto"/>
            </w:tcBorders>
            <w:shd w:val="clear" w:color="auto" w:fill="EAEAEA"/>
          </w:tcPr>
          <w:p>
            <w:pPr>
              <w:spacing w:after="0"/>
              <w:rPr>
                <w:sz w:val="19"/>
                <w:szCs w:val="19"/>
                <w:color w:val="auto"/>
              </w:rPr>
            </w:pPr>
          </w:p>
        </w:tc>
        <w:tc>
          <w:tcPr>
            <w:tcW w:w="800" w:type="dxa"/>
            <w:vAlign w:val="bottom"/>
            <w:tcBorders>
              <w:bottom w:val="single" w:sz="8" w:color="auto"/>
            </w:tcBorders>
            <w:shd w:val="clear" w:color="auto" w:fill="EAEAEA"/>
          </w:tcPr>
          <w:p>
            <w:pPr>
              <w:jc w:val="right"/>
              <w:ind w:right="230"/>
              <w:spacing w:after="0"/>
              <w:rPr>
                <w:sz w:val="20"/>
                <w:szCs w:val="20"/>
                <w:color w:val="auto"/>
              </w:rPr>
            </w:pPr>
            <w:r>
              <w:rPr>
                <w:rFonts w:ascii="Times New Roman" w:cs="Times New Roman" w:eastAsia="Times New Roman" w:hAnsi="Times New Roman"/>
                <w:sz w:val="18"/>
                <w:szCs w:val="18"/>
                <w:color w:val="auto"/>
              </w:rPr>
              <w:t>3Q23</w:t>
            </w:r>
          </w:p>
        </w:tc>
        <w:tc>
          <w:tcPr>
            <w:tcW w:w="26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shd w:val="clear" w:color="auto" w:fill="EAEAEA"/>
          </w:tcPr>
          <w:p>
            <w:pPr>
              <w:jc w:val="right"/>
              <w:ind w:right="290"/>
              <w:spacing w:after="0"/>
              <w:rPr>
                <w:sz w:val="20"/>
                <w:szCs w:val="20"/>
                <w:color w:val="auto"/>
              </w:rPr>
            </w:pPr>
            <w:r>
              <w:rPr>
                <w:rFonts w:ascii="Times New Roman" w:cs="Times New Roman" w:eastAsia="Times New Roman" w:hAnsi="Times New Roman"/>
                <w:sz w:val="18"/>
                <w:szCs w:val="18"/>
                <w:color w:val="auto"/>
              </w:rPr>
              <w:t>4Q22</w:t>
            </w:r>
          </w:p>
        </w:tc>
        <w:tc>
          <w:tcPr>
            <w:tcW w:w="16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jc w:val="right"/>
              <w:ind w:right="230"/>
              <w:spacing w:after="0"/>
              <w:rPr>
                <w:sz w:val="20"/>
                <w:szCs w:val="20"/>
                <w:color w:val="auto"/>
              </w:rPr>
            </w:pPr>
            <w:r>
              <w:rPr>
                <w:rFonts w:ascii="Times New Roman" w:cs="Times New Roman" w:eastAsia="Times New Roman" w:hAnsi="Times New Roman"/>
                <w:sz w:val="18"/>
                <w:szCs w:val="18"/>
                <w:color w:val="auto"/>
              </w:rPr>
              <w:t>$ O/(U)</w:t>
            </w:r>
          </w:p>
        </w:tc>
        <w:tc>
          <w:tcPr>
            <w:tcW w:w="1060" w:type="dxa"/>
            <w:vAlign w:val="bottom"/>
            <w:tcBorders>
              <w:bottom w:val="single" w:sz="8" w:color="auto"/>
            </w:tcBorders>
            <w:shd w:val="clear" w:color="auto" w:fill="EAEAEA"/>
          </w:tcPr>
          <w:p>
            <w:pPr>
              <w:jc w:val="right"/>
              <w:ind w:right="210"/>
              <w:spacing w:after="0"/>
              <w:rPr>
                <w:sz w:val="20"/>
                <w:szCs w:val="20"/>
                <w:color w:val="auto"/>
              </w:rPr>
            </w:pPr>
            <w:r>
              <w:rPr>
                <w:rFonts w:ascii="Times New Roman" w:cs="Times New Roman" w:eastAsia="Times New Roman" w:hAnsi="Times New Roman"/>
                <w:sz w:val="18"/>
                <w:szCs w:val="18"/>
                <w:color w:val="auto"/>
              </w:rPr>
              <w:t>O/(U) %</w:t>
            </w:r>
          </w:p>
        </w:tc>
        <w:tc>
          <w:tcPr>
            <w:tcW w:w="220" w:type="dxa"/>
            <w:vAlign w:val="bottom"/>
            <w:tcBorders>
              <w:bottom w:val="single" w:sz="8" w:color="auto"/>
            </w:tcBorders>
            <w:shd w:val="clear" w:color="auto" w:fill="EAEAEA"/>
          </w:tcPr>
          <w:p>
            <w:pPr>
              <w:spacing w:after="0"/>
              <w:rPr>
                <w:sz w:val="19"/>
                <w:szCs w:val="19"/>
                <w:color w:val="auto"/>
              </w:rPr>
            </w:pPr>
          </w:p>
        </w:tc>
        <w:tc>
          <w:tcPr>
            <w:tcW w:w="920" w:type="dxa"/>
            <w:vAlign w:val="bottom"/>
            <w:tcBorders>
              <w:bottom w:val="single" w:sz="8" w:color="auto"/>
            </w:tcBorders>
            <w:shd w:val="clear" w:color="auto" w:fill="EAEAEA"/>
          </w:tcPr>
          <w:p>
            <w:pPr>
              <w:jc w:val="right"/>
              <w:ind w:right="230"/>
              <w:spacing w:after="0"/>
              <w:rPr>
                <w:sz w:val="20"/>
                <w:szCs w:val="20"/>
                <w:color w:val="auto"/>
              </w:rPr>
            </w:pPr>
            <w:r>
              <w:rPr>
                <w:rFonts w:ascii="Times New Roman" w:cs="Times New Roman" w:eastAsia="Times New Roman" w:hAnsi="Times New Roman"/>
                <w:sz w:val="18"/>
                <w:szCs w:val="18"/>
                <w:color w:val="auto"/>
              </w:rPr>
              <w:t>$ O/(U)</w:t>
            </w:r>
          </w:p>
        </w:tc>
        <w:tc>
          <w:tcPr>
            <w:tcW w:w="1020" w:type="dxa"/>
            <w:vAlign w:val="bottom"/>
            <w:tcBorders>
              <w:bottom w:val="single" w:sz="8" w:color="auto"/>
            </w:tcBorders>
            <w:shd w:val="clear" w:color="auto" w:fill="EAEAEA"/>
          </w:tcPr>
          <w:p>
            <w:pPr>
              <w:ind w:left="140"/>
              <w:spacing w:after="0"/>
              <w:rPr>
                <w:sz w:val="20"/>
                <w:szCs w:val="20"/>
                <w:color w:val="auto"/>
              </w:rPr>
            </w:pPr>
            <w:r>
              <w:rPr>
                <w:rFonts w:ascii="Times New Roman" w:cs="Times New Roman" w:eastAsia="Times New Roman" w:hAnsi="Times New Roman"/>
                <w:sz w:val="18"/>
                <w:szCs w:val="18"/>
                <w:color w:val="auto"/>
              </w:rPr>
              <w:t>O/(U) %</w:t>
            </w:r>
          </w:p>
        </w:tc>
      </w:tr>
      <w:tr>
        <w:trPr>
          <w:trHeight w:val="21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1,183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594</w:t>
            </w:r>
          </w:p>
        </w:tc>
        <w:tc>
          <w:tcPr>
            <w:tcW w:w="1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3,593</w:t>
            </w:r>
          </w:p>
        </w:tc>
        <w:tc>
          <w:tcPr>
            <w:tcW w:w="2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w:t>
            </w:r>
          </w:p>
        </w:tc>
        <w:tc>
          <w:tcPr>
            <w:tcW w:w="2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2,897</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3,254</w:t>
            </w: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3680" w:type="dxa"/>
            <w:vAlign w:val="bottom"/>
            <w:tcBorders>
              <w:bottom w:val="single" w:sz="8" w:color="828282"/>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828282"/>
            </w:tcBorders>
          </w:tcPr>
          <w:p>
            <w:pPr>
              <w:spacing w:after="0"/>
              <w:rPr>
                <w:sz w:val="20"/>
                <w:szCs w:val="20"/>
                <w:color w:val="auto"/>
              </w:rPr>
            </w:pPr>
          </w:p>
        </w:tc>
        <w:tc>
          <w:tcPr>
            <w:tcW w:w="800" w:type="dxa"/>
            <w:vAlign w:val="bottom"/>
            <w:tcBorders>
              <w:bottom w:val="single" w:sz="8" w:color="828282"/>
            </w:tcBorders>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Borders>
              <w:bottom w:val="single" w:sz="8" w:color="828282"/>
            </w:tcBorders>
          </w:tcPr>
          <w:p>
            <w:pPr>
              <w:spacing w:after="0"/>
              <w:rPr>
                <w:sz w:val="20"/>
                <w:szCs w:val="20"/>
                <w:color w:val="auto"/>
              </w:rPr>
            </w:pPr>
          </w:p>
        </w:tc>
        <w:tc>
          <w:tcPr>
            <w:tcW w:w="88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1060" w:type="dxa"/>
            <w:vAlign w:val="bottom"/>
            <w:tcBorders>
              <w:bottom w:val="single" w:sz="8" w:color="828282"/>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828282"/>
            </w:tcBorders>
          </w:tcPr>
          <w:p>
            <w:pPr>
              <w:spacing w:after="0"/>
              <w:rPr>
                <w:sz w:val="20"/>
                <w:szCs w:val="20"/>
                <w:color w:val="auto"/>
              </w:rPr>
            </w:pPr>
          </w:p>
        </w:tc>
        <w:tc>
          <w:tcPr>
            <w:tcW w:w="920" w:type="dxa"/>
            <w:vAlign w:val="bottom"/>
            <w:tcBorders>
              <w:bottom w:val="single" w:sz="8" w:color="828282"/>
            </w:tcBorders>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tcBorders>
              <w:bottom w:val="single" w:sz="8" w:color="828282"/>
            </w:tcBorders>
          </w:tcPr>
          <w:p>
            <w:pPr>
              <w:ind w:left="620"/>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3680" w:type="dxa"/>
            <w:vAlign w:val="bottom"/>
            <w:tcBorders>
              <w:bottom w:val="single" w:sz="8" w:color="828282"/>
            </w:tcBorders>
            <w:shd w:val="clear" w:color="auto" w:fill="D6E0EC"/>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20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828282"/>
            </w:tcBorders>
            <w:shd w:val="clear" w:color="auto" w:fill="D6E0EC"/>
          </w:tcPr>
          <w:p>
            <w:pPr>
              <w:jc w:val="right"/>
              <w:ind w:right="10"/>
              <w:spacing w:after="0"/>
              <w:rPr>
                <w:sz w:val="20"/>
                <w:szCs w:val="20"/>
                <w:color w:val="auto"/>
              </w:rPr>
            </w:pPr>
            <w:r>
              <w:rPr>
                <w:rFonts w:ascii="Times New Roman" w:cs="Times New Roman" w:eastAsia="Times New Roman" w:hAnsi="Times New Roman"/>
                <w:sz w:val="18"/>
                <w:szCs w:val="18"/>
                <w:color w:val="auto"/>
              </w:rPr>
              <w:t>812</w:t>
            </w:r>
          </w:p>
        </w:tc>
        <w:tc>
          <w:tcPr>
            <w:tcW w:w="2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828282"/>
            </w:tcBorders>
            <w:shd w:val="clear" w:color="auto" w:fill="D6E0EC"/>
          </w:tcPr>
          <w:p>
            <w:pPr>
              <w:jc w:val="right"/>
              <w:ind w:right="90"/>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828282"/>
            </w:tcBorders>
            <w:shd w:val="clear" w:color="auto" w:fill="D6E0EC"/>
          </w:tcPr>
          <w:p>
            <w:pPr>
              <w:jc w:val="right"/>
              <w:ind w:right="50"/>
              <w:spacing w:after="0"/>
              <w:rPr>
                <w:sz w:val="20"/>
                <w:szCs w:val="20"/>
                <w:color w:val="auto"/>
              </w:rPr>
            </w:pPr>
            <w:r>
              <w:rPr>
                <w:rFonts w:ascii="Times New Roman" w:cs="Times New Roman" w:eastAsia="Times New Roman" w:hAnsi="Times New Roman"/>
                <w:sz w:val="18"/>
                <w:szCs w:val="18"/>
                <w:color w:val="auto"/>
              </w:rPr>
              <w:t>(1,687)</w:t>
            </w:r>
          </w:p>
        </w:tc>
        <w:tc>
          <w:tcPr>
            <w:tcW w:w="106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828282"/>
            </w:tcBorders>
            <w:shd w:val="clear" w:color="auto" w:fill="D6E0E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828282"/>
            </w:tcBorders>
            <w:shd w:val="clear" w:color="auto" w:fill="D6E0EC"/>
          </w:tcPr>
          <w:p>
            <w:pPr>
              <w:jc w:val="right"/>
              <w:ind w:right="50"/>
              <w:spacing w:after="0"/>
              <w:rPr>
                <w:sz w:val="20"/>
                <w:szCs w:val="20"/>
                <w:color w:val="auto"/>
              </w:rPr>
            </w:pPr>
            <w:r>
              <w:rPr>
                <w:rFonts w:ascii="Times New Roman" w:cs="Times New Roman" w:eastAsia="Times New Roman" w:hAnsi="Times New Roman"/>
                <w:sz w:val="18"/>
                <w:szCs w:val="18"/>
                <w:color w:val="auto"/>
              </w:rPr>
              <w:t>(1,456)</w:t>
            </w:r>
          </w:p>
        </w:tc>
        <w:tc>
          <w:tcPr>
            <w:tcW w:w="1020" w:type="dxa"/>
            <w:vAlign w:val="bottom"/>
            <w:tcBorders>
              <w:bottom w:val="single" w:sz="8" w:color="828282"/>
            </w:tcBorders>
            <w:shd w:val="clear" w:color="auto" w:fill="D6E0EC"/>
          </w:tcPr>
          <w:p>
            <w:pPr>
              <w:ind w:left="700"/>
              <w:spacing w:after="0"/>
              <w:rPr>
                <w:sz w:val="20"/>
                <w:szCs w:val="20"/>
                <w:color w:val="auto"/>
              </w:rPr>
            </w:pPr>
            <w:r>
              <w:rPr>
                <w:rFonts w:ascii="Times New Roman" w:cs="Times New Roman" w:eastAsia="Times New Roman" w:hAnsi="Times New Roman"/>
                <w:sz w:val="18"/>
                <w:szCs w:val="18"/>
                <w:color w:val="auto"/>
              </w:rPr>
              <w:t>NM</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was $875 million, or a net loss of $689 million excluding First Republic, compared with net income of $581 million in the prior year.</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revenue was $1.8 billion, up $594 million. Net interest income was $2.4 billion, up $1.1 billion, driven by the impact of higher rates and balance sheet mix. Noninterest revenue was a net loss of $668 million, compared with a net loss of $115 million in the prior year. The current quarter included net investment securities losses of $743 million, primarily driven by sales of U.S. Treasuries and mortgage-backed securities. The prior-year quarter included a $914 million gain on the sale of Visa B shares, largely offset by $874 million of net investment securities losses.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was $3.6 billion, up $3.3 billion, or up $3.0 billion excluding First Republic, predominantly driven by the FDIC special assessment of $2.9 billion.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quarter included an income tax benefit related to the finalization of certain income tax regulations.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Notes on non-GAAP financial measures:</w:t>
      </w:r>
    </w:p>
    <w:p>
      <w:pPr>
        <w:spacing w:after="0" w:line="364" w:lineRule="exact"/>
        <w:rPr>
          <w:sz w:val="20"/>
          <w:szCs w:val="20"/>
          <w:color w:val="auto"/>
        </w:rPr>
      </w:pPr>
    </w:p>
    <w:p>
      <w:pPr>
        <w:jc w:val="both"/>
        <w:ind w:left="340" w:hanging="332"/>
        <w:spacing w:after="0" w:line="253" w:lineRule="auto"/>
        <w:tabs>
          <w:tab w:leader="none" w:pos="3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 prepares its Consolidated Financial Statements in accordance with accounting principles generally accepted in the U.S. (“U.S. GAAP”). That presentation, which is referred to as “reported” basis, provides the reader with an understanding of the Firm’s results that can be tracked consistently from year-to-year and enables a comparison of the Firm’s performance with the U.S. GAAP financial statements of other companies. In addition to analyzing the Firm’s results on a reported basis, management reviews Firmwide results, including the overhead ratio, on a “managed” basis; these Firmwide managed basis results are non-GAAP financial measures. The Firm also reviews the results of the lines of business on a managed basis. The Firm’s definition of managed basis starts, in each case, with the reported U.S. GAAP results and includes certain reclassifications to present total net revenue for the Firm and each of the reportable business segments on a fully taxable-equivalent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the lines of business. For a reconciliation of the Firm’s results from a reported to managed basis, refer to page 7 of the Earnings Release Financial Supplement.</w:t>
      </w:r>
    </w:p>
    <w:p>
      <w:pPr>
        <w:spacing w:after="0" w:line="216"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Tangible common equity (“TCE”), return on tangible common equity (“ROTCE”) and tangible book value per share (“TBVPS”) are each non-GAAP financial measures. TCE represents the Firm’s common stockholders’ equity (i.e., total stockholders’ equity less preferred stock) less goodwill and identifiable intangible assets (other than mortgage servicing rights), net of related deferred tax liabilities. For a reconciliation from common stockholders’ equity to TCE, refer to page 10 of the Earnings Release Financial Supplement. ROTCE measures the Firm’s net income applicable to common equity as a percentage of average TCE. TBVPS represents the Firm’s TCE at period-end divided by common shares at period-end. Book value per share was $104.45, $100.30 and $90.29 at December 31, 2023, September 30, 2023, and December 31, 2022, respectively. TCE, ROTCE, and TBVPS are utilized by the Firm, as well as investors and analysts, in assessing the Firm’s use of equity.</w:t>
      </w:r>
    </w:p>
    <w:p>
      <w:pPr>
        <w:spacing w:after="0" w:line="21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reviewing net interest income (“NII”) and noninterest revenue (“NIR”) on a managed basis, management also reviews these metrics excluding CIB Markets (“Markets”, which is composed of Fixed Income Markets and Equity Markets). Markets revenue consists of principal transactions, fees, commissions and other income, as well as net interest income. These metrics, which exclude Markets, are non-GAAP financial measures. Management reviews these metrics to assess the performance of the Firm’s lending, investing (including asset-liability management) and deposit-raising activities, apart from any volatility associated with Markets activities. In addition, management also assesses Markets business performance on a total revenue basis as offsets may occur across revenue lines. For example, securities that generate net interest income may be risk-managed by derivatives that are reflected at fair value in principal transactions revenue. Management believes these measures provide investors and analysts with alternative measures to analyze the revenue trends of the Firm. For a reconciliation of NII and NIR from reported to excluding Markets, refer to page 29 of the Earnings Release Financial Supplement. For additional information on Markets revenue, refer to page 70 of the Firm’s 2022 Form 10-K.</w:t>
      </w:r>
    </w:p>
    <w:p>
      <w:pPr>
        <w:spacing w:after="0" w:line="22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Fourth-quarter 2023 net income, earnings per share and ROTCE excluding significant items are non-GAAP financial measures. Significant items collectively refer to the FDIC special assessment of $2.9 billion and net investment securities losses of $743 million. Excluding these significant items resulted in an increase of $2.7 billion (after tax) to reported net income from $9.3 billion to $12.1 billion; an increase of $0.93 per share to reported EPS from $3.04 to $3.97; and an increase of approximately 4% to ROTCE from 15% to 19%. Management believes these measures provide useful information to investors and analysts in assessing the Firm’s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notes:</w:t>
      </w:r>
    </w:p>
    <w:p>
      <w:pPr>
        <w:spacing w:after="0" w:line="351" w:lineRule="exact"/>
        <w:rPr>
          <w:sz w:val="20"/>
          <w:szCs w:val="20"/>
          <w:color w:val="auto"/>
        </w:rPr>
      </w:pPr>
    </w:p>
    <w:p>
      <w:pPr>
        <w:jc w:val="both"/>
        <w:ind w:left="340" w:hanging="332"/>
        <w:spacing w:after="0" w:line="245"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Reflects the Current Expected Credit Losses (“CECL”) capital transition provisions. Beginning January 1, 2022, the $2.9 billion CECL capital benefit is being phased out at 25% per year over a three-year period. As of December 31, 2023, CET1 capital and Total Loss-Absorbing Capacity reflected the remaining $1.4 billion CECL benefit. Refer to Capital Risk Management on pages 48-53 of the Firm’s Quarterly Report on Form 10-Q for the quarterly period ended September 30, 2023 and on pages 86-96 of the Firm’s 2022 Form 10-K for additional information.</w:t>
      </w:r>
    </w:p>
    <w:p>
      <w:pPr>
        <w:spacing w:after="0" w:line="72" w:lineRule="exact"/>
        <w:rPr>
          <w:rFonts w:ascii="Times New Roman" w:cs="Times New Roman" w:eastAsia="Times New Roman" w:hAnsi="Times New Roman"/>
          <w:sz w:val="18"/>
          <w:szCs w:val="18"/>
          <w:color w:val="auto"/>
        </w:rPr>
      </w:pPr>
    </w:p>
    <w:p>
      <w:pPr>
        <w:jc w:val="both"/>
        <w:ind w:left="340" w:hanging="332"/>
        <w:spacing w:after="0" w:line="237"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Cash and marketable securities includes end-of-period eligible high-quality liquid assets (“HQLA”), excluding regulatory prescribed haircuts under the liquidity coverage ratio (“LCR”) rule where applicable, for both the Firm and the excess HQLA-eligible securities included as part of the excess liquidity at JPMorgan Chase Bank, N.A., which are not transferable to non-bank affiliates and thus excluded from the Firm’s LCR. Also includes other end-of-period unencumbered marketable securities, such as equity and debt securities. Does not include borrowing capacity at Federal Home Loan Banks and the discount window at the Federal Reserve Bank. Refer to Liquidity Risk Management on pages 54-61 of the Firm’s Quarterly Report on Form 10-Q for the quarterly period ended September 30, 2023 and on pages 97-104 of the Firm’s 2022 Form 10-K for additional information.</w:t>
      </w:r>
    </w:p>
    <w:p>
      <w:pPr>
        <w:spacing w:after="0" w:line="8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(“EPS”).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$2.9 billion ($2.2 billion after tax) special assessment from the FDIC on certain banks to recover losses to the Deposit Insurance Fund (“DIF”) arising from the protection of uninsured depositors resulting from bank resolutions in 2023.</w:t>
      </w:r>
    </w:p>
    <w:p>
      <w:pPr>
        <w:spacing w:after="0" w:line="54" w:lineRule="exact"/>
        <w:rPr>
          <w:rFonts w:ascii="Times New Roman" w:cs="Times New Roman" w:eastAsia="Times New Roman" w:hAnsi="Times New Roman"/>
          <w:sz w:val="18"/>
          <w:szCs w:val="18"/>
          <w:color w:val="auto"/>
        </w:rPr>
      </w:pPr>
    </w:p>
    <w:p>
      <w:pPr>
        <w:jc w:val="both"/>
        <w:ind w:left="340" w:hanging="332"/>
        <w:spacing w:after="0" w:line="245"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JPMorgan Chase acquired certain assets and assumed certain liabilities of First Republic Bank (the “First Republic acquisition") from the Federal Deposit Insurance Corporation (“FDIC”). All references in this press release to “excluding First Republic” or “attributable to First Republic” refer to excluding or including the relevant effects of the First Republic acquisition, as well as subsequent related business and activities, as applicable.</w:t>
      </w:r>
    </w:p>
    <w:p>
      <w:pPr>
        <w:spacing w:after="0" w:line="7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Commercial Card.</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of all mobile platforms who have logged in within the past 90 days. As of December 31, 2023, excludes First Republic.</w:t>
      </w:r>
    </w:p>
    <w:p>
      <w:pPr>
        <w:spacing w:after="0" w:line="90"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gross revenues earned by the Firm that are subject to a revenue sharing arrangement between CB and the CIB for Investment Banking and Markets products sold to CB clients. This includes revenues related to fixed income and equity markets products. Refer to page 61 of the Firm’s 2022 Form 10-K for a discussion of revenue sharing.</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net impact of employee issuances. Excludes excise tax and commissions cost.</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 twelve months (“LTM”).</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provided to clients represents new and renewed credit, including loans and lending-related commitments.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2023, the allocations of revenue and expense to CCB associated with a Merchant Services revenue sharing agreement were discontinued and are now retained in Payments in CIB. Prior-period amounts have been revised to conform with the current presentation.</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Securitized Products Group is comprised of Securitized Products and Tax Oriented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&amp; Co. (NYSE: JPM) is a leading financial services firm based in the United States of America (“U.S.”), with operations worldwide.</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JPMorgan Chase had $3.9 trillion in assets and $328 billion in stockholders’ equity as of December 31, 2023. The Firm is a leader in investment banking, financial services for consumers and small businesses, commercial banking, financial transaction processing and asset management. Under the J.P. Morgan and Chase brands, the Firm serves millions of customers predominantly in the U.S., and many of the world’s most prominent corporate, institutional and government clients globally. Information about JPMorgan Chase &amp; Co. is available at </w:t>
      </w:r>
      <w:r>
        <w:rPr>
          <w:rFonts w:ascii="Times New Roman" w:cs="Times New Roman" w:eastAsia="Times New Roman" w:hAnsi="Times New Roman"/>
          <w:sz w:val="18"/>
          <w:szCs w:val="18"/>
          <w:color w:val="4F81BD"/>
        </w:rPr>
        <w:t>www.jpmorganchase.com</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JPMorgan Chase &amp; Co. will host a conference call today, January 12, 2024, at 8:30 a.m. (EST) to present fourth-quarter and full-year 2023 financial results. The general public can access the call by dialing (888) 324-3618 in the U.S. and Canada, or (312) 470-7119 for international callers; use passcode 1364784#. Please dial in 15 minutes prior to the start of the call. The live audio webcast and presentation slides will be available on the Firm’s website, </w:t>
      </w:r>
      <w:r>
        <w:rPr>
          <w:rFonts w:ascii="Times New Roman" w:cs="Times New Roman" w:eastAsia="Times New Roman" w:hAnsi="Times New Roman"/>
          <w:sz w:val="18"/>
          <w:szCs w:val="18"/>
          <w:color w:val="4F81BD"/>
        </w:rPr>
        <w:t>www.jpmorganchase.com</w:t>
      </w:r>
      <w:r>
        <w:rPr>
          <w:rFonts w:ascii="Times New Roman" w:cs="Times New Roman" w:eastAsia="Times New Roman" w:hAnsi="Times New Roman"/>
          <w:sz w:val="18"/>
          <w:szCs w:val="18"/>
          <w:color w:val="000000"/>
        </w:rPr>
        <w:t>, under Investor Relations, Events &amp; Presentations.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 replay of the conference call will be available beginning at approximately 10:30 a.m. (EST) on January 12, 2024 through 11:59 p.m. (EST) on January 26, 2024 by telephone at (866) 361-4940 (U.S. and Canada) or (203) 369-0188 (international); use passcode 14632#. The replay will also be available via webcast on </w:t>
      </w:r>
      <w:r>
        <w:rPr>
          <w:rFonts w:ascii="Times New Roman" w:cs="Times New Roman" w:eastAsia="Times New Roman" w:hAnsi="Times New Roman"/>
          <w:sz w:val="18"/>
          <w:szCs w:val="18"/>
          <w:color w:val="4F81BD"/>
        </w:rPr>
        <w:t>www.jpmorganchase.com</w:t>
      </w:r>
      <w:r>
        <w:rPr>
          <w:rFonts w:ascii="Times New Roman" w:cs="Times New Roman" w:eastAsia="Times New Roman" w:hAnsi="Times New Roman"/>
          <w:sz w:val="18"/>
          <w:szCs w:val="18"/>
          <w:color w:val="auto"/>
        </w:rPr>
        <w:t xml:space="preserve"> under Investor Relations, Events &amp; Presentations. Additional detailed financial, statistical and business-related information is included in a financial supplement. The earnings release and the financial supplement are available at </w:t>
      </w:r>
      <w:r>
        <w:rPr>
          <w:rFonts w:ascii="Times New Roman" w:cs="Times New Roman" w:eastAsia="Times New Roman" w:hAnsi="Times New Roman"/>
          <w:sz w:val="18"/>
          <w:szCs w:val="18"/>
          <w:color w:val="4F81BD"/>
        </w:rPr>
        <w:t>www.jpmorganchase.com</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i w:val="1"/>
          <w:iCs w:val="1"/>
          <w:color w:val="auto"/>
        </w:rPr>
        <w:t>This earnings release contains forward-looking statements within the meaning of the Private Securities Litigation Reform Act of 1995. These statements are based on the current beliefs and expectations of JPMorgan Chase &amp; Co.’s management and are subject to significant risks and uncertainties. Actual results may differ from those set forth in the forward-looking statements. Factors that could cause JPMorgan Chase &amp; Co.’s actual results to differ materially from those described in the forward-looking statements can be found in JPMorgan Chase &amp; Co.’s Annual Report on Form 10-K for the year ended December 31, 2022 and Quarterly Report on Form 10-Q for the quarterly period ended September 30, 2023, which have been filed with the Securities and Exchange Commission and are available on JPMorgan Chase &amp; Co.’s website (</w:t>
      </w:r>
      <w:r>
        <w:rPr>
          <w:rFonts w:ascii="Times New Roman" w:cs="Times New Roman" w:eastAsia="Times New Roman" w:hAnsi="Times New Roman"/>
          <w:sz w:val="17"/>
          <w:szCs w:val="17"/>
          <w:i w:val="1"/>
          <w:iCs w:val="1"/>
          <w:color w:val="006EBF"/>
        </w:rPr>
        <w:t>https://jpmorganchaseco.gcs-web.com/financial-information/sec-filings</w:t>
      </w:r>
      <w:r>
        <w:rPr>
          <w:rFonts w:ascii="Times New Roman" w:cs="Times New Roman" w:eastAsia="Times New Roman" w:hAnsi="Times New Roman"/>
          <w:sz w:val="17"/>
          <w:szCs w:val="17"/>
          <w:i w:val="1"/>
          <w:iCs w:val="1"/>
          <w:color w:val="auto"/>
        </w:rPr>
        <w:t>), and on the Securities and Exchange Commission’s website (</w:t>
      </w:r>
      <w:r>
        <w:rPr>
          <w:rFonts w:ascii="Times New Roman" w:cs="Times New Roman" w:eastAsia="Times New Roman" w:hAnsi="Times New Roman"/>
          <w:sz w:val="17"/>
          <w:szCs w:val="17"/>
          <w:i w:val="1"/>
          <w:iCs w:val="1"/>
          <w:color w:val="006EBF"/>
        </w:rPr>
        <w:t>www.sec.gov</w:t>
      </w:r>
      <w:r>
        <w:rPr>
          <w:rFonts w:ascii="Times New Roman" w:cs="Times New Roman" w:eastAsia="Times New Roman" w:hAnsi="Times New Roman"/>
          <w:sz w:val="17"/>
          <w:szCs w:val="17"/>
          <w:i w:val="1"/>
          <w:iCs w:val="1"/>
          <w:color w:val="auto"/>
        </w:rPr>
        <w:t>). JPMorgan Chase &amp; Co.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845185</wp:posOffset>
            </wp:positionV>
            <wp:extent cx="5734685" cy="42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3468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20"/>
        <w:spacing w:after="0" w:line="406" w:lineRule="auto"/>
        <w:rPr>
          <w:sz w:val="20"/>
          <w:szCs w:val="20"/>
          <w:color w:val="auto"/>
        </w:rPr>
      </w:pPr>
      <w:r>
        <w:rPr>
          <w:rFonts w:ascii="Arial" w:cs="Arial" w:eastAsia="Arial" w:hAnsi="Arial"/>
          <w:sz w:val="47"/>
          <w:szCs w:val="47"/>
          <w:b w:val="1"/>
          <w:bCs w:val="1"/>
          <w:color w:val="auto"/>
        </w:rPr>
        <w:t>EARNINGS RELEASE FINANCIAL SUPPLEMENT FOURTH QUARTER 2023</w:t>
      </w:r>
    </w:p>
    <w:p>
      <w:pPr>
        <w:sectPr>
          <w:pgSz w:w="11900" w:h="16838" w:orient="portrait"/>
          <w:cols w:equalWidth="0" w:num="1">
            <w:col w:w="11000"/>
          </w:cols>
          <w:pgMar w:left="560" w:top="995" w:right="339" w:bottom="1440" w:gutter="0" w:footer="0" w:header="0"/>
        </w:sectPr>
      </w:pPr>
    </w:p>
    <w:bookmarkStart w:id="12" w:name="page13"/>
    <w:bookmarkEnd w:id="12"/>
    <w:p>
      <w:pPr>
        <w:ind w:left="1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4631690</wp:posOffset>
            </wp:positionH>
            <wp:positionV relativeFrom="page">
              <wp:posOffset>363220</wp:posOffset>
            </wp:positionV>
            <wp:extent cx="237426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374265" cy="171450"/>
                    </a:xfrm>
                    <a:prstGeom prst="rect">
                      <a:avLst/>
                    </a:prstGeom>
                    <a:noFill/>
                  </pic:spPr>
                </pic:pic>
              </a:graphicData>
            </a:graphic>
          </wp:anchor>
        </w:drawing>
        <w:t>JPMORGAN CHASE &amp; CO.</w:t>
      </w:r>
    </w:p>
    <w:p>
      <w:pPr>
        <w:spacing w:after="0" w:line="43" w:lineRule="exact"/>
        <w:rPr>
          <w:sz w:val="20"/>
          <w:szCs w:val="20"/>
          <w:color w:val="auto"/>
        </w:rPr>
      </w:pPr>
    </w:p>
    <w:p>
      <w:pPr>
        <w:ind w:left="12"/>
        <w:spacing w:after="0"/>
        <w:rPr>
          <w:sz w:val="20"/>
          <w:szCs w:val="20"/>
          <w:color w:val="auto"/>
        </w:rPr>
      </w:pPr>
      <w:r>
        <w:rPr>
          <w:rFonts w:ascii="Arial" w:cs="Arial" w:eastAsia="Arial" w:hAnsi="Arial"/>
          <w:sz w:val="20"/>
          <w:szCs w:val="20"/>
          <w:b w:val="1"/>
          <w:bCs w:val="1"/>
          <w:color w:val="auto"/>
        </w:rPr>
        <w:t>TABLE OF CONTENTS</w:t>
      </w:r>
    </w:p>
    <w:p>
      <w:pPr>
        <w:spacing w:after="0" w:line="226" w:lineRule="exact"/>
        <w:rPr>
          <w:sz w:val="20"/>
          <w:szCs w:val="20"/>
          <w:color w:val="auto"/>
        </w:rPr>
      </w:pPr>
    </w:p>
    <w:tbl>
      <w:tblPr>
        <w:tblLayout w:type="fixed"/>
        <w:tblInd w:w="12" w:type="dxa"/>
        <w:tblCellMar>
          <w:top w:w="0" w:type="dxa"/>
          <w:left w:w="0" w:type="dxa"/>
          <w:bottom w:w="0" w:type="dxa"/>
          <w:right w:w="0" w:type="dxa"/>
        </w:tblCellMar>
      </w:tblPr>
      <w:tr>
        <w:trPr>
          <w:trHeight w:val="273"/>
        </w:trPr>
        <w:tc>
          <w:tcPr>
            <w:tcW w:w="7600" w:type="dxa"/>
            <w:vAlign w:val="bottom"/>
            <w:vMerge w:val="restart"/>
          </w:tcPr>
          <w:p>
            <w:pPr>
              <w:spacing w:after="0"/>
              <w:rPr>
                <w:sz w:val="20"/>
                <w:szCs w:val="20"/>
                <w:color w:val="auto"/>
              </w:rPr>
            </w:pPr>
            <w:r>
              <w:rPr>
                <w:rFonts w:ascii="Arial" w:cs="Arial" w:eastAsia="Arial" w:hAnsi="Arial"/>
                <w:sz w:val="20"/>
                <w:szCs w:val="20"/>
                <w:b w:val="1"/>
                <w:bCs w:val="1"/>
                <w:color w:val="auto"/>
              </w:rPr>
              <w:t>Consolidated Results</w:t>
            </w:r>
          </w:p>
        </w:tc>
        <w:tc>
          <w:tcPr>
            <w:tcW w:w="3040" w:type="dxa"/>
            <w:vAlign w:val="bottom"/>
          </w:tcPr>
          <w:p>
            <w:pPr>
              <w:ind w:left="2340"/>
              <w:spacing w:after="0"/>
              <w:rPr>
                <w:sz w:val="20"/>
                <w:szCs w:val="20"/>
                <w:color w:val="auto"/>
              </w:rPr>
            </w:pPr>
            <w:r>
              <w:rPr>
                <w:rFonts w:ascii="Arial" w:cs="Arial" w:eastAsia="Arial" w:hAnsi="Arial"/>
                <w:sz w:val="20"/>
                <w:szCs w:val="20"/>
                <w:b w:val="1"/>
                <w:bCs w:val="1"/>
                <w:color w:val="auto"/>
                <w:w w:val="94"/>
              </w:rPr>
              <w:t>Page(s)</w:t>
            </w:r>
          </w:p>
        </w:tc>
        <w:tc>
          <w:tcPr>
            <w:tcW w:w="0" w:type="dxa"/>
            <w:vAlign w:val="bottom"/>
          </w:tcPr>
          <w:p>
            <w:pPr>
              <w:spacing w:after="0"/>
              <w:rPr>
                <w:sz w:val="1"/>
                <w:szCs w:val="1"/>
                <w:color w:val="auto"/>
              </w:rPr>
            </w:pPr>
          </w:p>
        </w:tc>
      </w:tr>
      <w:tr>
        <w:trPr>
          <w:trHeight w:val="242"/>
        </w:trPr>
        <w:tc>
          <w:tcPr>
            <w:tcW w:w="7600" w:type="dxa"/>
            <w:vAlign w:val="bottom"/>
            <w:vMerge w:val="continue"/>
          </w:tcPr>
          <w:p>
            <w:pPr>
              <w:spacing w:after="0"/>
              <w:rPr>
                <w:sz w:val="21"/>
                <w:szCs w:val="21"/>
                <w:color w:val="auto"/>
              </w:rPr>
            </w:pP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20"/>
                <w:szCs w:val="20"/>
                <w:color w:val="auto"/>
              </w:rPr>
              <w:t>Consolidated Financial Highlights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56"/>
        </w:trPr>
        <w:tc>
          <w:tcPr>
            <w:tcW w:w="7600" w:type="dxa"/>
            <w:vAlign w:val="bottom"/>
          </w:tcPr>
          <w:p>
            <w:pPr>
              <w:spacing w:after="0"/>
              <w:rPr>
                <w:sz w:val="20"/>
                <w:szCs w:val="20"/>
                <w:color w:val="auto"/>
              </w:rPr>
            </w:pPr>
            <w:r>
              <w:rPr>
                <w:rFonts w:ascii="Arial" w:cs="Arial" w:eastAsia="Arial" w:hAnsi="Arial"/>
                <w:sz w:val="20"/>
                <w:szCs w:val="20"/>
                <w:color w:val="auto"/>
              </w:rPr>
              <w:t>Consolidated Statements of Income</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89"/>
              </w:rPr>
              <w:t>4</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20"/>
                <w:szCs w:val="20"/>
                <w:color w:val="auto"/>
              </w:rPr>
              <w:t>Consolidated Balance Sheets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89"/>
              </w:rPr>
              <w:t>5</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20"/>
                <w:szCs w:val="20"/>
                <w:color w:val="auto"/>
              </w:rPr>
              <w:t>Condensed Average Balance Sheets and Annualized Yields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89"/>
              </w:rPr>
              <w:t>6</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20"/>
                <w:szCs w:val="20"/>
                <w:color w:val="auto"/>
              </w:rPr>
              <w:t>Reconciliation from Reported to Managed Basis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89"/>
              </w:rPr>
              <w:t>7</w:t>
            </w:r>
          </w:p>
        </w:tc>
        <w:tc>
          <w:tcPr>
            <w:tcW w:w="0" w:type="dxa"/>
            <w:vAlign w:val="bottom"/>
          </w:tcPr>
          <w:p>
            <w:pPr>
              <w:spacing w:after="0"/>
              <w:rPr>
                <w:sz w:val="1"/>
                <w:szCs w:val="1"/>
                <w:color w:val="auto"/>
              </w:rPr>
            </w:pPr>
          </w:p>
        </w:tc>
      </w:tr>
      <w:tr>
        <w:trPr>
          <w:trHeight w:val="256"/>
        </w:trPr>
        <w:tc>
          <w:tcPr>
            <w:tcW w:w="7600" w:type="dxa"/>
            <w:vAlign w:val="bottom"/>
          </w:tcPr>
          <w:p>
            <w:pPr>
              <w:spacing w:after="0"/>
              <w:rPr>
                <w:sz w:val="20"/>
                <w:szCs w:val="20"/>
                <w:color w:val="auto"/>
              </w:rPr>
            </w:pPr>
            <w:r>
              <w:rPr>
                <w:rFonts w:ascii="Arial" w:cs="Arial" w:eastAsia="Arial" w:hAnsi="Arial"/>
                <w:sz w:val="20"/>
                <w:szCs w:val="20"/>
                <w:color w:val="auto"/>
              </w:rPr>
              <w:t>Segment Results - Managed Basis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89"/>
              </w:rPr>
              <w:t>8</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20"/>
                <w:szCs w:val="20"/>
                <w:color w:val="auto"/>
              </w:rPr>
              <w:t>Capital and Other Selected Balance Sheet Items</w:t>
            </w:r>
          </w:p>
        </w:tc>
        <w:tc>
          <w:tcPr>
            <w:tcW w:w="3040" w:type="dxa"/>
            <w:vAlign w:val="bottom"/>
          </w:tcPr>
          <w:p>
            <w:pPr>
              <w:jc w:val="center"/>
              <w:ind w:left="2221"/>
              <w:spacing w:after="0"/>
              <w:rPr>
                <w:sz w:val="20"/>
                <w:szCs w:val="20"/>
                <w:color w:val="auto"/>
              </w:rPr>
            </w:pPr>
            <w:r>
              <w:rPr>
                <w:rFonts w:ascii="Arial" w:cs="Arial" w:eastAsia="Arial" w:hAnsi="Arial"/>
                <w:sz w:val="20"/>
                <w:szCs w:val="20"/>
                <w:color w:val="auto"/>
                <w:w w:val="98"/>
              </w:rPr>
              <w:t>9–10</w:t>
            </w:r>
          </w:p>
        </w:tc>
        <w:tc>
          <w:tcPr>
            <w:tcW w:w="0" w:type="dxa"/>
            <w:vAlign w:val="bottom"/>
          </w:tcPr>
          <w:p>
            <w:pPr>
              <w:spacing w:after="0"/>
              <w:rPr>
                <w:sz w:val="1"/>
                <w:szCs w:val="1"/>
                <w:color w:val="auto"/>
              </w:rPr>
            </w:pPr>
          </w:p>
        </w:tc>
      </w:tr>
      <w:tr>
        <w:trPr>
          <w:trHeight w:val="261"/>
        </w:trPr>
        <w:tc>
          <w:tcPr>
            <w:tcW w:w="7600" w:type="dxa"/>
            <w:vAlign w:val="bottom"/>
          </w:tcPr>
          <w:p>
            <w:pPr>
              <w:spacing w:after="0"/>
              <w:rPr>
                <w:sz w:val="20"/>
                <w:szCs w:val="20"/>
                <w:color w:val="auto"/>
              </w:rPr>
            </w:pPr>
            <w:r>
              <w:rPr>
                <w:rFonts w:ascii="Arial" w:cs="Arial" w:eastAsia="Arial" w:hAnsi="Arial"/>
                <w:sz w:val="20"/>
                <w:szCs w:val="20"/>
                <w:color w:val="auto"/>
              </w:rPr>
              <w:t>Earnings Per Share and Related Information</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8"/>
              </w:rPr>
              <w:t>11</w:t>
            </w:r>
          </w:p>
        </w:tc>
        <w:tc>
          <w:tcPr>
            <w:tcW w:w="0" w:type="dxa"/>
            <w:vAlign w:val="bottom"/>
          </w:tcPr>
          <w:p>
            <w:pPr>
              <w:spacing w:after="0"/>
              <w:rPr>
                <w:sz w:val="1"/>
                <w:szCs w:val="1"/>
                <w:color w:val="auto"/>
              </w:rPr>
            </w:pPr>
          </w:p>
        </w:tc>
      </w:tr>
      <w:tr>
        <w:trPr>
          <w:trHeight w:val="468"/>
        </w:trPr>
        <w:tc>
          <w:tcPr>
            <w:tcW w:w="7600" w:type="dxa"/>
            <w:vAlign w:val="bottom"/>
          </w:tcPr>
          <w:p>
            <w:pPr>
              <w:spacing w:after="0"/>
              <w:rPr>
                <w:sz w:val="20"/>
                <w:szCs w:val="20"/>
                <w:color w:val="auto"/>
              </w:rPr>
            </w:pPr>
            <w:r>
              <w:rPr>
                <w:rFonts w:ascii="Arial" w:cs="Arial" w:eastAsia="Arial" w:hAnsi="Arial"/>
                <w:sz w:val="20"/>
                <w:szCs w:val="20"/>
                <w:b w:val="1"/>
                <w:bCs w:val="1"/>
                <w:color w:val="auto"/>
              </w:rPr>
              <w:t>Business Segment Results</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20"/>
                <w:szCs w:val="20"/>
                <w:color w:val="auto"/>
              </w:rPr>
              <w:t>Consumer &amp; Community Banking (“CCB”)</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7"/>
              </w:rPr>
              <w:t>12–15</w:t>
            </w:r>
          </w:p>
        </w:tc>
        <w:tc>
          <w:tcPr>
            <w:tcW w:w="0" w:type="dxa"/>
            <w:vAlign w:val="bottom"/>
          </w:tcPr>
          <w:p>
            <w:pPr>
              <w:spacing w:after="0"/>
              <w:rPr>
                <w:sz w:val="1"/>
                <w:szCs w:val="1"/>
                <w:color w:val="auto"/>
              </w:rPr>
            </w:pPr>
          </w:p>
        </w:tc>
      </w:tr>
      <w:tr>
        <w:trPr>
          <w:trHeight w:val="256"/>
        </w:trPr>
        <w:tc>
          <w:tcPr>
            <w:tcW w:w="7600" w:type="dxa"/>
            <w:vAlign w:val="bottom"/>
          </w:tcPr>
          <w:p>
            <w:pPr>
              <w:spacing w:after="0"/>
              <w:rPr>
                <w:sz w:val="20"/>
                <w:szCs w:val="20"/>
                <w:color w:val="auto"/>
              </w:rPr>
            </w:pPr>
            <w:r>
              <w:rPr>
                <w:rFonts w:ascii="Arial" w:cs="Arial" w:eastAsia="Arial" w:hAnsi="Arial"/>
                <w:sz w:val="20"/>
                <w:szCs w:val="20"/>
                <w:color w:val="auto"/>
              </w:rPr>
              <w:t>Corporate &amp; Investment Bank (“CIB”)</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7"/>
              </w:rPr>
              <w:t>16–18</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20"/>
                <w:szCs w:val="20"/>
                <w:color w:val="auto"/>
              </w:rPr>
              <w:t>Commercial Banking (“CB”)</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7"/>
              </w:rPr>
              <w:t>19–20</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20"/>
                <w:szCs w:val="20"/>
                <w:color w:val="auto"/>
              </w:rPr>
              <w:t>Asset &amp; Wealth Management (“AWM”)</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7"/>
              </w:rPr>
              <w:t>21–23</w:t>
            </w:r>
          </w:p>
        </w:tc>
        <w:tc>
          <w:tcPr>
            <w:tcW w:w="0" w:type="dxa"/>
            <w:vAlign w:val="bottom"/>
          </w:tcPr>
          <w:p>
            <w:pPr>
              <w:spacing w:after="0"/>
              <w:rPr>
                <w:sz w:val="1"/>
                <w:szCs w:val="1"/>
                <w:color w:val="auto"/>
              </w:rPr>
            </w:pPr>
          </w:p>
        </w:tc>
      </w:tr>
      <w:tr>
        <w:trPr>
          <w:trHeight w:val="261"/>
        </w:trPr>
        <w:tc>
          <w:tcPr>
            <w:tcW w:w="7600" w:type="dxa"/>
            <w:vAlign w:val="bottom"/>
          </w:tcPr>
          <w:p>
            <w:pPr>
              <w:spacing w:after="0"/>
              <w:rPr>
                <w:sz w:val="20"/>
                <w:szCs w:val="20"/>
                <w:color w:val="auto"/>
              </w:rPr>
            </w:pPr>
            <w:r>
              <w:rPr>
                <w:rFonts w:ascii="Arial" w:cs="Arial" w:eastAsia="Arial" w:hAnsi="Arial"/>
                <w:sz w:val="20"/>
                <w:szCs w:val="20"/>
                <w:color w:val="auto"/>
              </w:rPr>
              <w:t>Corporate</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8"/>
              </w:rPr>
              <w:t>24</w:t>
            </w:r>
          </w:p>
        </w:tc>
        <w:tc>
          <w:tcPr>
            <w:tcW w:w="0" w:type="dxa"/>
            <w:vAlign w:val="bottom"/>
          </w:tcPr>
          <w:p>
            <w:pPr>
              <w:spacing w:after="0"/>
              <w:rPr>
                <w:sz w:val="1"/>
                <w:szCs w:val="1"/>
                <w:color w:val="auto"/>
              </w:rPr>
            </w:pPr>
          </w:p>
        </w:tc>
      </w:tr>
      <w:tr>
        <w:trPr>
          <w:trHeight w:val="473"/>
        </w:trPr>
        <w:tc>
          <w:tcPr>
            <w:tcW w:w="7600" w:type="dxa"/>
            <w:vAlign w:val="bottom"/>
          </w:tcPr>
          <w:p>
            <w:pPr>
              <w:spacing w:after="0"/>
              <w:rPr>
                <w:sz w:val="20"/>
                <w:szCs w:val="20"/>
                <w:color w:val="auto"/>
              </w:rPr>
            </w:pPr>
            <w:r>
              <w:rPr>
                <w:rFonts w:ascii="Arial" w:cs="Arial" w:eastAsia="Arial" w:hAnsi="Arial"/>
                <w:sz w:val="20"/>
                <w:szCs w:val="20"/>
                <w:color w:val="auto"/>
              </w:rPr>
              <w:t>Credit-Related Information</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7"/>
              </w:rPr>
              <w:t>25–28</w:t>
            </w:r>
          </w:p>
        </w:tc>
        <w:tc>
          <w:tcPr>
            <w:tcW w:w="0" w:type="dxa"/>
            <w:vAlign w:val="bottom"/>
          </w:tcPr>
          <w:p>
            <w:pPr>
              <w:spacing w:after="0"/>
              <w:rPr>
                <w:sz w:val="1"/>
                <w:szCs w:val="1"/>
                <w:color w:val="auto"/>
              </w:rPr>
            </w:pPr>
          </w:p>
        </w:tc>
      </w:tr>
      <w:tr>
        <w:trPr>
          <w:trHeight w:val="468"/>
        </w:trPr>
        <w:tc>
          <w:tcPr>
            <w:tcW w:w="7600" w:type="dxa"/>
            <w:vAlign w:val="bottom"/>
          </w:tcPr>
          <w:p>
            <w:pPr>
              <w:spacing w:after="0"/>
              <w:rPr>
                <w:sz w:val="20"/>
                <w:szCs w:val="20"/>
                <w:color w:val="auto"/>
              </w:rPr>
            </w:pPr>
            <w:r>
              <w:rPr>
                <w:rFonts w:ascii="Arial" w:cs="Arial" w:eastAsia="Arial" w:hAnsi="Arial"/>
                <w:sz w:val="20"/>
                <w:szCs w:val="20"/>
                <w:color w:val="auto"/>
              </w:rPr>
              <w:t>Non-GAAP Financial Measures</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8"/>
              </w:rPr>
              <w:t>29</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20"/>
                <w:szCs w:val="20"/>
                <w:color w:val="auto"/>
              </w:rPr>
              <w:t>Supplemental Information on First Republic</w:t>
            </w:r>
          </w:p>
        </w:tc>
        <w:tc>
          <w:tcPr>
            <w:tcW w:w="3040" w:type="dxa"/>
            <w:vAlign w:val="bottom"/>
          </w:tcPr>
          <w:p>
            <w:pPr>
              <w:jc w:val="center"/>
              <w:ind w:left="2241"/>
              <w:spacing w:after="0"/>
              <w:rPr>
                <w:sz w:val="20"/>
                <w:szCs w:val="20"/>
                <w:color w:val="auto"/>
              </w:rPr>
            </w:pPr>
            <w:r>
              <w:rPr>
                <w:rFonts w:ascii="Arial" w:cs="Arial" w:eastAsia="Arial" w:hAnsi="Arial"/>
                <w:sz w:val="20"/>
                <w:szCs w:val="20"/>
                <w:color w:val="auto"/>
                <w:w w:val="98"/>
              </w:rPr>
              <w:t>30</w:t>
            </w:r>
          </w:p>
        </w:tc>
        <w:tc>
          <w:tcPr>
            <w:tcW w:w="0" w:type="dxa"/>
            <w:vAlign w:val="bottom"/>
          </w:tcPr>
          <w:p>
            <w:pPr>
              <w:spacing w:after="0"/>
              <w:rPr>
                <w:sz w:val="1"/>
                <w:szCs w:val="1"/>
                <w:color w:val="auto"/>
              </w:rPr>
            </w:pPr>
          </w:p>
        </w:tc>
      </w:tr>
      <w:tr>
        <w:trPr>
          <w:trHeight w:val="261"/>
        </w:trPr>
        <w:tc>
          <w:tcPr>
            <w:tcW w:w="7600" w:type="dxa"/>
            <w:vAlign w:val="bottom"/>
          </w:tcPr>
          <w:p>
            <w:pPr>
              <w:spacing w:after="0"/>
              <w:rPr>
                <w:sz w:val="20"/>
                <w:szCs w:val="20"/>
                <w:color w:val="auto"/>
              </w:rPr>
            </w:pPr>
            <w:r>
              <w:rPr>
                <w:rFonts w:ascii="Arial" w:cs="Arial" w:eastAsia="Arial" w:hAnsi="Arial"/>
                <w:sz w:val="20"/>
                <w:szCs w:val="20"/>
                <w:color w:val="auto"/>
              </w:rPr>
              <w:t>Glossary of Terms and Acronyms (a)</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32" w:right="20" w:hanging="332"/>
        <w:spacing w:after="0" w:line="261" w:lineRule="auto"/>
        <w:tabs>
          <w:tab w:leader="none" w:pos="344"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Refer to the Glossary of Terms and Acronyms on pages 297–303 of JPMorgan Chase &amp; Co.’s (the “Firm’s”) Annual Report on Form 10-K for the year ended December 31, 2022 (the “2022 Form 10-K”) and</w:t>
      </w:r>
    </w:p>
    <w:p>
      <w:pPr>
        <w:spacing w:after="0" w:line="1" w:lineRule="exact"/>
        <w:rPr>
          <w:rFonts w:ascii="Arial" w:cs="Arial" w:eastAsia="Arial" w:hAnsi="Arial"/>
          <w:sz w:val="14"/>
          <w:szCs w:val="14"/>
          <w:color w:val="auto"/>
        </w:rPr>
      </w:pPr>
    </w:p>
    <w:p>
      <w:pPr>
        <w:ind w:left="332"/>
        <w:spacing w:after="0" w:line="284" w:lineRule="auto"/>
        <w:rPr>
          <w:rFonts w:ascii="Arial" w:cs="Arial" w:eastAsia="Arial" w:hAnsi="Arial"/>
          <w:sz w:val="14"/>
          <w:szCs w:val="14"/>
          <w:color w:val="auto"/>
        </w:rPr>
      </w:pPr>
      <w:r>
        <w:rPr>
          <w:rFonts w:ascii="Arial" w:cs="Arial" w:eastAsia="Arial" w:hAnsi="Arial"/>
          <w:sz w:val="14"/>
          <w:szCs w:val="14"/>
          <w:color w:val="auto"/>
        </w:rPr>
        <w:t>the Glossary of Terms and Acronyms and Line of Business Metrics on pages 200-205 and pages 206-208 respectively, of the Firm’s Quarterly Report on Form 10-Q for the quarterly period ended September 30, 2023.</w:t>
      </w:r>
    </w:p>
    <w:p>
      <w:pPr>
        <w:sectPr>
          <w:pgSz w:w="11900" w:h="16838" w:orient="portrait"/>
          <w:cols w:equalWidth="0" w:num="1">
            <w:col w:w="11192"/>
          </w:cols>
          <w:pgMar w:left="328" w:top="669" w:right="379" w:bottom="1440" w:gutter="0" w:footer="0" w:header="0"/>
        </w:sectPr>
      </w:pPr>
    </w:p>
    <w:bookmarkStart w:id="13" w:name="page14"/>
    <w:bookmarkEnd w:id="13"/>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22225</wp:posOffset>
            </wp:positionV>
            <wp:extent cx="229743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9743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FINANCIAL</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HIGHLIGHTS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per share and ratio data)</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rPr>
              <w:t>QUARTERLY TRENDS</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FULL YEAR</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3"/>
            <w:vMerge w:val="restart"/>
          </w:tcPr>
          <w:p>
            <w:pPr>
              <w:jc w:val="right"/>
              <w:ind w:right="206"/>
              <w:spacing w:after="0"/>
              <w:rPr>
                <w:sz w:val="20"/>
                <w:szCs w:val="20"/>
                <w:color w:val="auto"/>
              </w:rPr>
            </w:pPr>
            <w:r>
              <w:rPr>
                <w:rFonts w:ascii="Arial" w:cs="Arial" w:eastAsia="Arial" w:hAnsi="Arial"/>
                <w:sz w:val="11"/>
                <w:szCs w:val="11"/>
                <w:b w:val="1"/>
                <w:bCs w:val="1"/>
                <w:color w:val="auto"/>
              </w:rPr>
              <w:t>4Q23 Change</w:t>
            </w:r>
          </w:p>
        </w:tc>
        <w:tc>
          <w:tcPr>
            <w:tcW w:w="38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ind w:right="166"/>
              <w:spacing w:after="0" w:line="109" w:lineRule="exact"/>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Borders>
              <w:bottom w:val="single" w:sz="8" w:color="auto"/>
            </w:tcBorders>
            <w:gridSpan w:val="3"/>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08"/>
        </w:trPr>
        <w:tc>
          <w:tcPr>
            <w:tcW w:w="2000" w:type="dxa"/>
            <w:vAlign w:val="bottom"/>
            <w:gridSpan w:val="7"/>
          </w:tcPr>
          <w:p>
            <w:pPr>
              <w:spacing w:after="0" w:line="108" w:lineRule="exact"/>
              <w:rPr>
                <w:sz w:val="20"/>
                <w:szCs w:val="20"/>
                <w:color w:val="auto"/>
              </w:rPr>
            </w:pPr>
            <w:r>
              <w:rPr>
                <w:rFonts w:ascii="Arial" w:cs="Arial" w:eastAsia="Arial" w:hAnsi="Arial"/>
                <w:sz w:val="11"/>
                <w:szCs w:val="11"/>
                <w:b w:val="1"/>
                <w:bCs w:val="1"/>
                <w:color w:val="auto"/>
              </w:rPr>
              <w:t>SELECTED INCOME STATEMENT</w:t>
            </w:r>
          </w:p>
        </w:tc>
        <w:tc>
          <w:tcPr>
            <w:tcW w:w="100" w:type="dxa"/>
            <w:vAlign w:val="bottom"/>
          </w:tcPr>
          <w:p>
            <w:pPr>
              <w:spacing w:after="0"/>
              <w:rPr>
                <w:sz w:val="9"/>
                <w:szCs w:val="9"/>
                <w:color w:val="auto"/>
              </w:rPr>
            </w:pPr>
          </w:p>
        </w:tc>
        <w:tc>
          <w:tcPr>
            <w:tcW w:w="58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4Q23</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3Q23</w:t>
            </w:r>
          </w:p>
        </w:tc>
        <w:tc>
          <w:tcPr>
            <w:tcW w:w="100" w:type="dxa"/>
            <w:vAlign w:val="bottom"/>
          </w:tcPr>
          <w:p>
            <w:pPr>
              <w:spacing w:after="0"/>
              <w:rPr>
                <w:sz w:val="9"/>
                <w:szCs w:val="9"/>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2Q23</w:t>
            </w:r>
          </w:p>
        </w:tc>
        <w:tc>
          <w:tcPr>
            <w:tcW w:w="120" w:type="dxa"/>
            <w:vAlign w:val="bottom"/>
          </w:tcPr>
          <w:p>
            <w:pPr>
              <w:spacing w:after="0"/>
              <w:rPr>
                <w:sz w:val="9"/>
                <w:szCs w:val="9"/>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1Q23</w:t>
            </w:r>
          </w:p>
        </w:tc>
        <w:tc>
          <w:tcPr>
            <w:tcW w:w="100" w:type="dxa"/>
            <w:vAlign w:val="bottom"/>
          </w:tcPr>
          <w:p>
            <w:pPr>
              <w:spacing w:after="0"/>
              <w:rPr>
                <w:sz w:val="9"/>
                <w:szCs w:val="9"/>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4Q22</w:t>
            </w: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3Q23</w:t>
            </w:r>
          </w:p>
        </w:tc>
        <w:tc>
          <w:tcPr>
            <w:tcW w:w="8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4Q22</w:t>
            </w:r>
          </w:p>
        </w:tc>
        <w:tc>
          <w:tcPr>
            <w:tcW w:w="100" w:type="dxa"/>
            <w:vAlign w:val="bottom"/>
          </w:tcPr>
          <w:p>
            <w:pPr>
              <w:spacing w:after="0"/>
              <w:rPr>
                <w:sz w:val="9"/>
                <w:szCs w:val="9"/>
                <w:color w:val="auto"/>
              </w:rPr>
            </w:pPr>
          </w:p>
        </w:tc>
        <w:tc>
          <w:tcPr>
            <w:tcW w:w="56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2022</w:t>
            </w:r>
          </w:p>
        </w:tc>
        <w:tc>
          <w:tcPr>
            <w:tcW w:w="180" w:type="dxa"/>
            <w:vAlign w:val="bottom"/>
          </w:tcPr>
          <w:p>
            <w:pPr>
              <w:spacing w:after="0"/>
              <w:rPr>
                <w:sz w:val="9"/>
                <w:szCs w:val="9"/>
                <w:color w:val="auto"/>
              </w:rPr>
            </w:pPr>
          </w:p>
        </w:tc>
        <w:tc>
          <w:tcPr>
            <w:tcW w:w="68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88"/>
        </w:trPr>
        <w:tc>
          <w:tcPr>
            <w:tcW w:w="1720" w:type="dxa"/>
            <w:vAlign w:val="bottom"/>
            <w:tcBorders>
              <w:top w:val="single" w:sz="8" w:color="auto"/>
            </w:tcBorders>
            <w:gridSpan w:val="5"/>
          </w:tcPr>
          <w:p>
            <w:pPr>
              <w:spacing w:after="0" w:line="88" w:lineRule="exact"/>
              <w:rPr>
                <w:sz w:val="20"/>
                <w:szCs w:val="20"/>
                <w:color w:val="auto"/>
              </w:rPr>
            </w:pPr>
            <w:r>
              <w:rPr>
                <w:rFonts w:ascii="Arial" w:cs="Arial" w:eastAsia="Arial" w:hAnsi="Arial"/>
                <w:sz w:val="10"/>
                <w:szCs w:val="10"/>
                <w:b w:val="1"/>
                <w:bCs w:val="1"/>
                <w:color w:val="auto"/>
              </w:rPr>
              <w:t>DATA</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00" w:type="dxa"/>
            <w:vAlign w:val="bottom"/>
            <w:gridSpan w:val="7"/>
            <w:vMerge w:val="restart"/>
          </w:tcPr>
          <w:p>
            <w:pPr>
              <w:spacing w:after="0"/>
              <w:rPr>
                <w:sz w:val="20"/>
                <w:szCs w:val="20"/>
                <w:color w:val="auto"/>
              </w:rPr>
            </w:pPr>
            <w:r>
              <w:rPr>
                <w:rFonts w:ascii="Arial" w:cs="Arial" w:eastAsia="Arial" w:hAnsi="Arial"/>
                <w:sz w:val="11"/>
                <w:szCs w:val="11"/>
                <w:b w:val="1"/>
                <w:bCs w:val="1"/>
                <w:color w:val="auto"/>
              </w:rPr>
              <w:t>Reported Basis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0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00" w:type="dxa"/>
            <w:vAlign w:val="bottom"/>
            <w:gridSpan w:val="7"/>
          </w:tcPr>
          <w:p>
            <w:pPr>
              <w:spacing w:after="0"/>
              <w:rPr>
                <w:sz w:val="20"/>
                <w:szCs w:val="20"/>
                <w:color w:val="auto"/>
              </w:rPr>
            </w:pPr>
            <w:r>
              <w:rPr>
                <w:rFonts w:ascii="Arial" w:cs="Arial" w:eastAsia="Arial" w:hAnsi="Arial"/>
                <w:sz w:val="11"/>
                <w:szCs w:val="11"/>
                <w:color w:val="auto"/>
              </w:rPr>
              <w:t>Total net revenue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38,574</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39,874</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41,307</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38,349</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34,547</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12 %</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158,104</w:t>
            </w:r>
          </w:p>
        </w:tc>
        <w:tc>
          <w:tcPr>
            <w:tcW w:w="24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128,695</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62"/>
        </w:trPr>
        <w:tc>
          <w:tcPr>
            <w:tcW w:w="2000" w:type="dxa"/>
            <w:vAlign w:val="bottom"/>
            <w:gridSpan w:val="7"/>
          </w:tcPr>
          <w:p>
            <w:pPr>
              <w:spacing w:after="0"/>
              <w:rPr>
                <w:sz w:val="20"/>
                <w:szCs w:val="20"/>
                <w:color w:val="auto"/>
              </w:rPr>
            </w:pPr>
            <w:r>
              <w:rPr>
                <w:rFonts w:ascii="Arial" w:cs="Arial" w:eastAsia="Arial" w:hAnsi="Arial"/>
                <w:sz w:val="11"/>
                <w:szCs w:val="11"/>
                <w:color w:val="auto"/>
              </w:rPr>
              <w:t>Total noninterest expense</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24,486</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21,757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20,822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20,107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19,022</w:t>
            </w:r>
          </w:p>
        </w:tc>
        <w:tc>
          <w:tcPr>
            <w:tcW w:w="16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87,172</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76,140</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2000" w:type="dxa"/>
            <w:vAlign w:val="bottom"/>
            <w:gridSpan w:val="7"/>
          </w:tcPr>
          <w:p>
            <w:pPr>
              <w:spacing w:after="0"/>
              <w:rPr>
                <w:sz w:val="20"/>
                <w:szCs w:val="20"/>
                <w:color w:val="auto"/>
              </w:rPr>
            </w:pPr>
            <w:r>
              <w:rPr>
                <w:rFonts w:ascii="Arial" w:cs="Arial" w:eastAsia="Arial" w:hAnsi="Arial"/>
                <w:sz w:val="11"/>
                <w:szCs w:val="11"/>
                <w:color w:val="auto"/>
              </w:rPr>
              <w:t>Pre-provision profit (a)</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14,088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18,117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20,485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18,242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15,525</w:t>
            </w:r>
          </w:p>
        </w:tc>
        <w:tc>
          <w:tcPr>
            <w:tcW w:w="16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70,932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52,555</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62"/>
        </w:trPr>
        <w:tc>
          <w:tcPr>
            <w:tcW w:w="2000" w:type="dxa"/>
            <w:vAlign w:val="bottom"/>
            <w:gridSpan w:val="7"/>
          </w:tcPr>
          <w:p>
            <w:pPr>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2,762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1,384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2,899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2,275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2,288</w:t>
            </w:r>
          </w:p>
        </w:tc>
        <w:tc>
          <w:tcPr>
            <w:tcW w:w="16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9,320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6,389</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68"/>
        </w:trPr>
        <w:tc>
          <w:tcPr>
            <w:tcW w:w="2000" w:type="dxa"/>
            <w:vAlign w:val="bottom"/>
            <w:gridSpan w:val="7"/>
          </w:tcPr>
          <w:p>
            <w:pPr>
              <w:ind w:left="120"/>
              <w:spacing w:after="0"/>
              <w:rPr>
                <w:sz w:val="20"/>
                <w:szCs w:val="20"/>
                <w:color w:val="auto"/>
              </w:rPr>
            </w:pPr>
            <w:r>
              <w:rPr>
                <w:rFonts w:ascii="Arial" w:cs="Arial" w:eastAsia="Arial" w:hAnsi="Arial"/>
                <w:sz w:val="11"/>
                <w:szCs w:val="11"/>
                <w:b w:val="1"/>
                <w:bCs w:val="1"/>
                <w:color w:val="auto"/>
              </w:rPr>
              <w:t>NET INCOME</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9,307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13,151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14,472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12,622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11,008</w:t>
            </w:r>
          </w:p>
        </w:tc>
        <w:tc>
          <w:tcPr>
            <w:tcW w:w="16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49,552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37,676</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324"/>
        </w:trPr>
        <w:tc>
          <w:tcPr>
            <w:tcW w:w="2000" w:type="dxa"/>
            <w:vAlign w:val="bottom"/>
            <w:gridSpan w:val="7"/>
          </w:tcPr>
          <w:p>
            <w:pPr>
              <w:spacing w:after="0"/>
              <w:rPr>
                <w:sz w:val="20"/>
                <w:szCs w:val="20"/>
                <w:color w:val="auto"/>
              </w:rPr>
            </w:pPr>
            <w:r>
              <w:rPr>
                <w:rFonts w:ascii="Arial" w:cs="Arial" w:eastAsia="Arial" w:hAnsi="Arial"/>
                <w:sz w:val="11"/>
                <w:szCs w:val="11"/>
                <w:b w:val="1"/>
                <w:bCs w:val="1"/>
                <w:color w:val="auto"/>
              </w:rPr>
              <w:t>Managed Basis (b)</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00" w:type="dxa"/>
            <w:vAlign w:val="bottom"/>
            <w:gridSpan w:val="7"/>
          </w:tcPr>
          <w:p>
            <w:pPr>
              <w:spacing w:after="0"/>
              <w:rPr>
                <w:sz w:val="20"/>
                <w:szCs w:val="20"/>
                <w:color w:val="auto"/>
              </w:rPr>
            </w:pPr>
            <w:r>
              <w:rPr>
                <w:rFonts w:ascii="Arial" w:cs="Arial" w:eastAsia="Arial" w:hAnsi="Arial"/>
                <w:sz w:val="11"/>
                <w:szCs w:val="11"/>
                <w:color w:val="auto"/>
              </w:rPr>
              <w:t>Total net revenue</w:t>
            </w:r>
          </w:p>
        </w:tc>
        <w:tc>
          <w:tcPr>
            <w:tcW w:w="10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39,943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40,686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42,401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39,336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35,566</w:t>
            </w:r>
          </w:p>
        </w:tc>
        <w:tc>
          <w:tcPr>
            <w:tcW w:w="16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162,366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132,277</w:t>
            </w:r>
          </w:p>
        </w:tc>
        <w:tc>
          <w:tcPr>
            <w:tcW w:w="18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62"/>
        </w:trPr>
        <w:tc>
          <w:tcPr>
            <w:tcW w:w="2000" w:type="dxa"/>
            <w:vAlign w:val="bottom"/>
            <w:gridSpan w:val="7"/>
          </w:tcPr>
          <w:p>
            <w:pPr>
              <w:spacing w:after="0"/>
              <w:rPr>
                <w:sz w:val="20"/>
                <w:szCs w:val="20"/>
                <w:color w:val="auto"/>
              </w:rPr>
            </w:pPr>
            <w:r>
              <w:rPr>
                <w:rFonts w:ascii="Arial" w:cs="Arial" w:eastAsia="Arial" w:hAnsi="Arial"/>
                <w:sz w:val="11"/>
                <w:szCs w:val="11"/>
                <w:color w:val="auto"/>
              </w:rPr>
              <w:t>Total noninterest expense</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24,486</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21,757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20,822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20,107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19,022</w:t>
            </w:r>
          </w:p>
        </w:tc>
        <w:tc>
          <w:tcPr>
            <w:tcW w:w="16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87,172</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76,140</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2000" w:type="dxa"/>
            <w:vAlign w:val="bottom"/>
            <w:gridSpan w:val="7"/>
          </w:tcPr>
          <w:p>
            <w:pPr>
              <w:spacing w:after="0"/>
              <w:rPr>
                <w:sz w:val="20"/>
                <w:szCs w:val="20"/>
                <w:color w:val="auto"/>
              </w:rPr>
            </w:pPr>
            <w:r>
              <w:rPr>
                <w:rFonts w:ascii="Arial" w:cs="Arial" w:eastAsia="Arial" w:hAnsi="Arial"/>
                <w:sz w:val="11"/>
                <w:szCs w:val="11"/>
                <w:color w:val="auto"/>
              </w:rPr>
              <w:t>Pre-provision profit (a)</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15,457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18,929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21,579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19,229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16,544</w:t>
            </w:r>
          </w:p>
        </w:tc>
        <w:tc>
          <w:tcPr>
            <w:tcW w:w="16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75,194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56,137</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62"/>
        </w:trPr>
        <w:tc>
          <w:tcPr>
            <w:tcW w:w="2000" w:type="dxa"/>
            <w:vAlign w:val="bottom"/>
            <w:gridSpan w:val="7"/>
          </w:tcPr>
          <w:p>
            <w:pPr>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2,762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1,384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2,899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2,275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2,288</w:t>
            </w:r>
          </w:p>
        </w:tc>
        <w:tc>
          <w:tcPr>
            <w:tcW w:w="16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9,320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6,389</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68"/>
        </w:trPr>
        <w:tc>
          <w:tcPr>
            <w:tcW w:w="2000" w:type="dxa"/>
            <w:vAlign w:val="bottom"/>
            <w:gridSpan w:val="7"/>
          </w:tcPr>
          <w:p>
            <w:pPr>
              <w:ind w:left="120"/>
              <w:spacing w:after="0"/>
              <w:rPr>
                <w:sz w:val="20"/>
                <w:szCs w:val="20"/>
                <w:color w:val="auto"/>
              </w:rPr>
            </w:pPr>
            <w:r>
              <w:rPr>
                <w:rFonts w:ascii="Arial" w:cs="Arial" w:eastAsia="Arial" w:hAnsi="Arial"/>
                <w:sz w:val="11"/>
                <w:szCs w:val="11"/>
                <w:b w:val="1"/>
                <w:bCs w:val="1"/>
                <w:color w:val="auto"/>
              </w:rPr>
              <w:t>NET INCOME</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9,307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13,151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14,472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12,622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11,008</w:t>
            </w:r>
          </w:p>
        </w:tc>
        <w:tc>
          <w:tcPr>
            <w:tcW w:w="16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49,552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37,676</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298"/>
        </w:trPr>
        <w:tc>
          <w:tcPr>
            <w:tcW w:w="2000" w:type="dxa"/>
            <w:vAlign w:val="bottom"/>
            <w:gridSpan w:val="7"/>
          </w:tcPr>
          <w:p>
            <w:pPr>
              <w:spacing w:after="0"/>
              <w:rPr>
                <w:sz w:val="20"/>
                <w:szCs w:val="20"/>
                <w:color w:val="auto"/>
              </w:rPr>
            </w:pPr>
            <w:r>
              <w:rPr>
                <w:rFonts w:ascii="Arial" w:cs="Arial" w:eastAsia="Arial" w:hAnsi="Arial"/>
                <w:sz w:val="11"/>
                <w:szCs w:val="11"/>
                <w:b w:val="1"/>
                <w:bCs w:val="1"/>
                <w:color w:val="auto"/>
              </w:rPr>
              <w:t>EARNINGS PER SHARE DATA</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54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Net income: Basic</w:t>
            </w:r>
          </w:p>
        </w:tc>
        <w:tc>
          <w:tcPr>
            <w:tcW w:w="460" w:type="dxa"/>
            <w:vAlign w:val="bottom"/>
            <w:gridSpan w:val="3"/>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3.04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4.33</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4.76</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4.11</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3.58</w:t>
            </w:r>
          </w:p>
        </w:tc>
        <w:tc>
          <w:tcPr>
            <w:tcW w:w="16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(30)</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16.25</w:t>
            </w:r>
          </w:p>
        </w:tc>
        <w:tc>
          <w:tcPr>
            <w:tcW w:w="2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12.10</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720" w:type="dxa"/>
            <w:vAlign w:val="bottom"/>
            <w:gridSpan w:val="6"/>
          </w:tcPr>
          <w:p>
            <w:pPr>
              <w:ind w:left="580"/>
              <w:spacing w:after="0"/>
              <w:rPr>
                <w:sz w:val="20"/>
                <w:szCs w:val="20"/>
                <w:color w:val="auto"/>
              </w:rPr>
            </w:pPr>
            <w:r>
              <w:rPr>
                <w:rFonts w:ascii="Arial" w:cs="Arial" w:eastAsia="Arial" w:hAnsi="Arial"/>
                <w:sz w:val="11"/>
                <w:szCs w:val="11"/>
                <w:color w:val="auto"/>
              </w:rPr>
              <w:t>Diluted</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3.04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4.33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4.75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4.10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3.57</w:t>
            </w:r>
          </w:p>
        </w:tc>
        <w:tc>
          <w:tcPr>
            <w:tcW w:w="16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(30)</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16.23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12.09</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62"/>
        </w:trPr>
        <w:tc>
          <w:tcPr>
            <w:tcW w:w="2000" w:type="dxa"/>
            <w:vAlign w:val="bottom"/>
            <w:gridSpan w:val="7"/>
          </w:tcPr>
          <w:p>
            <w:pPr>
              <w:spacing w:after="0"/>
              <w:rPr>
                <w:sz w:val="20"/>
                <w:szCs w:val="20"/>
                <w:color w:val="auto"/>
              </w:rPr>
            </w:pPr>
            <w:r>
              <w:rPr>
                <w:rFonts w:ascii="Arial" w:cs="Arial" w:eastAsia="Arial" w:hAnsi="Arial"/>
                <w:sz w:val="11"/>
                <w:szCs w:val="11"/>
                <w:color w:val="auto"/>
              </w:rPr>
              <w:t>Average shares: Basic</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2,914.4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2,927.5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2,943.8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2,968.5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2,962.9</w:t>
            </w:r>
          </w:p>
        </w:tc>
        <w:tc>
          <w:tcPr>
            <w:tcW w:w="16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2,938.6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2,965.8</w:t>
            </w:r>
          </w:p>
        </w:tc>
        <w:tc>
          <w:tcPr>
            <w:tcW w:w="18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720" w:type="dxa"/>
            <w:vAlign w:val="bottom"/>
            <w:gridSpan w:val="6"/>
          </w:tcPr>
          <w:p>
            <w:pPr>
              <w:ind w:left="580"/>
              <w:spacing w:after="0"/>
              <w:rPr>
                <w:sz w:val="20"/>
                <w:szCs w:val="20"/>
                <w:color w:val="auto"/>
              </w:rPr>
            </w:pPr>
            <w:r>
              <w:rPr>
                <w:rFonts w:ascii="Arial" w:cs="Arial" w:eastAsia="Arial" w:hAnsi="Arial"/>
                <w:sz w:val="11"/>
                <w:szCs w:val="11"/>
                <w:color w:val="auto"/>
              </w:rPr>
              <w:t>Diluted</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2,919.1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2,932.1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2,948.3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2,972.7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2,967.1</w:t>
            </w:r>
          </w:p>
        </w:tc>
        <w:tc>
          <w:tcPr>
            <w:tcW w:w="16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2,943.1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2,970.0</w:t>
            </w:r>
          </w:p>
        </w:tc>
        <w:tc>
          <w:tcPr>
            <w:tcW w:w="18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303"/>
        </w:trPr>
        <w:tc>
          <w:tcPr>
            <w:tcW w:w="2000" w:type="dxa"/>
            <w:vAlign w:val="bottom"/>
            <w:gridSpan w:val="7"/>
          </w:tcPr>
          <w:p>
            <w:pPr>
              <w:spacing w:after="0"/>
              <w:rPr>
                <w:sz w:val="20"/>
                <w:szCs w:val="20"/>
                <w:color w:val="auto"/>
              </w:rPr>
            </w:pPr>
            <w:r>
              <w:rPr>
                <w:rFonts w:ascii="Arial" w:cs="Arial" w:eastAsia="Arial" w:hAnsi="Arial"/>
                <w:sz w:val="11"/>
                <w:szCs w:val="11"/>
                <w:b w:val="1"/>
                <w:bCs w:val="1"/>
                <w:color w:val="auto"/>
              </w:rPr>
              <w:t>MARKET AND PER COMMON SHARE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920" w:type="dxa"/>
            <w:vAlign w:val="bottom"/>
            <w:tcBorders>
              <w:top w:val="single" w:sz="8" w:color="auto"/>
            </w:tcBorders>
            <w:gridSpan w:val="6"/>
          </w:tcPr>
          <w:p>
            <w:pPr>
              <w:spacing w:after="0" w:line="88" w:lineRule="exact"/>
              <w:rPr>
                <w:sz w:val="20"/>
                <w:szCs w:val="20"/>
                <w:color w:val="auto"/>
              </w:rPr>
            </w:pPr>
            <w:r>
              <w:rPr>
                <w:rFonts w:ascii="Arial" w:cs="Arial" w:eastAsia="Arial" w:hAnsi="Arial"/>
                <w:sz w:val="10"/>
                <w:szCs w:val="10"/>
                <w:b w:val="1"/>
                <w:bCs w:val="1"/>
                <w:color w:val="auto"/>
              </w:rPr>
              <w:t>DATA</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00" w:type="dxa"/>
            <w:vAlign w:val="bottom"/>
            <w:gridSpan w:val="7"/>
          </w:tcPr>
          <w:p>
            <w:pPr>
              <w:spacing w:after="0"/>
              <w:rPr>
                <w:sz w:val="20"/>
                <w:szCs w:val="20"/>
                <w:color w:val="auto"/>
              </w:rPr>
            </w:pPr>
            <w:r>
              <w:rPr>
                <w:rFonts w:ascii="Arial" w:cs="Arial" w:eastAsia="Arial" w:hAnsi="Arial"/>
                <w:sz w:val="11"/>
                <w:szCs w:val="11"/>
                <w:color w:val="auto"/>
              </w:rPr>
              <w:t>Market capitalization</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489,320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419,254</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422,661</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w w:val="95"/>
              </w:rPr>
              <w:t>380,803</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393,484</w:t>
            </w:r>
          </w:p>
        </w:tc>
        <w:tc>
          <w:tcPr>
            <w:tcW w:w="16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24</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489,320</w:t>
            </w:r>
          </w:p>
        </w:tc>
        <w:tc>
          <w:tcPr>
            <w:tcW w:w="2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393,484</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62"/>
        </w:trPr>
        <w:tc>
          <w:tcPr>
            <w:tcW w:w="2000" w:type="dxa"/>
            <w:vAlign w:val="bottom"/>
            <w:gridSpan w:val="7"/>
          </w:tcPr>
          <w:p>
            <w:pPr>
              <w:spacing w:after="0"/>
              <w:rPr>
                <w:sz w:val="20"/>
                <w:szCs w:val="20"/>
                <w:color w:val="auto"/>
              </w:rPr>
            </w:pPr>
            <w:r>
              <w:rPr>
                <w:rFonts w:ascii="Arial" w:cs="Arial" w:eastAsia="Arial" w:hAnsi="Arial"/>
                <w:sz w:val="11"/>
                <w:szCs w:val="11"/>
                <w:color w:val="auto"/>
              </w:rPr>
              <w:t>Common shares at period-end</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2,876.7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2,891.0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2,906.1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2,922.3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2,934.3</w:t>
            </w:r>
          </w:p>
        </w:tc>
        <w:tc>
          <w:tcPr>
            <w:tcW w:w="16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2,876.7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2,934.3</w:t>
            </w:r>
          </w:p>
        </w:tc>
        <w:tc>
          <w:tcPr>
            <w:tcW w:w="18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000" w:type="dxa"/>
            <w:vAlign w:val="bottom"/>
            <w:gridSpan w:val="7"/>
          </w:tcPr>
          <w:p>
            <w:pPr>
              <w:spacing w:after="0"/>
              <w:rPr>
                <w:sz w:val="20"/>
                <w:szCs w:val="20"/>
                <w:color w:val="auto"/>
              </w:rPr>
            </w:pPr>
            <w:r>
              <w:rPr>
                <w:rFonts w:ascii="Arial" w:cs="Arial" w:eastAsia="Arial" w:hAnsi="Arial"/>
                <w:sz w:val="11"/>
                <w:szCs w:val="11"/>
                <w:color w:val="auto"/>
              </w:rPr>
              <w:t>Book value per share</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104.45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100.30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98.11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94.34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90.29</w:t>
            </w:r>
          </w:p>
        </w:tc>
        <w:tc>
          <w:tcPr>
            <w:tcW w:w="16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104.45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90.29</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28"/>
        </w:trPr>
        <w:tc>
          <w:tcPr>
            <w:tcW w:w="2000" w:type="dxa"/>
            <w:vAlign w:val="bottom"/>
            <w:gridSpan w:val="7"/>
          </w:tcPr>
          <w:p>
            <w:pPr>
              <w:spacing w:after="0"/>
              <w:rPr>
                <w:sz w:val="20"/>
                <w:szCs w:val="20"/>
                <w:color w:val="auto"/>
              </w:rPr>
            </w:pPr>
            <w:r>
              <w:rPr>
                <w:rFonts w:ascii="Arial" w:cs="Arial" w:eastAsia="Arial" w:hAnsi="Arial"/>
                <w:sz w:val="11"/>
                <w:szCs w:val="11"/>
                <w:color w:val="auto"/>
                <w:w w:val="98"/>
              </w:rPr>
              <w:t>Tangible book value per share (“TBVPS”)</w:t>
            </w:r>
          </w:p>
        </w:tc>
        <w:tc>
          <w:tcPr>
            <w:tcW w:w="10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86.08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82.04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79.90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76.69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73.12</w:t>
            </w:r>
          </w:p>
        </w:tc>
        <w:tc>
          <w:tcPr>
            <w:tcW w:w="160" w:type="dxa"/>
            <w:vAlign w:val="bottom"/>
          </w:tcPr>
          <w:p>
            <w:pPr>
              <w:spacing w:after="0"/>
              <w:rPr>
                <w:sz w:val="11"/>
                <w:szCs w:val="11"/>
                <w:color w:val="auto"/>
              </w:rPr>
            </w:pPr>
          </w:p>
        </w:tc>
        <w:tc>
          <w:tcPr>
            <w:tcW w:w="500" w:type="dxa"/>
            <w:vAlign w:val="bottom"/>
            <w:vMerge w:val="restart"/>
          </w:tcPr>
          <w:p>
            <w:pPr>
              <w:jc w:val="right"/>
              <w:ind w:right="8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1"/>
                <w:szCs w:val="11"/>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color w:val="auto"/>
              </w:rPr>
              <w:t>18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86.08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73.12</w:t>
            </w:r>
          </w:p>
        </w:tc>
        <w:tc>
          <w:tcPr>
            <w:tcW w:w="180" w:type="dxa"/>
            <w:vAlign w:val="bottom"/>
          </w:tcPr>
          <w:p>
            <w:pPr>
              <w:spacing w:after="0"/>
              <w:rPr>
                <w:sz w:val="11"/>
                <w:szCs w:val="11"/>
                <w:color w:val="auto"/>
              </w:rPr>
            </w:pPr>
          </w:p>
        </w:tc>
        <w:tc>
          <w:tcPr>
            <w:tcW w:w="680" w:type="dxa"/>
            <w:vAlign w:val="bottom"/>
            <w:vMerge w:val="restart"/>
          </w:tcPr>
          <w:p>
            <w:pPr>
              <w:jc w:val="right"/>
              <w:ind w:right="8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42"/>
        </w:trPr>
        <w:tc>
          <w:tcPr>
            <w:tcW w:w="2000" w:type="dxa"/>
            <w:vAlign w:val="bottom"/>
            <w:gridSpan w:val="7"/>
          </w:tcPr>
          <w:p>
            <w:pPr>
              <w:spacing w:after="0"/>
              <w:rPr>
                <w:sz w:val="20"/>
                <w:szCs w:val="20"/>
                <w:color w:val="auto"/>
              </w:rPr>
            </w:pPr>
            <w:r>
              <w:rPr>
                <w:rFonts w:ascii="Arial" w:cs="Arial" w:eastAsia="Arial" w:hAnsi="Arial"/>
                <w:sz w:val="11"/>
                <w:szCs w:val="11"/>
                <w:color w:val="auto"/>
              </w:rPr>
              <w:t>(a)</w:t>
            </w: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gridSpan w:val="7"/>
          </w:tcPr>
          <w:p>
            <w:pPr>
              <w:spacing w:after="0"/>
              <w:rPr>
                <w:sz w:val="20"/>
                <w:szCs w:val="20"/>
                <w:color w:val="auto"/>
              </w:rPr>
            </w:pPr>
            <w:r>
              <w:rPr>
                <w:rFonts w:ascii="Arial" w:cs="Arial" w:eastAsia="Arial" w:hAnsi="Arial"/>
                <w:sz w:val="11"/>
                <w:szCs w:val="11"/>
                <w:color w:val="auto"/>
              </w:rPr>
              <w:t>Cash dividends declared per share</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1.05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1.05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1.00</w:t>
            </w:r>
          </w:p>
        </w:tc>
        <w:tc>
          <w:tcPr>
            <w:tcW w:w="16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4.10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4.00</w:t>
            </w:r>
          </w:p>
        </w:tc>
        <w:tc>
          <w:tcPr>
            <w:tcW w:w="18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303"/>
        </w:trPr>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6"/>
              </w:rPr>
              <w:t>FINANCIAL RATIOS (c)</w:t>
            </w:r>
          </w:p>
        </w:tc>
        <w:tc>
          <w:tcPr>
            <w:tcW w:w="82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00" w:type="dxa"/>
            <w:vAlign w:val="bottom"/>
            <w:gridSpan w:val="7"/>
          </w:tcPr>
          <w:p>
            <w:pPr>
              <w:spacing w:after="0"/>
              <w:rPr>
                <w:sz w:val="20"/>
                <w:szCs w:val="20"/>
                <w:color w:val="auto"/>
              </w:rPr>
            </w:pPr>
            <w:r>
              <w:rPr>
                <w:rFonts w:ascii="Arial" w:cs="Arial" w:eastAsia="Arial" w:hAnsi="Arial"/>
                <w:sz w:val="11"/>
                <w:szCs w:val="11"/>
                <w:color w:val="auto"/>
              </w:rPr>
              <w:t>Return on common equity (“ROE”)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12 %</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20 %</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16 %</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17 %</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14 %</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00" w:type="dxa"/>
            <w:vAlign w:val="bottom"/>
            <w:gridSpan w:val="7"/>
          </w:tcPr>
          <w:p>
            <w:pPr>
              <w:spacing w:after="0"/>
              <w:rPr>
                <w:sz w:val="20"/>
                <w:szCs w:val="20"/>
                <w:color w:val="auto"/>
              </w:rPr>
            </w:pPr>
            <w:r>
              <w:rPr>
                <w:rFonts w:ascii="Arial" w:cs="Arial" w:eastAsia="Arial" w:hAnsi="Arial"/>
                <w:sz w:val="11"/>
                <w:szCs w:val="11"/>
                <w:color w:val="auto"/>
              </w:rPr>
              <w:t>Return on tangible common equity</w:t>
            </w:r>
          </w:p>
        </w:tc>
        <w:tc>
          <w:tcPr>
            <w:tcW w:w="10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22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25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20</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18</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00" w:type="dxa"/>
            <w:vAlign w:val="bottom"/>
            <w:gridSpan w:val="7"/>
          </w:tcPr>
          <w:p>
            <w:pPr>
              <w:spacing w:after="0"/>
              <w:rPr>
                <w:sz w:val="20"/>
                <w:szCs w:val="20"/>
                <w:color w:val="auto"/>
              </w:rPr>
            </w:pPr>
            <w:r>
              <w:rPr>
                <w:rFonts w:ascii="Arial" w:cs="Arial" w:eastAsia="Arial" w:hAnsi="Arial"/>
                <w:sz w:val="11"/>
                <w:szCs w:val="11"/>
                <w:color w:val="auto"/>
              </w:rPr>
              <w:t>(“ROTCE”) (a)</w:t>
            </w: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gridSpan w:val="7"/>
          </w:tcPr>
          <w:p>
            <w:pPr>
              <w:spacing w:after="0"/>
              <w:rPr>
                <w:sz w:val="20"/>
                <w:szCs w:val="20"/>
                <w:color w:val="auto"/>
              </w:rPr>
            </w:pPr>
            <w:r>
              <w:rPr>
                <w:rFonts w:ascii="Arial" w:cs="Arial" w:eastAsia="Arial" w:hAnsi="Arial"/>
                <w:sz w:val="11"/>
                <w:szCs w:val="11"/>
                <w:color w:val="auto"/>
              </w:rPr>
              <w:t>Return on assets</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0.95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1.36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1.51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1.38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1.16</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0.98</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00" w:type="dxa"/>
            <w:vAlign w:val="bottom"/>
            <w:gridSpan w:val="7"/>
          </w:tcPr>
          <w:p>
            <w:pPr>
              <w:spacing w:after="0"/>
              <w:rPr>
                <w:sz w:val="20"/>
                <w:szCs w:val="20"/>
                <w:color w:val="auto"/>
              </w:rPr>
            </w:pPr>
            <w:r>
              <w:rPr>
                <w:rFonts w:ascii="Arial" w:cs="Arial" w:eastAsia="Arial" w:hAnsi="Arial"/>
                <w:sz w:val="11"/>
                <w:szCs w:val="11"/>
                <w:b w:val="1"/>
                <w:bCs w:val="1"/>
                <w:color w:val="auto"/>
              </w:rPr>
              <w:t>CAPITAL RATIOS (d)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00"/>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00" w:type="dxa"/>
            <w:vAlign w:val="bottom"/>
            <w:gridSpan w:val="7"/>
          </w:tcPr>
          <w:p>
            <w:pPr>
              <w:spacing w:after="0"/>
              <w:rPr>
                <w:sz w:val="20"/>
                <w:szCs w:val="20"/>
                <w:color w:val="auto"/>
              </w:rPr>
            </w:pPr>
            <w:r>
              <w:rPr>
                <w:rFonts w:ascii="Arial" w:cs="Arial" w:eastAsia="Arial" w:hAnsi="Arial"/>
                <w:sz w:val="11"/>
                <w:szCs w:val="11"/>
                <w:color w:val="auto"/>
              </w:rPr>
              <w:t>Common equity Tier 1 (“CET1”) capital</w:t>
            </w:r>
          </w:p>
        </w:tc>
        <w:tc>
          <w:tcPr>
            <w:tcW w:w="100" w:type="dxa"/>
            <w:vAlign w:val="bottom"/>
          </w:tcPr>
          <w:p>
            <w:pPr>
              <w:spacing w:after="0"/>
              <w:rPr>
                <w:sz w:val="11"/>
                <w:szCs w:val="11"/>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1"/>
                <w:szCs w:val="11"/>
                <w:color w:val="auto"/>
              </w:rPr>
              <w:t>15.0 % (g)</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14.3 %</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13.8 %</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13.8 %</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13.2 %</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1"/>
                <w:szCs w:val="11"/>
                <w:color w:val="auto"/>
              </w:rPr>
              <w:t>15.0 % (g)</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13.2 %</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00" w:type="dxa"/>
            <w:vAlign w:val="bottom"/>
            <w:gridSpan w:val="7"/>
          </w:tcPr>
          <w:p>
            <w:pPr>
              <w:spacing w:after="0"/>
              <w:rPr>
                <w:sz w:val="20"/>
                <w:szCs w:val="20"/>
                <w:color w:val="auto"/>
              </w:rPr>
            </w:pPr>
            <w:r>
              <w:rPr>
                <w:rFonts w:ascii="Arial" w:cs="Arial" w:eastAsia="Arial" w:hAnsi="Arial"/>
                <w:sz w:val="11"/>
                <w:szCs w:val="11"/>
                <w:color w:val="auto"/>
              </w:rPr>
              <w:t>ratio (e)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gridSpan w:val="7"/>
          </w:tcPr>
          <w:p>
            <w:pPr>
              <w:spacing w:after="0"/>
              <w:rPr>
                <w:sz w:val="20"/>
                <w:szCs w:val="20"/>
                <w:color w:val="auto"/>
              </w:rPr>
            </w:pPr>
            <w:r>
              <w:rPr>
                <w:rFonts w:ascii="Arial" w:cs="Arial" w:eastAsia="Arial" w:hAnsi="Arial"/>
                <w:sz w:val="11"/>
                <w:szCs w:val="11"/>
                <w:color w:val="auto"/>
              </w:rPr>
              <w:t>Tier 1 capital ratio (e)</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16.6</w:t>
            </w:r>
          </w:p>
        </w:tc>
        <w:tc>
          <w:tcPr>
            <w:tcW w:w="220" w:type="dxa"/>
            <w:vAlign w:val="bottom"/>
          </w:tcPr>
          <w:p>
            <w:pPr>
              <w:ind w:left="20"/>
              <w:spacing w:after="0"/>
              <w:rPr>
                <w:sz w:val="20"/>
                <w:szCs w:val="20"/>
                <w:color w:val="auto"/>
              </w:rPr>
            </w:pPr>
            <w:r>
              <w:rPr>
                <w:rFonts w:ascii="Arial" w:cs="Arial" w:eastAsia="Arial" w:hAnsi="Arial"/>
                <w:sz w:val="11"/>
                <w:szCs w:val="11"/>
                <w:color w:val="auto"/>
              </w:rPr>
              <w:t>(g)</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15.9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15.4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15.4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14.9</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16.6</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14.9</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gridSpan w:val="7"/>
          </w:tcPr>
          <w:p>
            <w:pPr>
              <w:spacing w:after="0"/>
              <w:rPr>
                <w:sz w:val="20"/>
                <w:szCs w:val="20"/>
                <w:color w:val="auto"/>
              </w:rPr>
            </w:pPr>
            <w:r>
              <w:rPr>
                <w:rFonts w:ascii="Arial" w:cs="Arial" w:eastAsia="Arial" w:hAnsi="Arial"/>
                <w:sz w:val="11"/>
                <w:szCs w:val="11"/>
                <w:color w:val="auto"/>
              </w:rPr>
              <w:t>Total capital ratio (e)</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18.4</w:t>
            </w:r>
          </w:p>
        </w:tc>
        <w:tc>
          <w:tcPr>
            <w:tcW w:w="220" w:type="dxa"/>
            <w:vAlign w:val="bottom"/>
          </w:tcPr>
          <w:p>
            <w:pPr>
              <w:ind w:left="20"/>
              <w:spacing w:after="0"/>
              <w:rPr>
                <w:sz w:val="20"/>
                <w:szCs w:val="20"/>
                <w:color w:val="auto"/>
              </w:rPr>
            </w:pPr>
            <w:r>
              <w:rPr>
                <w:rFonts w:ascii="Arial" w:cs="Arial" w:eastAsia="Arial" w:hAnsi="Arial"/>
                <w:sz w:val="11"/>
                <w:szCs w:val="11"/>
                <w:color w:val="auto"/>
              </w:rPr>
              <w:t>(g)</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17.8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17.3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17.4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16.8</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18.4</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16.8</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gridSpan w:val="7"/>
          </w:tcPr>
          <w:p>
            <w:pPr>
              <w:spacing w:after="0"/>
              <w:rPr>
                <w:sz w:val="20"/>
                <w:szCs w:val="20"/>
                <w:color w:val="auto"/>
              </w:rPr>
            </w:pPr>
            <w:r>
              <w:rPr>
                <w:rFonts w:ascii="Arial" w:cs="Arial" w:eastAsia="Arial" w:hAnsi="Arial"/>
                <w:sz w:val="11"/>
                <w:szCs w:val="11"/>
                <w:color w:val="auto"/>
              </w:rPr>
              <w:t>Tier 1 leverage ratio</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7.2</w:t>
            </w:r>
          </w:p>
        </w:tc>
        <w:tc>
          <w:tcPr>
            <w:tcW w:w="220" w:type="dxa"/>
            <w:vAlign w:val="bottom"/>
          </w:tcPr>
          <w:p>
            <w:pPr>
              <w:ind w:left="20"/>
              <w:spacing w:after="0"/>
              <w:rPr>
                <w:sz w:val="20"/>
                <w:szCs w:val="20"/>
                <w:color w:val="auto"/>
              </w:rPr>
            </w:pPr>
            <w:r>
              <w:rPr>
                <w:rFonts w:ascii="Arial" w:cs="Arial" w:eastAsia="Arial" w:hAnsi="Arial"/>
                <w:sz w:val="11"/>
                <w:szCs w:val="11"/>
                <w:color w:val="auto"/>
              </w:rPr>
              <w:t>(g)</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7.1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6.6</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7.2</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6.6</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gridSpan w:val="7"/>
          </w:tcPr>
          <w:p>
            <w:pPr>
              <w:spacing w:after="0"/>
              <w:rPr>
                <w:sz w:val="20"/>
                <w:szCs w:val="20"/>
                <w:color w:val="auto"/>
              </w:rPr>
            </w:pPr>
            <w:r>
              <w:rPr>
                <w:rFonts w:ascii="Arial" w:cs="Arial" w:eastAsia="Arial" w:hAnsi="Arial"/>
                <w:sz w:val="11"/>
                <w:szCs w:val="11"/>
                <w:color w:val="auto"/>
              </w:rPr>
              <w:t>Supplementary leverage ratio (“SLR”)</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6.1</w:t>
            </w:r>
          </w:p>
        </w:tc>
        <w:tc>
          <w:tcPr>
            <w:tcW w:w="220" w:type="dxa"/>
            <w:vAlign w:val="bottom"/>
          </w:tcPr>
          <w:p>
            <w:pPr>
              <w:ind w:left="20"/>
              <w:spacing w:after="0"/>
              <w:rPr>
                <w:sz w:val="20"/>
                <w:szCs w:val="20"/>
                <w:color w:val="auto"/>
              </w:rPr>
            </w:pPr>
            <w:r>
              <w:rPr>
                <w:rFonts w:ascii="Arial" w:cs="Arial" w:eastAsia="Arial" w:hAnsi="Arial"/>
                <w:sz w:val="11"/>
                <w:szCs w:val="11"/>
                <w:color w:val="auto"/>
              </w:rPr>
              <w:t>(g)</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5.6</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6.1</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1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5.6</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2769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57" w:lineRule="exact"/>
        <w:rPr>
          <w:sz w:val="20"/>
          <w:szCs w:val="20"/>
          <w:color w:val="auto"/>
        </w:rPr>
      </w:pPr>
    </w:p>
    <w:p>
      <w:pPr>
        <w:ind w:right="60"/>
        <w:spacing w:after="0" w:line="259" w:lineRule="auto"/>
        <w:rPr>
          <w:sz w:val="20"/>
          <w:szCs w:val="20"/>
          <w:color w:val="auto"/>
        </w:rPr>
      </w:pPr>
      <w:r>
        <w:rPr>
          <w:rFonts w:ascii="Arial" w:cs="Arial" w:eastAsia="Arial" w:hAnsi="Arial"/>
          <w:sz w:val="11"/>
          <w:szCs w:val="11"/>
          <w:color w:val="auto"/>
        </w:rPr>
        <w:t>On May 1, 2023, JPMorgan Chase acquired certain assets and assumed certain liabilities of First Republic Bank (the “First Republic acquisition") from the Federal Deposit Insurance Corporation (“FDIC”). Refer to page 30 for additional information.</w:t>
      </w:r>
    </w:p>
    <w:p>
      <w:pPr>
        <w:spacing w:after="0" w:line="92" w:lineRule="exact"/>
        <w:rPr>
          <w:sz w:val="20"/>
          <w:szCs w:val="20"/>
          <w:color w:val="auto"/>
        </w:rPr>
      </w:pPr>
    </w:p>
    <w:p>
      <w:pPr>
        <w:ind w:left="180" w:right="80" w:hanging="172"/>
        <w:spacing w:after="0" w:line="249" w:lineRule="auto"/>
        <w:tabs>
          <w:tab w:leader="none" w:pos="177" w:val="left"/>
        </w:tabs>
        <w:numPr>
          <w:ilvl w:val="0"/>
          <w:numId w:val="9"/>
        </w:numPr>
        <w:rPr>
          <w:rFonts w:ascii="Arial" w:cs="Arial" w:eastAsia="Arial" w:hAnsi="Arial"/>
          <w:sz w:val="11"/>
          <w:szCs w:val="11"/>
          <w:color w:val="auto"/>
        </w:rPr>
      </w:pPr>
      <w:r>
        <w:rPr>
          <w:rFonts w:ascii="Arial" w:cs="Arial" w:eastAsia="Arial" w:hAnsi="Arial"/>
          <w:sz w:val="11"/>
          <w:szCs w:val="11"/>
          <w:color w:val="auto"/>
        </w:rPr>
        <w:t>Pre-provision profit, TBVPS and ROTCE are each non-GAAP financial measures. Tangible common equity (“TCE”) is also a non-GAAP financial measure; refer to page 10 for a reconciliation of common stockholders’ equity to TCE. Refer to page 29 for further discussion of these measures.</w:t>
      </w:r>
    </w:p>
    <w:p>
      <w:pPr>
        <w:ind w:left="160" w:hanging="152"/>
        <w:spacing w:after="0"/>
        <w:tabs>
          <w:tab w:leader="none" w:pos="160" w:val="left"/>
        </w:tabs>
        <w:numPr>
          <w:ilvl w:val="0"/>
          <w:numId w:val="9"/>
        </w:numPr>
        <w:rPr>
          <w:rFonts w:ascii="Arial" w:cs="Arial" w:eastAsia="Arial" w:hAnsi="Arial"/>
          <w:sz w:val="11"/>
          <w:szCs w:val="11"/>
          <w:color w:val="auto"/>
        </w:rPr>
      </w:pPr>
      <w:r>
        <w:rPr>
          <w:rFonts w:ascii="Arial" w:cs="Arial" w:eastAsia="Arial" w:hAnsi="Arial"/>
          <w:sz w:val="11"/>
          <w:szCs w:val="11"/>
          <w:color w:val="auto"/>
        </w:rPr>
        <w:t>Refer to Reconciliation from Reported to Managed Basis on page 7 for further discussion of managed basis.</w:t>
      </w:r>
    </w:p>
    <w:p>
      <w:pPr>
        <w:spacing w:after="0" w:line="8" w:lineRule="exact"/>
        <w:rPr>
          <w:rFonts w:ascii="Arial" w:cs="Arial" w:eastAsia="Arial" w:hAnsi="Arial"/>
          <w:sz w:val="11"/>
          <w:szCs w:val="11"/>
          <w:color w:val="auto"/>
        </w:rPr>
      </w:pPr>
    </w:p>
    <w:p>
      <w:pPr>
        <w:ind w:left="160" w:hanging="152"/>
        <w:spacing w:after="0" w:line="236" w:lineRule="auto"/>
        <w:tabs>
          <w:tab w:leader="none" w:pos="160" w:val="left"/>
        </w:tabs>
        <w:numPr>
          <w:ilvl w:val="0"/>
          <w:numId w:val="9"/>
        </w:numPr>
        <w:rPr>
          <w:rFonts w:ascii="Arial" w:cs="Arial" w:eastAsia="Arial" w:hAnsi="Arial"/>
          <w:sz w:val="11"/>
          <w:szCs w:val="11"/>
          <w:color w:val="auto"/>
        </w:rPr>
      </w:pPr>
      <w:r>
        <w:rPr>
          <w:rFonts w:ascii="Arial" w:cs="Arial" w:eastAsia="Arial" w:hAnsi="Arial"/>
          <w:sz w:val="11"/>
          <w:szCs w:val="11"/>
          <w:color w:val="auto"/>
        </w:rPr>
        <w:t>Ratios are based upon annualized amounts.</w:t>
      </w:r>
    </w:p>
    <w:p>
      <w:pPr>
        <w:ind w:left="180" w:hanging="172"/>
        <w:spacing w:after="0" w:line="245" w:lineRule="auto"/>
        <w:tabs>
          <w:tab w:leader="none" w:pos="177"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capital metrics reflect the Current Expected Credit Losses ("CECL") capital transition provisions. Beginning January 1, 2022, the $2.9 billion CECL capital benefit is being phased out at 25% per year over a three-year period. As of December 31, 2023, September 30, 2023, June 30, 2023 and March 31, 2023, CET1 capital reflected the remaining $1.4 billion CECL benefit; as of December 31, 2022, CET1 capital reflected a $2.2 billion benefit. Refer to Capital Risk Management on pages 48-53 of the Firm’s Quarterly Report on Form 10-Q for the quarterly period ended September 30, 2023, and pages 86-96 of the Firm’s 2022 Form 10-K for additional information.</w:t>
      </w:r>
    </w:p>
    <w:p>
      <w:pPr>
        <w:ind w:left="160" w:hanging="152"/>
        <w:spacing w:after="0"/>
        <w:tabs>
          <w:tab w:leader="none" w:pos="160" w:val="left"/>
        </w:tabs>
        <w:numPr>
          <w:ilvl w:val="0"/>
          <w:numId w:val="9"/>
        </w:numPr>
        <w:rPr>
          <w:rFonts w:ascii="Arial" w:cs="Arial" w:eastAsia="Arial" w:hAnsi="Arial"/>
          <w:sz w:val="11"/>
          <w:szCs w:val="11"/>
          <w:color w:val="auto"/>
        </w:rPr>
      </w:pPr>
      <w:r>
        <w:rPr>
          <w:rFonts w:ascii="Arial" w:cs="Arial" w:eastAsia="Arial" w:hAnsi="Arial"/>
          <w:sz w:val="11"/>
          <w:szCs w:val="11"/>
          <w:color w:val="auto"/>
        </w:rPr>
        <w:t>Reflect the Firm’s ratios under the Basel III Standardized approach. Refer to page 9 for further information on the Firm’s capital metrics.</w:t>
      </w:r>
    </w:p>
    <w:p>
      <w:pPr>
        <w:spacing w:after="0" w:line="8" w:lineRule="exact"/>
        <w:rPr>
          <w:rFonts w:ascii="Arial" w:cs="Arial" w:eastAsia="Arial" w:hAnsi="Arial"/>
          <w:sz w:val="11"/>
          <w:szCs w:val="11"/>
          <w:color w:val="auto"/>
        </w:rPr>
      </w:pPr>
    </w:p>
    <w:p>
      <w:pPr>
        <w:ind w:left="160" w:hanging="152"/>
        <w:spacing w:after="0" w:line="236" w:lineRule="auto"/>
        <w:tabs>
          <w:tab w:leader="none" w:pos="160"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Included a $2.9 billion special assessment from the FDIC on certain banks to recover losses to the Deposit Insurance Fund (“DIF”) arising from the protection of uninsured depositors resulting from bank resolutions in 2023.</w:t>
      </w:r>
    </w:p>
    <w:p>
      <w:pPr>
        <w:ind w:left="160" w:hanging="152"/>
        <w:spacing w:after="0"/>
        <w:tabs>
          <w:tab w:leader="none" w:pos="160" w:val="left"/>
        </w:tabs>
        <w:numPr>
          <w:ilvl w:val="0"/>
          <w:numId w:val="9"/>
        </w:numPr>
        <w:rPr>
          <w:rFonts w:ascii="Arial" w:cs="Arial" w:eastAsia="Arial" w:hAnsi="Arial"/>
          <w:sz w:val="11"/>
          <w:szCs w:val="11"/>
          <w:color w:val="auto"/>
        </w:rPr>
      </w:pPr>
      <w:r>
        <w:rPr>
          <w:rFonts w:ascii="Arial" w:cs="Arial" w:eastAsia="Arial" w:hAnsi="Arial"/>
          <w:sz w:val="11"/>
          <w:szCs w:val="11"/>
          <w:color w:val="auto"/>
        </w:rPr>
        <w:t>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w:t>
      </w:r>
    </w:p>
    <w:p>
      <w:pPr>
        <w:sectPr>
          <w:pgSz w:w="11900" w:h="16838" w:orient="portrait"/>
          <w:cols w:equalWidth="0" w:num="1">
            <w:col w:w="11240"/>
          </w:cols>
          <w:pgMar w:left="320" w:top="815"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-86995</wp:posOffset>
            </wp:positionV>
            <wp:extent cx="229743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9743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HIGHLIGHTS, CONTINUED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ratios, employee data and</w:t>
      </w:r>
    </w:p>
    <w:p>
      <w:pPr>
        <w:ind w:left="20"/>
        <w:spacing w:after="0"/>
        <w:rPr>
          <w:sz w:val="20"/>
          <w:szCs w:val="20"/>
          <w:color w:val="auto"/>
        </w:rPr>
      </w:pPr>
      <w:r>
        <w:rPr>
          <w:rFonts w:ascii="Arial" w:cs="Arial" w:eastAsia="Arial" w:hAnsi="Arial"/>
          <w:sz w:val="11"/>
          <w:szCs w:val="11"/>
          <w:b w:val="1"/>
          <w:bCs w:val="1"/>
          <w:color w:val="auto"/>
        </w:rPr>
        <w:t>where otherwise noted)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jc w:val="center"/>
              <w:ind w:left="6"/>
              <w:spacing w:after="0"/>
              <w:rPr>
                <w:sz w:val="20"/>
                <w:szCs w:val="20"/>
                <w:color w:val="auto"/>
              </w:rPr>
            </w:pPr>
            <w:r>
              <w:rPr>
                <w:rFonts w:ascii="Arial" w:cs="Arial" w:eastAsia="Arial" w:hAnsi="Arial"/>
                <w:sz w:val="11"/>
                <w:szCs w:val="11"/>
                <w:b w:val="1"/>
                <w:bCs w:val="1"/>
                <w:color w:val="auto"/>
                <w:w w:val="97"/>
              </w:rPr>
              <w:t>QUARTERLY TRENDS</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FULL YEAR</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3"/>
            <w:vMerge w:val="restart"/>
          </w:tcPr>
          <w:p>
            <w:pPr>
              <w:jc w:val="right"/>
              <w:ind w:right="186"/>
              <w:spacing w:after="0"/>
              <w:rPr>
                <w:sz w:val="20"/>
                <w:szCs w:val="20"/>
                <w:color w:val="auto"/>
              </w:rPr>
            </w:pPr>
            <w:r>
              <w:rPr>
                <w:rFonts w:ascii="Arial" w:cs="Arial" w:eastAsia="Arial" w:hAnsi="Arial"/>
                <w:sz w:val="11"/>
                <w:szCs w:val="11"/>
                <w:b w:val="1"/>
                <w:bCs w:val="1"/>
                <w:color w:val="auto"/>
              </w:rPr>
              <w:t>4Q23 Change</w:t>
            </w:r>
          </w:p>
        </w:tc>
        <w:tc>
          <w:tcPr>
            <w:tcW w:w="34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jc w:val="right"/>
              <w:ind w:right="166"/>
              <w:spacing w:after="0" w:line="109" w:lineRule="exact"/>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4Q23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auto"/>
              </w:rPr>
              <w:t>3Q23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2Q23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1Q23</w:t>
            </w:r>
          </w:p>
        </w:tc>
        <w:tc>
          <w:tcPr>
            <w:tcW w:w="80" w:type="dxa"/>
            <w:vAlign w:val="bottom"/>
          </w:tcPr>
          <w:p>
            <w:pPr>
              <w:spacing w:after="0"/>
              <w:rPr>
                <w:sz w:val="13"/>
                <w:szCs w:val="13"/>
                <w:color w:val="auto"/>
              </w:rPr>
            </w:pP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auto"/>
              </w:rPr>
              <w:t>4Q22</w:t>
            </w:r>
          </w:p>
        </w:tc>
        <w:tc>
          <w:tcPr>
            <w:tcW w:w="200" w:type="dxa"/>
            <w:vAlign w:val="bottom"/>
          </w:tcPr>
          <w:p>
            <w:pPr>
              <w:spacing w:after="0"/>
              <w:rPr>
                <w:sz w:val="13"/>
                <w:szCs w:val="13"/>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3Q23</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4Q22</w:t>
            </w:r>
          </w:p>
        </w:tc>
        <w:tc>
          <w:tcPr>
            <w:tcW w:w="10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3"/>
                <w:szCs w:val="13"/>
                <w:color w:val="auto"/>
              </w:rPr>
            </w:pPr>
          </w:p>
        </w:tc>
        <w:tc>
          <w:tcPr>
            <w:tcW w:w="680" w:type="dxa"/>
            <w:vAlign w:val="bottom"/>
          </w:tcPr>
          <w:p>
            <w:pPr>
              <w:jc w:val="right"/>
              <w:ind w:right="16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60" w:type="dxa"/>
            <w:vAlign w:val="bottom"/>
            <w:gridSpan w:val="8"/>
          </w:tcPr>
          <w:p>
            <w:pPr>
              <w:spacing w:after="0" w:line="108" w:lineRule="exact"/>
              <w:rPr>
                <w:sz w:val="20"/>
                <w:szCs w:val="20"/>
                <w:color w:val="auto"/>
              </w:rPr>
            </w:pPr>
            <w:r>
              <w:rPr>
                <w:rFonts w:ascii="Arial" w:cs="Arial" w:eastAsia="Arial" w:hAnsi="Arial"/>
                <w:sz w:val="11"/>
                <w:szCs w:val="11"/>
                <w:b w:val="1"/>
                <w:bCs w:val="1"/>
                <w:color w:val="auto"/>
              </w:rPr>
              <w:t>SELECTED BALANCE SHEET</w:t>
            </w: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520" w:type="dxa"/>
            <w:vAlign w:val="bottom"/>
            <w:tcBorders>
              <w:top w:val="single" w:sz="8" w:color="auto"/>
            </w:tcBorders>
            <w:gridSpan w:val="7"/>
          </w:tcPr>
          <w:p>
            <w:pPr>
              <w:spacing w:after="0" w:line="88" w:lineRule="exact"/>
              <w:rPr>
                <w:sz w:val="20"/>
                <w:szCs w:val="20"/>
                <w:color w:val="auto"/>
              </w:rPr>
            </w:pPr>
            <w:r>
              <w:rPr>
                <w:rFonts w:ascii="Arial" w:cs="Arial" w:eastAsia="Arial" w:hAnsi="Arial"/>
                <w:sz w:val="10"/>
                <w:szCs w:val="10"/>
                <w:b w:val="1"/>
                <w:bCs w:val="1"/>
                <w:color w:val="auto"/>
              </w:rPr>
              <w:t>DATA (period-end)</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4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Total assets</w:t>
            </w:r>
          </w:p>
        </w:tc>
        <w:tc>
          <w:tcPr>
            <w:tcW w:w="820" w:type="dxa"/>
            <w:vAlign w:val="bottom"/>
            <w:gridSpan w:val="4"/>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3,875,393</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3,898,333</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3,868,240</w:t>
            </w:r>
          </w:p>
        </w:tc>
        <w:tc>
          <w:tcPr>
            <w:tcW w:w="240" w:type="dxa"/>
            <w:vAlign w:val="bottom"/>
          </w:tcPr>
          <w:p>
            <w:pPr>
              <w:spacing w:after="0"/>
              <w:rPr>
                <w:sz w:val="14"/>
                <w:szCs w:val="14"/>
                <w:color w:val="auto"/>
              </w:rPr>
            </w:pPr>
          </w:p>
        </w:tc>
        <w:tc>
          <w:tcPr>
            <w:tcW w:w="80" w:type="dxa"/>
            <w:vAlign w:val="bottom"/>
          </w:tcPr>
          <w:p>
            <w:pPr>
              <w:jc w:val="center"/>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3,744,305</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3,665,743</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6 %</w:t>
            </w:r>
          </w:p>
        </w:tc>
        <w:tc>
          <w:tcPr>
            <w:tcW w:w="3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3,875,393</w:t>
            </w:r>
          </w:p>
        </w:tc>
        <w:tc>
          <w:tcPr>
            <w:tcW w:w="2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3,665,743</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60" w:type="dxa"/>
            <w:vAlign w:val="bottom"/>
            <w:gridSpan w:val="8"/>
          </w:tcPr>
          <w:p>
            <w:pPr>
              <w:ind w:left="120"/>
              <w:spacing w:after="0"/>
              <w:rPr>
                <w:sz w:val="20"/>
                <w:szCs w:val="20"/>
                <w:color w:val="auto"/>
              </w:rPr>
            </w:pPr>
            <w:r>
              <w:rPr>
                <w:rFonts w:ascii="Arial" w:cs="Arial" w:eastAsia="Arial" w:hAnsi="Arial"/>
                <w:sz w:val="11"/>
                <w:szCs w:val="11"/>
                <w:color w:val="auto"/>
              </w:rPr>
              <w:t>Consumer, excluding credit card</w:t>
            </w: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410,093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408,769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408,204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311,433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311,375</w:t>
            </w:r>
          </w:p>
        </w:tc>
        <w:tc>
          <w:tcPr>
            <w:tcW w:w="200" w:type="dxa"/>
            <w:vAlign w:val="bottom"/>
          </w:tcPr>
          <w:p>
            <w:pPr>
              <w:spacing w:after="0"/>
              <w:rPr>
                <w:sz w:val="11"/>
                <w:szCs w:val="11"/>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106"/>
              <w:spacing w:after="0"/>
              <w:rPr>
                <w:sz w:val="20"/>
                <w:szCs w:val="20"/>
                <w:color w:val="auto"/>
              </w:rPr>
            </w:pPr>
            <w:r>
              <w:rPr>
                <w:rFonts w:ascii="Arial" w:cs="Arial" w:eastAsia="Arial" w:hAnsi="Arial"/>
                <w:sz w:val="11"/>
                <w:szCs w:val="11"/>
                <w:color w:val="auto"/>
              </w:rPr>
              <w:t>32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410,093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311,375</w:t>
            </w:r>
          </w:p>
        </w:tc>
        <w:tc>
          <w:tcPr>
            <w:tcW w:w="220" w:type="dxa"/>
            <w:vAlign w:val="bottom"/>
          </w:tcPr>
          <w:p>
            <w:pPr>
              <w:spacing w:after="0"/>
              <w:rPr>
                <w:sz w:val="11"/>
                <w:szCs w:val="11"/>
                <w:color w:val="auto"/>
              </w:rPr>
            </w:pPr>
          </w:p>
        </w:tc>
        <w:tc>
          <w:tcPr>
            <w:tcW w:w="680" w:type="dxa"/>
            <w:vAlign w:val="bottom"/>
            <w:vMerge w:val="restart"/>
          </w:tcPr>
          <w:p>
            <w:pPr>
              <w:jc w:val="right"/>
              <w:ind w:right="10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60" w:type="dxa"/>
            <w:vAlign w:val="bottom"/>
            <w:gridSpan w:val="8"/>
          </w:tcPr>
          <w:p>
            <w:pPr>
              <w:ind w:left="120"/>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ind w:left="120"/>
              <w:spacing w:after="0"/>
              <w:rPr>
                <w:sz w:val="20"/>
                <w:szCs w:val="20"/>
                <w:color w:val="auto"/>
              </w:rPr>
            </w:pPr>
            <w:r>
              <w:rPr>
                <w:rFonts w:ascii="Arial" w:cs="Arial" w:eastAsia="Arial" w:hAnsi="Arial"/>
                <w:sz w:val="11"/>
                <w:szCs w:val="11"/>
                <w:color w:val="auto"/>
              </w:rPr>
              <w:t>Credit card loans</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211,123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196,935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191,348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180,079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185,175</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18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211,123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185,175</w:t>
            </w:r>
          </w:p>
        </w:tc>
        <w:tc>
          <w:tcPr>
            <w:tcW w:w="22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60" w:type="dxa"/>
            <w:vAlign w:val="bottom"/>
            <w:gridSpan w:val="8"/>
          </w:tcPr>
          <w:p>
            <w:pPr>
              <w:ind w:left="120"/>
              <w:spacing w:after="0"/>
              <w:rPr>
                <w:sz w:val="20"/>
                <w:szCs w:val="20"/>
                <w:color w:val="auto"/>
              </w:rPr>
            </w:pPr>
            <w:r>
              <w:rPr>
                <w:rFonts w:ascii="Arial" w:cs="Arial" w:eastAsia="Arial" w:hAnsi="Arial"/>
                <w:sz w:val="11"/>
                <w:szCs w:val="11"/>
                <w:color w:val="auto"/>
              </w:rPr>
              <w:t>Wholesale loans</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702,490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704,355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700,517</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637,384</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639,097</w:t>
            </w:r>
          </w:p>
        </w:tc>
        <w:tc>
          <w:tcPr>
            <w:tcW w:w="200" w:type="dxa"/>
            <w:vAlign w:val="bottom"/>
          </w:tcPr>
          <w:p>
            <w:pPr>
              <w:spacing w:after="0"/>
              <w:rPr>
                <w:sz w:val="15"/>
                <w:szCs w:val="15"/>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702,490</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639,097</w:t>
            </w:r>
          </w:p>
        </w:tc>
        <w:tc>
          <w:tcPr>
            <w:tcW w:w="220" w:type="dxa"/>
            <w:vAlign w:val="bottom"/>
          </w:tcPr>
          <w:p>
            <w:pPr>
              <w:spacing w:after="0"/>
              <w:rPr>
                <w:sz w:val="15"/>
                <w:szCs w:val="15"/>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gridSpan w:val="8"/>
          </w:tcPr>
          <w:p>
            <w:pPr>
              <w:ind w:left="200"/>
              <w:spacing w:after="0"/>
              <w:rPr>
                <w:sz w:val="20"/>
                <w:szCs w:val="20"/>
                <w:color w:val="auto"/>
              </w:rPr>
            </w:pPr>
            <w:r>
              <w:rPr>
                <w:rFonts w:ascii="Arial" w:cs="Arial" w:eastAsia="Arial" w:hAnsi="Arial"/>
                <w:sz w:val="11"/>
                <w:szCs w:val="11"/>
                <w:b w:val="1"/>
                <w:bCs w:val="1"/>
                <w:color w:val="auto"/>
              </w:rPr>
              <w:t>Total loans</w:t>
            </w:r>
          </w:p>
        </w:tc>
        <w:tc>
          <w:tcPr>
            <w:tcW w:w="10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w w:val="93"/>
              </w:rPr>
              <w:t>1,323,706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1,310,059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1,300,069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1,128,896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1,135,647</w:t>
            </w:r>
          </w:p>
        </w:tc>
        <w:tc>
          <w:tcPr>
            <w:tcW w:w="2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2"/>
                <w:szCs w:val="12"/>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1,323,706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1,135,647</w:t>
            </w:r>
          </w:p>
        </w:tc>
        <w:tc>
          <w:tcPr>
            <w:tcW w:w="220" w:type="dxa"/>
            <w:vAlign w:val="bottom"/>
          </w:tcPr>
          <w:p>
            <w:pPr>
              <w:spacing w:after="0"/>
              <w:rPr>
                <w:sz w:val="12"/>
                <w:szCs w:val="12"/>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Deposits: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ind w:left="120"/>
              <w:spacing w:after="0"/>
              <w:rPr>
                <w:sz w:val="20"/>
                <w:szCs w:val="20"/>
                <w:color w:val="auto"/>
              </w:rPr>
            </w:pPr>
            <w:r>
              <w:rPr>
                <w:rFonts w:ascii="Arial" w:cs="Arial" w:eastAsia="Arial" w:hAnsi="Arial"/>
                <w:sz w:val="11"/>
                <w:szCs w:val="11"/>
                <w:color w:val="auto"/>
              </w:rPr>
              <w:t>U.S. offices: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ind w:left="200"/>
              <w:spacing w:after="0"/>
              <w:rPr>
                <w:sz w:val="20"/>
                <w:szCs w:val="20"/>
                <w:color w:val="auto"/>
              </w:rPr>
            </w:pPr>
            <w:r>
              <w:rPr>
                <w:rFonts w:ascii="Arial" w:cs="Arial" w:eastAsia="Arial" w:hAnsi="Arial"/>
                <w:sz w:val="11"/>
                <w:szCs w:val="11"/>
                <w:color w:val="auto"/>
              </w:rPr>
              <w:t>Noninterest-bearing</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643,748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651,240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656,778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663,772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644,902</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643,748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644,902</w:t>
            </w:r>
          </w:p>
        </w:tc>
        <w:tc>
          <w:tcPr>
            <w:tcW w:w="22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ind w:left="200"/>
              <w:spacing w:after="0"/>
              <w:rPr>
                <w:sz w:val="20"/>
                <w:szCs w:val="20"/>
                <w:color w:val="auto"/>
              </w:rPr>
            </w:pPr>
            <w:r>
              <w:rPr>
                <w:rFonts w:ascii="Arial" w:cs="Arial" w:eastAsia="Arial" w:hAnsi="Arial"/>
                <w:sz w:val="11"/>
                <w:szCs w:val="11"/>
                <w:color w:val="auto"/>
              </w:rPr>
              <w:t>Interest-bearing</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1,303,100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1,295,609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1,311,893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1,290,614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1,276,346</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1,303,100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1,276,346</w:t>
            </w:r>
          </w:p>
        </w:tc>
        <w:tc>
          <w:tcPr>
            <w:tcW w:w="22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ind w:left="120"/>
              <w:spacing w:after="0"/>
              <w:rPr>
                <w:sz w:val="20"/>
                <w:szCs w:val="20"/>
                <w:color w:val="auto"/>
              </w:rPr>
            </w:pPr>
            <w:r>
              <w:rPr>
                <w:rFonts w:ascii="Arial" w:cs="Arial" w:eastAsia="Arial" w:hAnsi="Arial"/>
                <w:sz w:val="11"/>
                <w:szCs w:val="11"/>
                <w:color w:val="auto"/>
              </w:rPr>
              <w:t>Non-U.S. offices: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ind w:left="200"/>
              <w:spacing w:after="0"/>
              <w:rPr>
                <w:sz w:val="20"/>
                <w:szCs w:val="20"/>
                <w:color w:val="auto"/>
              </w:rPr>
            </w:pPr>
            <w:r>
              <w:rPr>
                <w:rFonts w:ascii="Arial" w:cs="Arial" w:eastAsia="Arial" w:hAnsi="Arial"/>
                <w:sz w:val="11"/>
                <w:szCs w:val="11"/>
                <w:color w:val="auto"/>
              </w:rPr>
              <w:t>Noninterest-bearing</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23,097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22,410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24,268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25,071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27,005</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4"/>
                <w:szCs w:val="1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23,097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27,005</w:t>
            </w:r>
          </w:p>
        </w:tc>
        <w:tc>
          <w:tcPr>
            <w:tcW w:w="22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60" w:type="dxa"/>
            <w:vAlign w:val="bottom"/>
            <w:gridSpan w:val="8"/>
          </w:tcPr>
          <w:p>
            <w:pPr>
              <w:ind w:left="200"/>
              <w:spacing w:after="0"/>
              <w:rPr>
                <w:sz w:val="20"/>
                <w:szCs w:val="20"/>
                <w:color w:val="auto"/>
              </w:rPr>
            </w:pPr>
            <w:r>
              <w:rPr>
                <w:rFonts w:ascii="Arial" w:cs="Arial" w:eastAsia="Arial" w:hAnsi="Arial"/>
                <w:sz w:val="11"/>
                <w:szCs w:val="11"/>
                <w:color w:val="auto"/>
              </w:rPr>
              <w:t>Interest-bearing</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430,743</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410,267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406,023</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397,796</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391,926</w:t>
            </w:r>
          </w:p>
        </w:tc>
        <w:tc>
          <w:tcPr>
            <w:tcW w:w="2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5"/>
                <w:szCs w:val="15"/>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430,743</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391,926</w:t>
            </w:r>
          </w:p>
        </w:tc>
        <w:tc>
          <w:tcPr>
            <w:tcW w:w="220" w:type="dxa"/>
            <w:vAlign w:val="bottom"/>
          </w:tcPr>
          <w:p>
            <w:pPr>
              <w:spacing w:after="0"/>
              <w:rPr>
                <w:sz w:val="15"/>
                <w:szCs w:val="15"/>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gridSpan w:val="8"/>
          </w:tcPr>
          <w:p>
            <w:pPr>
              <w:ind w:left="340"/>
              <w:spacing w:after="0"/>
              <w:rPr>
                <w:sz w:val="20"/>
                <w:szCs w:val="20"/>
                <w:color w:val="auto"/>
              </w:rPr>
            </w:pPr>
            <w:r>
              <w:rPr>
                <w:rFonts w:ascii="Arial" w:cs="Arial" w:eastAsia="Arial" w:hAnsi="Arial"/>
                <w:sz w:val="11"/>
                <w:szCs w:val="11"/>
                <w:b w:val="1"/>
                <w:bCs w:val="1"/>
                <w:color w:val="auto"/>
              </w:rPr>
              <w:t>Total deposits</w:t>
            </w:r>
          </w:p>
        </w:tc>
        <w:tc>
          <w:tcPr>
            <w:tcW w:w="10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w w:val="93"/>
              </w:rPr>
              <w:t>2,400,688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2,379,526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2,398,962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2,377,253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2,340,179</w:t>
            </w:r>
          </w:p>
        </w:tc>
        <w:tc>
          <w:tcPr>
            <w:tcW w:w="2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2"/>
                <w:szCs w:val="12"/>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2,400,688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2,340,179</w:t>
            </w:r>
          </w:p>
        </w:tc>
        <w:tc>
          <w:tcPr>
            <w:tcW w:w="220" w:type="dxa"/>
            <w:vAlign w:val="bottom"/>
          </w:tcPr>
          <w:p>
            <w:pPr>
              <w:spacing w:after="0"/>
              <w:rPr>
                <w:sz w:val="12"/>
                <w:szCs w:val="12"/>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Long-term debt</w:t>
            </w:r>
          </w:p>
        </w:tc>
        <w:tc>
          <w:tcPr>
            <w:tcW w:w="100" w:type="dxa"/>
            <w:vAlign w:val="bottom"/>
          </w:tcPr>
          <w:p>
            <w:pPr>
              <w:spacing w:after="0"/>
              <w:rPr>
                <w:sz w:val="18"/>
                <w:szCs w:val="18"/>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391,825</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362,793</w:t>
            </w:r>
          </w:p>
        </w:tc>
        <w:tc>
          <w:tcPr>
            <w:tcW w:w="220" w:type="dxa"/>
            <w:vAlign w:val="bottom"/>
          </w:tcPr>
          <w:p>
            <w:pPr>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364,078</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8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295,489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295,865</w:t>
            </w:r>
          </w:p>
        </w:tc>
        <w:tc>
          <w:tcPr>
            <w:tcW w:w="200" w:type="dxa"/>
            <w:vAlign w:val="bottom"/>
          </w:tcPr>
          <w:p>
            <w:pPr>
              <w:spacing w:after="0"/>
              <w:rPr>
                <w:sz w:val="18"/>
                <w:szCs w:val="18"/>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180" w:type="dxa"/>
            <w:vAlign w:val="bottom"/>
          </w:tcPr>
          <w:p>
            <w:pPr>
              <w:spacing w:after="0"/>
              <w:rPr>
                <w:sz w:val="18"/>
                <w:szCs w:val="18"/>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32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391,825</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295,865</w:t>
            </w:r>
          </w:p>
        </w:tc>
        <w:tc>
          <w:tcPr>
            <w:tcW w:w="220" w:type="dxa"/>
            <w:vAlign w:val="bottom"/>
          </w:tcPr>
          <w:p>
            <w:pPr>
              <w:spacing w:after="0"/>
              <w:rPr>
                <w:sz w:val="18"/>
                <w:szCs w:val="18"/>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Common stockholders’ equity</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300,474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289,967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285,112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275,678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264,928</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300,474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264,928</w:t>
            </w:r>
          </w:p>
        </w:tc>
        <w:tc>
          <w:tcPr>
            <w:tcW w:w="22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Total stockholders’ equity</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327,878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317,371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312,516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303,082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292,332</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327,878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292,332</w:t>
            </w:r>
          </w:p>
        </w:tc>
        <w:tc>
          <w:tcPr>
            <w:tcW w:w="22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Loans-to-deposits ratio</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55 %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54 %</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47 %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49 %</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49 %</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60" w:type="dxa"/>
            <w:vAlign w:val="bottom"/>
            <w:gridSpan w:val="8"/>
          </w:tcPr>
          <w:p>
            <w:pPr>
              <w:spacing w:after="0"/>
              <w:rPr>
                <w:sz w:val="20"/>
                <w:szCs w:val="20"/>
                <w:color w:val="auto"/>
              </w:rPr>
            </w:pPr>
            <w:r>
              <w:rPr>
                <w:rFonts w:ascii="Arial" w:cs="Arial" w:eastAsia="Arial" w:hAnsi="Arial"/>
                <w:sz w:val="11"/>
                <w:szCs w:val="11"/>
                <w:b w:val="1"/>
                <w:bCs w:val="1"/>
                <w:color w:val="auto"/>
              </w:rPr>
              <w:t>Employees (a)</w:t>
            </w:r>
          </w:p>
        </w:tc>
        <w:tc>
          <w:tcPr>
            <w:tcW w:w="100" w:type="dxa"/>
            <w:vAlign w:val="bottom"/>
          </w:tcPr>
          <w:p>
            <w:pPr>
              <w:spacing w:after="0"/>
              <w:rPr>
                <w:sz w:val="19"/>
                <w:szCs w:val="19"/>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309,926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308,669</w:t>
            </w:r>
          </w:p>
        </w:tc>
        <w:tc>
          <w:tcPr>
            <w:tcW w:w="220" w:type="dxa"/>
            <w:vAlign w:val="bottom"/>
          </w:tcPr>
          <w:p>
            <w:pPr>
              <w:spacing w:after="0"/>
              <w:rPr>
                <w:sz w:val="20"/>
                <w:szCs w:val="20"/>
                <w:color w:val="auto"/>
              </w:rPr>
            </w:pPr>
            <w:r>
              <w:rPr>
                <w:rFonts w:ascii="Arial" w:cs="Arial" w:eastAsia="Arial" w:hAnsi="Arial"/>
                <w:sz w:val="11"/>
                <w:szCs w:val="11"/>
                <w:color w:val="auto"/>
              </w:rPr>
              <w:t>(h)</w:t>
            </w:r>
          </w:p>
        </w:tc>
        <w:tc>
          <w:tcPr>
            <w:tcW w:w="100" w:type="dxa"/>
            <w:vAlign w:val="bottom"/>
          </w:tcPr>
          <w:p>
            <w:pPr>
              <w:spacing w:after="0"/>
              <w:rPr>
                <w:sz w:val="19"/>
                <w:szCs w:val="19"/>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300,066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296,877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293,723</w:t>
            </w:r>
          </w:p>
        </w:tc>
        <w:tc>
          <w:tcPr>
            <w:tcW w:w="200" w:type="dxa"/>
            <w:vAlign w:val="bottom"/>
          </w:tcPr>
          <w:p>
            <w:pPr>
              <w:spacing w:after="0"/>
              <w:rPr>
                <w:sz w:val="19"/>
                <w:szCs w:val="19"/>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309,926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293,723</w:t>
            </w:r>
          </w:p>
        </w:tc>
        <w:tc>
          <w:tcPr>
            <w:tcW w:w="220" w:type="dxa"/>
            <w:vAlign w:val="bottom"/>
          </w:tcPr>
          <w:p>
            <w:pPr>
              <w:spacing w:after="0"/>
              <w:rPr>
                <w:sz w:val="19"/>
                <w:szCs w:val="19"/>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60" w:type="dxa"/>
            <w:vAlign w:val="bottom"/>
            <w:gridSpan w:val="8"/>
          </w:tcPr>
          <w:p>
            <w:pPr>
              <w:spacing w:after="0"/>
              <w:rPr>
                <w:sz w:val="20"/>
                <w:szCs w:val="20"/>
                <w:color w:val="auto"/>
              </w:rPr>
            </w:pPr>
            <w:r>
              <w:rPr>
                <w:rFonts w:ascii="Arial" w:cs="Arial" w:eastAsia="Arial" w:hAnsi="Arial"/>
                <w:sz w:val="11"/>
                <w:szCs w:val="11"/>
                <w:b w:val="1"/>
                <w:bCs w:val="1"/>
                <w:color w:val="auto"/>
              </w:rPr>
              <w:t>95% CONFIDENCE LEVEL -</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0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TOTAL VaR</w:t>
            </w:r>
          </w:p>
        </w:tc>
        <w:tc>
          <w:tcPr>
            <w:tcW w:w="820" w:type="dxa"/>
            <w:vAlign w:val="bottom"/>
            <w:tcBorders>
              <w:top w:val="single" w:sz="8" w:color="auto"/>
            </w:tcBorders>
            <w:gridSpan w:val="5"/>
          </w:tcPr>
          <w:p>
            <w:pPr>
              <w:spacing w:after="0"/>
              <w:rPr>
                <w:sz w:val="7"/>
                <w:szCs w:val="7"/>
                <w:color w:val="auto"/>
              </w:rPr>
            </w:pPr>
          </w:p>
        </w:tc>
        <w:tc>
          <w:tcPr>
            <w:tcW w:w="34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Average VaR (b)</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35</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47</w:t>
            </w:r>
          </w:p>
        </w:tc>
        <w:tc>
          <w:tcPr>
            <w:tcW w:w="240" w:type="dxa"/>
            <w:vAlign w:val="bottom"/>
          </w:tcPr>
          <w:p>
            <w:pPr>
              <w:spacing w:after="0"/>
              <w:rPr>
                <w:sz w:val="14"/>
                <w:szCs w:val="14"/>
                <w:color w:val="auto"/>
              </w:rPr>
            </w:pPr>
          </w:p>
        </w:tc>
        <w:tc>
          <w:tcPr>
            <w:tcW w:w="80" w:type="dxa"/>
            <w:vAlign w:val="bottom"/>
          </w:tcPr>
          <w:p>
            <w:pPr>
              <w:jc w:val="center"/>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47</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61</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80" w:type="dxa"/>
            <w:vAlign w:val="bottom"/>
          </w:tcPr>
          <w:p>
            <w:pPr>
              <w:spacing w:after="0"/>
              <w:rPr>
                <w:sz w:val="14"/>
                <w:szCs w:val="1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1760" w:type="dxa"/>
            <w:vAlign w:val="bottom"/>
            <w:gridSpan w:val="8"/>
          </w:tcPr>
          <w:p>
            <w:pPr>
              <w:spacing w:after="0"/>
              <w:rPr>
                <w:sz w:val="20"/>
                <w:szCs w:val="20"/>
                <w:color w:val="auto"/>
              </w:rPr>
            </w:pPr>
            <w:r>
              <w:rPr>
                <w:rFonts w:ascii="Arial" w:cs="Arial" w:eastAsia="Arial" w:hAnsi="Arial"/>
                <w:sz w:val="11"/>
                <w:szCs w:val="11"/>
                <w:b w:val="1"/>
                <w:bCs w:val="1"/>
                <w:color w:val="auto"/>
              </w:rPr>
              <w:t>LINE OF BUSINESS NET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0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REVENUE (c)</w:t>
            </w:r>
          </w:p>
        </w:tc>
        <w:tc>
          <w:tcPr>
            <w:tcW w:w="560" w:type="dxa"/>
            <w:vAlign w:val="bottom"/>
            <w:tcBorders>
              <w:top w:val="single" w:sz="8" w:color="auto"/>
            </w:tcBorders>
            <w:gridSpan w:val="3"/>
          </w:tcPr>
          <w:p>
            <w:pPr>
              <w:spacing w:after="0"/>
              <w:rPr>
                <w:sz w:val="7"/>
                <w:szCs w:val="7"/>
                <w:color w:val="auto"/>
              </w:rPr>
            </w:pPr>
          </w:p>
        </w:tc>
        <w:tc>
          <w:tcPr>
            <w:tcW w:w="500" w:type="dxa"/>
            <w:vAlign w:val="bottom"/>
            <w:gridSpan w:val="3"/>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Consumer &amp; Community Banking</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18,097</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18,362</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17,233</w:t>
            </w:r>
          </w:p>
        </w:tc>
        <w:tc>
          <w:tcPr>
            <w:tcW w:w="240" w:type="dxa"/>
            <w:vAlign w:val="bottom"/>
          </w:tcPr>
          <w:p>
            <w:pPr>
              <w:spacing w:after="0"/>
              <w:rPr>
                <w:sz w:val="14"/>
                <w:szCs w:val="14"/>
                <w:color w:val="auto"/>
              </w:rPr>
            </w:pPr>
          </w:p>
        </w:tc>
        <w:tc>
          <w:tcPr>
            <w:tcW w:w="80" w:type="dxa"/>
            <w:vAlign w:val="bottom"/>
          </w:tcPr>
          <w:p>
            <w:pPr>
              <w:jc w:val="center"/>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16,456</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15,793</w:t>
            </w:r>
          </w:p>
        </w:tc>
        <w:tc>
          <w:tcPr>
            <w:tcW w:w="200" w:type="dxa"/>
            <w:vAlign w:val="bottom"/>
          </w:tcPr>
          <w:p>
            <w:pPr>
              <w:ind w:left="20"/>
              <w:spacing w:after="0"/>
              <w:rPr>
                <w:sz w:val="20"/>
                <w:szCs w:val="20"/>
                <w:color w:val="auto"/>
              </w:rPr>
            </w:pPr>
            <w:r>
              <w:rPr>
                <w:rFonts w:ascii="Arial" w:cs="Arial" w:eastAsia="Arial" w:hAnsi="Arial"/>
                <w:sz w:val="11"/>
                <w:szCs w:val="11"/>
                <w:color w:val="auto"/>
              </w:rPr>
              <w:t>(i)</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3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70,148</w:t>
            </w:r>
          </w:p>
        </w:tc>
        <w:tc>
          <w:tcPr>
            <w:tcW w:w="2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54,814</w:t>
            </w:r>
          </w:p>
        </w:tc>
        <w:tc>
          <w:tcPr>
            <w:tcW w:w="220" w:type="dxa"/>
            <w:vAlign w:val="bottom"/>
          </w:tcPr>
          <w:p>
            <w:pPr>
              <w:ind w:left="20"/>
              <w:spacing w:after="0"/>
              <w:rPr>
                <w:sz w:val="20"/>
                <w:szCs w:val="20"/>
                <w:color w:val="auto"/>
              </w:rPr>
            </w:pPr>
            <w:r>
              <w:rPr>
                <w:rFonts w:ascii="Arial" w:cs="Arial" w:eastAsia="Arial" w:hAnsi="Arial"/>
                <w:sz w:val="11"/>
                <w:szCs w:val="11"/>
                <w:color w:val="auto"/>
              </w:rPr>
              <w:t>(i)</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Corporate &amp; Investment Bank</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10,958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11,730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12,519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13,600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10,598</w:t>
            </w:r>
          </w:p>
        </w:tc>
        <w:tc>
          <w:tcPr>
            <w:tcW w:w="200" w:type="dxa"/>
            <w:vAlign w:val="bottom"/>
          </w:tcPr>
          <w:p>
            <w:pPr>
              <w:ind w:left="20"/>
              <w:spacing w:after="0"/>
              <w:rPr>
                <w:sz w:val="20"/>
                <w:szCs w:val="20"/>
                <w:color w:val="auto"/>
              </w:rPr>
            </w:pPr>
            <w:r>
              <w:rPr>
                <w:rFonts w:ascii="Arial" w:cs="Arial" w:eastAsia="Arial" w:hAnsi="Arial"/>
                <w:sz w:val="11"/>
                <w:szCs w:val="11"/>
                <w:color w:val="auto"/>
              </w:rPr>
              <w:t>(i)</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8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48,807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48,102</w:t>
            </w:r>
          </w:p>
        </w:tc>
        <w:tc>
          <w:tcPr>
            <w:tcW w:w="220" w:type="dxa"/>
            <w:vAlign w:val="bottom"/>
          </w:tcPr>
          <w:p>
            <w:pPr>
              <w:ind w:left="20"/>
              <w:spacing w:after="0"/>
              <w:rPr>
                <w:sz w:val="20"/>
                <w:szCs w:val="20"/>
                <w:color w:val="auto"/>
              </w:rPr>
            </w:pPr>
            <w:r>
              <w:rPr>
                <w:rFonts w:ascii="Arial" w:cs="Arial" w:eastAsia="Arial" w:hAnsi="Arial"/>
                <w:sz w:val="11"/>
                <w:szCs w:val="11"/>
                <w:color w:val="auto"/>
              </w:rPr>
              <w:t>(i)</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Commercial Banking</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4,031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3,988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3,511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3,404</w:t>
            </w:r>
          </w:p>
        </w:tc>
        <w:tc>
          <w:tcPr>
            <w:tcW w:w="20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15,546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11,533</w:t>
            </w:r>
          </w:p>
        </w:tc>
        <w:tc>
          <w:tcPr>
            <w:tcW w:w="22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Asset &amp; Wealth Management</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5,095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5,005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4,943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4,784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4,588</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19,827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17,748</w:t>
            </w:r>
          </w:p>
        </w:tc>
        <w:tc>
          <w:tcPr>
            <w:tcW w:w="22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Corporate</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1,777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1,558</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3,718</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985</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1,183</w:t>
            </w:r>
          </w:p>
        </w:tc>
        <w:tc>
          <w:tcPr>
            <w:tcW w:w="2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180" w:type="dxa"/>
            <w:vAlign w:val="bottom"/>
          </w:tcPr>
          <w:p>
            <w:pPr>
              <w:spacing w:after="0"/>
              <w:rPr>
                <w:sz w:val="15"/>
                <w:szCs w:val="15"/>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50</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8,038</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80</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60" w:type="dxa"/>
            <w:vAlign w:val="bottom"/>
            <w:gridSpan w:val="8"/>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39,943</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40,686</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42,401</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39,336</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35,566</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3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162,366</w:t>
            </w:r>
          </w:p>
        </w:tc>
        <w:tc>
          <w:tcPr>
            <w:tcW w:w="240" w:type="dxa"/>
            <w:vAlign w:val="bottom"/>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132,277</w:t>
            </w:r>
          </w:p>
        </w:tc>
        <w:tc>
          <w:tcPr>
            <w:tcW w:w="22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spacing w:after="0"/>
              <w:rPr>
                <w:sz w:val="20"/>
                <w:szCs w:val="20"/>
                <w:color w:val="auto"/>
              </w:rPr>
            </w:pPr>
            <w:r>
              <w:rPr>
                <w:rFonts w:ascii="Arial" w:cs="Arial" w:eastAsia="Arial" w:hAnsi="Arial"/>
                <w:sz w:val="11"/>
                <w:szCs w:val="11"/>
                <w:b w:val="1"/>
                <w:bCs w:val="1"/>
                <w:color w:val="auto"/>
              </w:rPr>
              <w:t>LINE OF BUSINESS NET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40" w:type="dxa"/>
            <w:vAlign w:val="bottom"/>
            <w:tcBorders>
              <w:top w:val="single" w:sz="8" w:color="auto"/>
              <w:bottom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INCOME/(LOSS)</w:t>
            </w:r>
          </w:p>
        </w:tc>
        <w:tc>
          <w:tcPr>
            <w:tcW w:w="420" w:type="dxa"/>
            <w:vAlign w:val="bottom"/>
            <w:tcBorders>
              <w:top w:val="single" w:sz="8" w:color="auto"/>
            </w:tcBorders>
            <w:gridSpan w:val="2"/>
          </w:tcPr>
          <w:p>
            <w:pPr>
              <w:spacing w:after="0"/>
              <w:rPr>
                <w:sz w:val="7"/>
                <w:szCs w:val="7"/>
                <w:color w:val="auto"/>
              </w:rPr>
            </w:pPr>
          </w:p>
        </w:tc>
        <w:tc>
          <w:tcPr>
            <w:tcW w:w="500" w:type="dxa"/>
            <w:vAlign w:val="bottom"/>
            <w:gridSpan w:val="3"/>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Consumer &amp; Community Banking</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4,788</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5,895</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5,306</w:t>
            </w:r>
          </w:p>
        </w:tc>
        <w:tc>
          <w:tcPr>
            <w:tcW w:w="240" w:type="dxa"/>
            <w:vAlign w:val="bottom"/>
          </w:tcPr>
          <w:p>
            <w:pPr>
              <w:spacing w:after="0"/>
              <w:rPr>
                <w:sz w:val="14"/>
                <w:szCs w:val="14"/>
                <w:color w:val="auto"/>
              </w:rPr>
            </w:pPr>
          </w:p>
        </w:tc>
        <w:tc>
          <w:tcPr>
            <w:tcW w:w="80" w:type="dxa"/>
            <w:vAlign w:val="bottom"/>
          </w:tcPr>
          <w:p>
            <w:pPr>
              <w:jc w:val="center"/>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5,243</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4,556</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8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3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21,232</w:t>
            </w:r>
          </w:p>
        </w:tc>
        <w:tc>
          <w:tcPr>
            <w:tcW w:w="2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14,916</w:t>
            </w:r>
          </w:p>
        </w:tc>
        <w:tc>
          <w:tcPr>
            <w:tcW w:w="22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Corporate &amp; Investment Bank</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2,524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3,092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4,092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4,421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3,314</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180" w:type="dxa"/>
            <w:vAlign w:val="bottom"/>
          </w:tcPr>
          <w:p>
            <w:pPr>
              <w:spacing w:after="0"/>
              <w:rPr>
                <w:sz w:val="14"/>
                <w:szCs w:val="1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14,129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14,925</w:t>
            </w:r>
          </w:p>
        </w:tc>
        <w:tc>
          <w:tcPr>
            <w:tcW w:w="22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Commercial Banking</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1,653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1,935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1,208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1,347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1,423</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8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6,143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4,213</w:t>
            </w:r>
          </w:p>
        </w:tc>
        <w:tc>
          <w:tcPr>
            <w:tcW w:w="22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Asset &amp; Wealth Management</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1,417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1,226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1,367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1,134</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8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5,227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4,365</w:t>
            </w:r>
          </w:p>
        </w:tc>
        <w:tc>
          <w:tcPr>
            <w:tcW w:w="22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Corporate</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(875)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812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2,640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244</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581</w:t>
            </w:r>
          </w:p>
        </w:tc>
        <w:tc>
          <w:tcPr>
            <w:tcW w:w="200" w:type="dxa"/>
            <w:vAlign w:val="bottom"/>
          </w:tcPr>
          <w:p>
            <w:pPr>
              <w:spacing w:after="0"/>
              <w:rPr>
                <w:sz w:val="15"/>
                <w:szCs w:val="15"/>
                <w:color w:val="auto"/>
              </w:rPr>
            </w:pP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NM</w:t>
            </w:r>
          </w:p>
        </w:tc>
        <w:tc>
          <w:tcPr>
            <w:tcW w:w="820" w:type="dxa"/>
            <w:vAlign w:val="bottom"/>
            <w:gridSpan w:val="2"/>
          </w:tcPr>
          <w:p>
            <w:pPr>
              <w:ind w:left="300"/>
              <w:spacing w:after="0"/>
              <w:rPr>
                <w:sz w:val="20"/>
                <w:szCs w:val="20"/>
                <w:color w:val="auto"/>
              </w:rPr>
            </w:pPr>
            <w:r>
              <w:rPr>
                <w:rFonts w:ascii="Arial" w:cs="Arial" w:eastAsia="Arial" w:hAnsi="Arial"/>
                <w:sz w:val="11"/>
                <w:szCs w:val="11"/>
                <w:color w:val="auto"/>
              </w:rPr>
              <w:t>NM</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2,821</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(743)</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60" w:type="dxa"/>
            <w:vAlign w:val="bottom"/>
            <w:gridSpan w:val="8"/>
          </w:tcPr>
          <w:p>
            <w:pPr>
              <w:ind w:left="120"/>
              <w:spacing w:after="0"/>
              <w:rPr>
                <w:sz w:val="20"/>
                <w:szCs w:val="20"/>
                <w:color w:val="auto"/>
              </w:rPr>
            </w:pPr>
            <w:r>
              <w:rPr>
                <w:rFonts w:ascii="Arial" w:cs="Arial" w:eastAsia="Arial" w:hAnsi="Arial"/>
                <w:sz w:val="11"/>
                <w:szCs w:val="11"/>
                <w:b w:val="1"/>
                <w:bCs w:val="1"/>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9,307</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13,151</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14,472</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12,622</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11,008</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(29)</w:t>
            </w:r>
          </w:p>
        </w:tc>
        <w:tc>
          <w:tcPr>
            <w:tcW w:w="180" w:type="dxa"/>
            <w:vAlign w:val="bottom"/>
          </w:tcPr>
          <w:p>
            <w:pPr>
              <w:spacing w:after="0"/>
              <w:rPr>
                <w:sz w:val="14"/>
                <w:szCs w:val="1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3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49,552</w:t>
            </w:r>
          </w:p>
        </w:tc>
        <w:tc>
          <w:tcPr>
            <w:tcW w:w="240" w:type="dxa"/>
            <w:vAlign w:val="bottom"/>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37,676</w:t>
            </w:r>
          </w:p>
        </w:tc>
        <w:tc>
          <w:tcPr>
            <w:tcW w:w="22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gridSpan w:val="8"/>
          </w:tcPr>
          <w:p>
            <w:pPr>
              <w:spacing w:after="0"/>
              <w:rPr>
                <w:sz w:val="20"/>
                <w:szCs w:val="20"/>
                <w:color w:val="auto"/>
              </w:rPr>
            </w:pPr>
            <w:r>
              <w:rPr>
                <w:rFonts w:ascii="Arial" w:cs="Arial" w:eastAsia="Arial" w:hAnsi="Arial"/>
                <w:sz w:val="11"/>
                <w:szCs w:val="11"/>
                <w:b w:val="1"/>
                <w:bCs w:val="1"/>
                <w:color w:val="auto"/>
              </w:rPr>
              <w:t>MEMO: SELECTED FIRMWIDE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gridSpan w:val="8"/>
          </w:tcPr>
          <w:p>
            <w:pPr>
              <w:spacing w:after="0"/>
              <w:rPr>
                <w:sz w:val="20"/>
                <w:szCs w:val="20"/>
                <w:color w:val="auto"/>
              </w:rPr>
            </w:pPr>
            <w:r>
              <w:rPr>
                <w:rFonts w:ascii="Arial" w:cs="Arial" w:eastAsia="Arial" w:hAnsi="Arial"/>
                <w:sz w:val="11"/>
                <w:szCs w:val="11"/>
                <w:b w:val="1"/>
                <w:bCs w:val="1"/>
                <w:color w:val="auto"/>
              </w:rPr>
              <w:t>METRICS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spacing w:after="0"/>
              <w:rPr>
                <w:sz w:val="20"/>
                <w:szCs w:val="20"/>
                <w:color w:val="auto"/>
              </w:rPr>
            </w:pPr>
            <w:r>
              <w:rPr>
                <w:rFonts w:ascii="Arial" w:cs="Arial" w:eastAsia="Arial" w:hAnsi="Arial"/>
                <w:sz w:val="11"/>
                <w:szCs w:val="11"/>
                <w:b w:val="1"/>
                <w:bCs w:val="1"/>
                <w:color w:val="auto"/>
              </w:rPr>
              <w:t>Wealth Management (d)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Client assets (in billions)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3,177</w:t>
            </w:r>
          </w:p>
        </w:tc>
        <w:tc>
          <w:tcPr>
            <w:tcW w:w="220" w:type="dxa"/>
            <w:vAlign w:val="bottom"/>
          </w:tcPr>
          <w:p>
            <w:pPr>
              <w:ind w:left="20"/>
              <w:spacing w:after="0"/>
              <w:rPr>
                <w:sz w:val="20"/>
                <w:szCs w:val="20"/>
                <w:color w:val="auto"/>
              </w:rPr>
            </w:pPr>
            <w:r>
              <w:rPr>
                <w:rFonts w:ascii="Arial" w:cs="Arial" w:eastAsia="Arial" w:hAnsi="Arial"/>
                <w:sz w:val="11"/>
                <w:szCs w:val="11"/>
                <w:color w:val="auto"/>
              </w:rPr>
              <w:t>(g)</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2,929</w:t>
            </w:r>
          </w:p>
        </w:tc>
        <w:tc>
          <w:tcPr>
            <w:tcW w:w="220" w:type="dxa"/>
            <w:vAlign w:val="bottom"/>
          </w:tcPr>
          <w:p>
            <w:pPr>
              <w:spacing w:after="0"/>
              <w:rPr>
                <w:sz w:val="20"/>
                <w:szCs w:val="20"/>
                <w:color w:val="auto"/>
              </w:rPr>
            </w:pPr>
            <w:r>
              <w:rPr>
                <w:rFonts w:ascii="Arial" w:cs="Arial" w:eastAsia="Arial" w:hAnsi="Arial"/>
                <w:sz w:val="11"/>
                <w:szCs w:val="11"/>
                <w:color w:val="auto"/>
              </w:rPr>
              <w:t>(g)</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2,862</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80" w:type="dxa"/>
            <w:vAlign w:val="bottom"/>
          </w:tcPr>
          <w:p>
            <w:pPr>
              <w:jc w:val="center"/>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2,594</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2,438</w:t>
            </w:r>
          </w:p>
        </w:tc>
        <w:tc>
          <w:tcPr>
            <w:tcW w:w="2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18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30</w:t>
            </w:r>
          </w:p>
        </w:tc>
        <w:tc>
          <w:tcPr>
            <w:tcW w:w="3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3,177</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2,438</w:t>
            </w:r>
          </w:p>
        </w:tc>
        <w:tc>
          <w:tcPr>
            <w:tcW w:w="220" w:type="dxa"/>
            <w:vAlign w:val="bottom"/>
          </w:tcPr>
          <w:p>
            <w:pPr>
              <w:spacing w:after="0"/>
              <w:rPr>
                <w:sz w:val="13"/>
                <w:szCs w:val="13"/>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Number of client advisors</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8,971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8,867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8,367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8,314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8,166</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8,971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8,166</w:t>
            </w:r>
          </w:p>
        </w:tc>
        <w:tc>
          <w:tcPr>
            <w:tcW w:w="22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60" w:type="dxa"/>
            <w:vAlign w:val="bottom"/>
            <w:gridSpan w:val="8"/>
          </w:tcPr>
          <w:p>
            <w:pPr>
              <w:spacing w:after="0"/>
              <w:rPr>
                <w:sz w:val="20"/>
                <w:szCs w:val="20"/>
                <w:color w:val="auto"/>
              </w:rPr>
            </w:pPr>
            <w:r>
              <w:rPr>
                <w:rFonts w:ascii="Arial" w:cs="Arial" w:eastAsia="Arial" w:hAnsi="Arial"/>
                <w:sz w:val="11"/>
                <w:szCs w:val="11"/>
                <w:b w:val="1"/>
                <w:bCs w:val="1"/>
                <w:color w:val="auto"/>
              </w:rPr>
              <w:t>J.P.Morgan Payments (e)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Total net revenue</w:t>
            </w:r>
          </w:p>
        </w:tc>
        <w:tc>
          <w:tcPr>
            <w:tcW w:w="100" w:type="dxa"/>
            <w:vAlign w:val="bottom"/>
          </w:tcPr>
          <w:p>
            <w:pPr>
              <w:spacing w:after="0"/>
              <w:rPr>
                <w:sz w:val="13"/>
                <w:szCs w:val="1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4,557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4,504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4,729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4,458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4,423</w:t>
            </w:r>
          </w:p>
        </w:tc>
        <w:tc>
          <w:tcPr>
            <w:tcW w:w="2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18,248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13,909</w:t>
            </w:r>
          </w:p>
        </w:tc>
        <w:tc>
          <w:tcPr>
            <w:tcW w:w="220" w:type="dxa"/>
            <w:vAlign w:val="bottom"/>
          </w:tcPr>
          <w:p>
            <w:pPr>
              <w:spacing w:after="0"/>
              <w:rPr>
                <w:sz w:val="13"/>
                <w:szCs w:val="13"/>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Merchant processing volume (in</w:t>
            </w:r>
          </w:p>
        </w:tc>
        <w:tc>
          <w:tcPr>
            <w:tcW w:w="100" w:type="dxa"/>
            <w:vAlign w:val="bottom"/>
          </w:tcPr>
          <w:p>
            <w:pPr>
              <w:spacing w:after="0"/>
              <w:rPr>
                <w:sz w:val="15"/>
                <w:szCs w:val="15"/>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639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610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600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559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583</w:t>
            </w:r>
          </w:p>
        </w:tc>
        <w:tc>
          <w:tcPr>
            <w:tcW w:w="200" w:type="dxa"/>
            <w:vAlign w:val="bottom"/>
          </w:tcPr>
          <w:p>
            <w:pPr>
              <w:spacing w:after="0"/>
              <w:rPr>
                <w:sz w:val="15"/>
                <w:szCs w:val="15"/>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5"/>
                <w:szCs w:val="15"/>
                <w:color w:val="auto"/>
              </w:rPr>
            </w:pPr>
          </w:p>
        </w:tc>
        <w:tc>
          <w:tcPr>
            <w:tcW w:w="480" w:type="dxa"/>
            <w:vAlign w:val="bottom"/>
            <w:vMerge w:val="restart"/>
          </w:tcPr>
          <w:p>
            <w:pPr>
              <w:jc w:val="right"/>
              <w:ind w:right="106"/>
              <w:spacing w:after="0"/>
              <w:rPr>
                <w:sz w:val="20"/>
                <w:szCs w:val="20"/>
                <w:color w:val="auto"/>
              </w:rPr>
            </w:pPr>
            <w:r>
              <w:rPr>
                <w:rFonts w:ascii="Arial" w:cs="Arial" w:eastAsia="Arial" w:hAnsi="Arial"/>
                <w:sz w:val="11"/>
                <w:szCs w:val="11"/>
                <w:color w:val="auto"/>
              </w:rPr>
              <w:t>10</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2,408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2,158</w:t>
            </w:r>
          </w:p>
        </w:tc>
        <w:tc>
          <w:tcPr>
            <w:tcW w:w="220" w:type="dxa"/>
            <w:vAlign w:val="bottom"/>
          </w:tcPr>
          <w:p>
            <w:pPr>
              <w:spacing w:after="0"/>
              <w:rPr>
                <w:sz w:val="15"/>
                <w:szCs w:val="15"/>
                <w:color w:val="auto"/>
              </w:rPr>
            </w:pPr>
          </w:p>
        </w:tc>
        <w:tc>
          <w:tcPr>
            <w:tcW w:w="680" w:type="dxa"/>
            <w:vAlign w:val="bottom"/>
            <w:vMerge w:val="restart"/>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billions)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8"/>
          </w:tcPr>
          <w:p>
            <w:pPr>
              <w:spacing w:after="0"/>
              <w:rPr>
                <w:sz w:val="20"/>
                <w:szCs w:val="20"/>
                <w:color w:val="auto"/>
              </w:rPr>
            </w:pPr>
            <w:r>
              <w:rPr>
                <w:rFonts w:ascii="Arial" w:cs="Arial" w:eastAsia="Arial" w:hAnsi="Arial"/>
                <w:sz w:val="11"/>
                <w:szCs w:val="11"/>
                <w:color w:val="auto"/>
              </w:rPr>
              <w:t>Average deposits (in billions)</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730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702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720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707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732</w:t>
            </w:r>
          </w:p>
        </w:tc>
        <w:tc>
          <w:tcPr>
            <w:tcW w:w="2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4"/>
                <w:szCs w:val="14"/>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715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779</w:t>
            </w:r>
          </w:p>
        </w:tc>
        <w:tc>
          <w:tcPr>
            <w:tcW w:w="22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0"/>
          <w:szCs w:val="10"/>
          <w:color w:val="auto"/>
        </w:rPr>
        <w:t>On May 1, 2023, JPMorgan Chase acquired certain assets and assumed certain liabilities of First Republic Bank from the FDIC. Refer to page 30 for additional information.</w:t>
      </w:r>
    </w:p>
    <w:p>
      <w:pPr>
        <w:spacing w:after="0" w:line="47"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This metric, which was formerly Headcount, has been renamed Employees but otherwise unchanged.</w:t>
      </w:r>
    </w:p>
    <w:p>
      <w:pPr>
        <w:spacing w:after="0" w:line="16" w:lineRule="exact"/>
        <w:rPr>
          <w:rFonts w:ascii="Arial" w:cs="Arial" w:eastAsia="Arial" w:hAnsi="Arial"/>
          <w:sz w:val="10"/>
          <w:szCs w:val="10"/>
          <w:color w:val="auto"/>
        </w:rPr>
      </w:pPr>
    </w:p>
    <w:p>
      <w:pPr>
        <w:ind w:left="160" w:hanging="152"/>
        <w:spacing w:after="0"/>
        <w:tabs>
          <w:tab w:leader="none" w:pos="1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Refer to Corporate &amp; Investment Bank VaR on page 18 for further information.</w:t>
      </w:r>
    </w:p>
    <w:p>
      <w:pPr>
        <w:spacing w:after="0" w:line="6" w:lineRule="exact"/>
        <w:rPr>
          <w:rFonts w:ascii="Arial" w:cs="Arial" w:eastAsia="Arial" w:hAnsi="Arial"/>
          <w:sz w:val="10"/>
          <w:szCs w:val="10"/>
          <w:color w:val="auto"/>
        </w:rPr>
      </w:pPr>
    </w:p>
    <w:p>
      <w:pPr>
        <w:ind w:left="160" w:hanging="152"/>
        <w:spacing w:after="0"/>
        <w:tabs>
          <w:tab w:leader="none" w:pos="1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Refer to Reconciliation from Reported to Managed Basis on page 7 for a further discussion of managed basis.</w:t>
      </w:r>
    </w:p>
    <w:p>
      <w:pPr>
        <w:spacing w:after="0" w:line="6" w:lineRule="exact"/>
        <w:rPr>
          <w:rFonts w:ascii="Arial" w:cs="Arial" w:eastAsia="Arial" w:hAnsi="Arial"/>
          <w:sz w:val="10"/>
          <w:szCs w:val="10"/>
          <w:color w:val="auto"/>
        </w:rPr>
      </w:pPr>
    </w:p>
    <w:p>
      <w:pPr>
        <w:ind w:left="160" w:hanging="152"/>
        <w:spacing w:after="0"/>
        <w:tabs>
          <w:tab w:leader="none" w:pos="1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Consists of Global Private Bank in AWM and client investment assets in J.P.Morgan Wealth Management in CCB.</w:t>
      </w:r>
    </w:p>
    <w:p>
      <w:pPr>
        <w:spacing w:after="0" w:line="11" w:lineRule="exact"/>
        <w:rPr>
          <w:rFonts w:ascii="Arial" w:cs="Arial" w:eastAsia="Arial" w:hAnsi="Arial"/>
          <w:sz w:val="10"/>
          <w:szCs w:val="10"/>
          <w:color w:val="auto"/>
        </w:rPr>
      </w:pPr>
    </w:p>
    <w:p>
      <w:pPr>
        <w:ind w:left="160" w:hanging="152"/>
        <w:spacing w:after="0"/>
        <w:tabs>
          <w:tab w:leader="none" w:pos="1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Predominantly in CIB and CB. Total net revenue includes certain revenues that are reported as investment banking product revenue in CB, excludes the net impact of equity investments.</w:t>
      </w:r>
    </w:p>
    <w:p>
      <w:pPr>
        <w:spacing w:after="0" w:line="15" w:lineRule="exact"/>
        <w:rPr>
          <w:rFonts w:ascii="Arial" w:cs="Arial" w:eastAsia="Arial" w:hAnsi="Arial"/>
          <w:sz w:val="10"/>
          <w:szCs w:val="10"/>
          <w:color w:val="auto"/>
        </w:rPr>
      </w:pPr>
    </w:p>
    <w:p>
      <w:pPr>
        <w:ind w:left="160" w:hanging="152"/>
        <w:spacing w:after="0"/>
        <w:tabs>
          <w:tab w:leader="none" w:pos="1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Included a five-year $50 billion Purchase Money Note issued to the FDIC, as well as Federal Home Loan Bank (“FHLB”) advances associated with the First Republic acquisition.</w:t>
      </w:r>
    </w:p>
    <w:p>
      <w:pPr>
        <w:spacing w:after="0" w:line="6" w:lineRule="exact"/>
        <w:rPr>
          <w:rFonts w:ascii="Arial" w:cs="Arial" w:eastAsia="Arial" w:hAnsi="Arial"/>
          <w:sz w:val="10"/>
          <w:szCs w:val="10"/>
          <w:color w:val="auto"/>
        </w:rPr>
      </w:pPr>
    </w:p>
    <w:p>
      <w:pPr>
        <w:ind w:left="160" w:hanging="152"/>
        <w:spacing w:after="0"/>
        <w:tabs>
          <w:tab w:leader="none" w:pos="1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At December 31, 2023, September 30, 2023, and June 30, 2023, included $144.6 billion, $140.6 billion, and $150.9 billion of client investment assets associated with First Republic, respectively.</w:t>
      </w:r>
    </w:p>
    <w:p>
      <w:pPr>
        <w:spacing w:after="0" w:line="6" w:lineRule="exact"/>
        <w:rPr>
          <w:rFonts w:ascii="Arial" w:cs="Arial" w:eastAsia="Arial" w:hAnsi="Arial"/>
          <w:sz w:val="10"/>
          <w:szCs w:val="10"/>
          <w:color w:val="auto"/>
        </w:rPr>
      </w:pPr>
    </w:p>
    <w:p>
      <w:pPr>
        <w:ind w:left="160" w:hanging="152"/>
        <w:spacing w:after="0"/>
        <w:tabs>
          <w:tab w:leader="none" w:pos="1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Included 4,774 individuals associated with First Republic who became employees effective July 2, 2023.</w:t>
      </w:r>
    </w:p>
    <w:p>
      <w:pPr>
        <w:spacing w:after="0" w:line="11" w:lineRule="exact"/>
        <w:rPr>
          <w:rFonts w:ascii="Arial" w:cs="Arial" w:eastAsia="Arial" w:hAnsi="Arial"/>
          <w:sz w:val="10"/>
          <w:szCs w:val="10"/>
          <w:color w:val="auto"/>
        </w:rPr>
      </w:pPr>
    </w:p>
    <w:p>
      <w:pPr>
        <w:ind w:left="180" w:right="280" w:hanging="172"/>
        <w:spacing w:after="0" w:line="295" w:lineRule="auto"/>
        <w:tabs>
          <w:tab w:leader="none" w:pos="178" w:val="left"/>
        </w:tabs>
        <w:numPr>
          <w:ilvl w:val="0"/>
          <w:numId w:val="10"/>
        </w:numPr>
        <w:rPr>
          <w:rFonts w:ascii="Arial" w:cs="Arial" w:eastAsia="Arial" w:hAnsi="Arial"/>
          <w:sz w:val="10"/>
          <w:szCs w:val="10"/>
          <w:color w:val="auto"/>
        </w:rPr>
      </w:pPr>
      <w:r>
        <w:rPr>
          <w:rFonts w:ascii="Arial" w:cs="Arial" w:eastAsia="Arial" w:hAnsi="Arial"/>
          <w:sz w:val="10"/>
          <w:szCs w:val="10"/>
          <w:color w:val="auto"/>
        </w:rPr>
        <w:t>In the first quarter of 2023, the allocations of revenue and expense to CCB associated with a Merchant Services revenue sharing agreement were discontinued and are now retained in Payments in CIB. Prior-period amounts have been revised to conform with the current presentation.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3</w:t>
      </w:r>
    </w:p>
    <w:p>
      <w:pPr>
        <w:sectPr>
          <w:pgSz w:w="11900" w:h="16838" w:orient="portrait"/>
          <w:cols w:equalWidth="0" w:num="1">
            <w:col w:w="11240"/>
          </w:cols>
          <w:pgMar w:left="320" w:top="612"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-78740</wp:posOffset>
            </wp:positionV>
            <wp:extent cx="237426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OF INCOME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per share and ratio</w:t>
      </w:r>
    </w:p>
    <w:p>
      <w:pPr>
        <w:ind w:left="20"/>
        <w:spacing w:after="0"/>
        <w:rPr>
          <w:sz w:val="20"/>
          <w:szCs w:val="20"/>
          <w:color w:val="auto"/>
        </w:rPr>
      </w:pPr>
      <w:r>
        <w:rPr>
          <w:rFonts w:ascii="Arial" w:cs="Arial" w:eastAsia="Arial" w:hAnsi="Arial"/>
          <w:sz w:val="11"/>
          <w:szCs w:val="11"/>
          <w:b w:val="1"/>
          <w:bCs w:val="1"/>
          <w:color w:val="auto"/>
        </w:rPr>
        <w:t>data)</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ind w:left="380"/>
              <w:spacing w:after="0"/>
              <w:rPr>
                <w:sz w:val="20"/>
                <w:szCs w:val="20"/>
                <w:color w:val="auto"/>
              </w:rPr>
            </w:pPr>
            <w:r>
              <w:rPr>
                <w:rFonts w:ascii="Arial" w:cs="Arial" w:eastAsia="Arial" w:hAnsi="Arial"/>
                <w:sz w:val="11"/>
                <w:szCs w:val="11"/>
                <w:b w:val="1"/>
                <w:bCs w:val="1"/>
                <w:color w:val="auto"/>
              </w:rPr>
              <w:t>QUARTERLY TRENDS</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FULL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1"/>
                <w:szCs w:val="11"/>
                <w:b w:val="1"/>
                <w:bCs w:val="1"/>
                <w:color w:val="auto"/>
              </w:rPr>
              <w:t>4Q23 Change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 Change</w:t>
            </w:r>
          </w:p>
        </w:tc>
        <w:tc>
          <w:tcPr>
            <w:tcW w:w="0" w:type="dxa"/>
            <w:vAlign w:val="bottom"/>
          </w:tcPr>
          <w:p>
            <w:pPr>
              <w:spacing w:after="0"/>
              <w:rPr>
                <w:sz w:val="1"/>
                <w:szCs w:val="1"/>
                <w:color w:val="auto"/>
              </w:rPr>
            </w:pPr>
          </w:p>
        </w:tc>
      </w:tr>
      <w:tr>
        <w:trPr>
          <w:trHeight w:val="122"/>
        </w:trPr>
        <w:tc>
          <w:tcPr>
            <w:tcW w:w="2160" w:type="dxa"/>
            <w:vAlign w:val="bottom"/>
            <w:gridSpan w:val="6"/>
          </w:tcPr>
          <w:p>
            <w:pPr>
              <w:spacing w:after="0" w:line="122" w:lineRule="exact"/>
              <w:rPr>
                <w:sz w:val="20"/>
                <w:szCs w:val="20"/>
                <w:color w:val="auto"/>
              </w:rPr>
            </w:pPr>
            <w:r>
              <w:rPr>
                <w:rFonts w:ascii="Arial" w:cs="Arial" w:eastAsia="Arial" w:hAnsi="Arial"/>
                <w:sz w:val="11"/>
                <w:szCs w:val="11"/>
                <w:b w:val="1"/>
                <w:bCs w:val="1"/>
                <w:color w:val="auto"/>
              </w:rPr>
              <w:t>REVENUE</w:t>
            </w:r>
          </w:p>
        </w:tc>
        <w:tc>
          <w:tcPr>
            <w:tcW w:w="140" w:type="dxa"/>
            <w:vAlign w:val="bottom"/>
          </w:tcPr>
          <w:p>
            <w:pPr>
              <w:spacing w:after="0"/>
              <w:rPr>
                <w:sz w:val="10"/>
                <w:szCs w:val="10"/>
                <w:color w:val="auto"/>
              </w:rPr>
            </w:pPr>
          </w:p>
        </w:tc>
        <w:tc>
          <w:tcPr>
            <w:tcW w:w="52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4Q23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3Q23</w:t>
            </w:r>
          </w:p>
        </w:tc>
        <w:tc>
          <w:tcPr>
            <w:tcW w:w="140" w:type="dxa"/>
            <w:vAlign w:val="bottom"/>
          </w:tcPr>
          <w:p>
            <w:pPr>
              <w:spacing w:after="0"/>
              <w:rPr>
                <w:sz w:val="10"/>
                <w:szCs w:val="10"/>
                <w:color w:val="auto"/>
              </w:rPr>
            </w:pPr>
          </w:p>
        </w:tc>
        <w:tc>
          <w:tcPr>
            <w:tcW w:w="54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2Q23</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1Q23</w:t>
            </w:r>
          </w:p>
        </w:tc>
        <w:tc>
          <w:tcPr>
            <w:tcW w:w="140" w:type="dxa"/>
            <w:vAlign w:val="bottom"/>
          </w:tcPr>
          <w:p>
            <w:pPr>
              <w:spacing w:after="0"/>
              <w:rPr>
                <w:sz w:val="10"/>
                <w:szCs w:val="10"/>
                <w:color w:val="auto"/>
              </w:rPr>
            </w:pPr>
          </w:p>
        </w:tc>
        <w:tc>
          <w:tcPr>
            <w:tcW w:w="5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4Q22</w:t>
            </w:r>
          </w:p>
        </w:tc>
        <w:tc>
          <w:tcPr>
            <w:tcW w:w="200" w:type="dxa"/>
            <w:vAlign w:val="bottom"/>
          </w:tcPr>
          <w:p>
            <w:pPr>
              <w:spacing w:after="0"/>
              <w:rPr>
                <w:sz w:val="10"/>
                <w:szCs w:val="10"/>
                <w:color w:val="auto"/>
              </w:rPr>
            </w:pPr>
          </w:p>
        </w:tc>
        <w:tc>
          <w:tcPr>
            <w:tcW w:w="72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3Q23</w:t>
            </w:r>
          </w:p>
        </w:tc>
        <w:tc>
          <w:tcPr>
            <w:tcW w:w="94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4Q22</w:t>
            </w:r>
          </w:p>
        </w:tc>
        <w:tc>
          <w:tcPr>
            <w:tcW w:w="100" w:type="dxa"/>
            <w:vAlign w:val="bottom"/>
          </w:tcPr>
          <w:p>
            <w:pPr>
              <w:spacing w:after="0"/>
              <w:rPr>
                <w:sz w:val="10"/>
                <w:szCs w:val="10"/>
                <w:color w:val="auto"/>
              </w:rPr>
            </w:pPr>
          </w:p>
        </w:tc>
        <w:tc>
          <w:tcPr>
            <w:tcW w:w="5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2023</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2022</w:t>
            </w:r>
          </w:p>
        </w:tc>
        <w:tc>
          <w:tcPr>
            <w:tcW w:w="920" w:type="dxa"/>
            <w:vAlign w:val="bottom"/>
            <w:gridSpan w:val="2"/>
          </w:tcPr>
          <w:p>
            <w:pPr>
              <w:jc w:val="right"/>
              <w:ind w:right="186"/>
              <w:spacing w:after="0" w:line="122" w:lineRule="exact"/>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160" w:type="dxa"/>
            <w:vAlign w:val="bottom"/>
            <w:gridSpan w:val="6"/>
            <w:vMerge w:val="restart"/>
          </w:tcPr>
          <w:p>
            <w:pPr>
              <w:spacing w:after="0"/>
              <w:rPr>
                <w:sz w:val="20"/>
                <w:szCs w:val="20"/>
                <w:color w:val="auto"/>
              </w:rPr>
            </w:pPr>
            <w:r>
              <w:rPr>
                <w:rFonts w:ascii="Arial" w:cs="Arial" w:eastAsia="Arial" w:hAnsi="Arial"/>
                <w:sz w:val="11"/>
                <w:szCs w:val="11"/>
                <w:color w:val="auto"/>
              </w:rPr>
              <w:t>Investment banking fees</w:t>
            </w: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160" w:type="dxa"/>
            <w:vAlign w:val="bottom"/>
            <w:gridSpan w:val="6"/>
            <w:vMerge w:val="continue"/>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1,635</w:t>
            </w:r>
          </w:p>
        </w:tc>
        <w:tc>
          <w:tcPr>
            <w:tcW w:w="24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1,722</w:t>
            </w:r>
          </w:p>
        </w:tc>
        <w:tc>
          <w:tcPr>
            <w:tcW w:w="20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1,513</w:t>
            </w:r>
          </w:p>
        </w:tc>
        <w:tc>
          <w:tcPr>
            <w:tcW w:w="24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1,649</w:t>
            </w:r>
          </w:p>
        </w:tc>
        <w:tc>
          <w:tcPr>
            <w:tcW w:w="20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1,418</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15 %</w:t>
            </w:r>
          </w:p>
        </w:tc>
        <w:tc>
          <w:tcPr>
            <w:tcW w:w="4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6,519</w:t>
            </w:r>
          </w:p>
        </w:tc>
        <w:tc>
          <w:tcPr>
            <w:tcW w:w="28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6,686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160" w:type="dxa"/>
            <w:vAlign w:val="bottom"/>
            <w:gridSpan w:val="6"/>
          </w:tcPr>
          <w:p>
            <w:pPr>
              <w:spacing w:after="0"/>
              <w:rPr>
                <w:sz w:val="20"/>
                <w:szCs w:val="20"/>
                <w:color w:val="auto"/>
              </w:rPr>
            </w:pPr>
            <w:r>
              <w:rPr>
                <w:rFonts w:ascii="Arial" w:cs="Arial" w:eastAsia="Arial" w:hAnsi="Arial"/>
                <w:sz w:val="11"/>
                <w:szCs w:val="11"/>
                <w:color w:val="auto"/>
              </w:rPr>
              <w:t>Principal transactions</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3,725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6,210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6,910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7,615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4,434</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(40)</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24,460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19,912</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62"/>
        </w:trPr>
        <w:tc>
          <w:tcPr>
            <w:tcW w:w="2160" w:type="dxa"/>
            <w:vAlign w:val="bottom"/>
            <w:gridSpan w:val="6"/>
          </w:tcPr>
          <w:p>
            <w:pPr>
              <w:spacing w:after="0"/>
              <w:rPr>
                <w:sz w:val="20"/>
                <w:szCs w:val="20"/>
                <w:color w:val="auto"/>
              </w:rPr>
            </w:pPr>
            <w:r>
              <w:rPr>
                <w:rFonts w:ascii="Arial" w:cs="Arial" w:eastAsia="Arial" w:hAnsi="Arial"/>
                <w:sz w:val="11"/>
                <w:szCs w:val="11"/>
                <w:color w:val="auto"/>
              </w:rPr>
              <w:t>Lending- and deposit-related fees</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1,926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2,039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1,828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1,620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1,655</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7,413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7,098</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160" w:type="dxa"/>
            <w:vAlign w:val="bottom"/>
            <w:gridSpan w:val="6"/>
          </w:tcPr>
          <w:p>
            <w:pPr>
              <w:spacing w:after="0"/>
              <w:rPr>
                <w:sz w:val="20"/>
                <w:szCs w:val="20"/>
                <w:color w:val="auto"/>
              </w:rPr>
            </w:pPr>
            <w:r>
              <w:rPr>
                <w:rFonts w:ascii="Arial" w:cs="Arial" w:eastAsia="Arial" w:hAnsi="Arial"/>
                <w:sz w:val="11"/>
                <w:szCs w:val="11"/>
                <w:color w:val="auto"/>
              </w:rPr>
              <w:t>Asset management fees</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4,077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3,904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3,774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3,465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3,432</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15,220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14,096</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2160" w:type="dxa"/>
            <w:vAlign w:val="bottom"/>
            <w:gridSpan w:val="6"/>
          </w:tcPr>
          <w:p>
            <w:pPr>
              <w:spacing w:after="0"/>
              <w:rPr>
                <w:sz w:val="20"/>
                <w:szCs w:val="20"/>
                <w:color w:val="auto"/>
              </w:rPr>
            </w:pPr>
            <w:r>
              <w:rPr>
                <w:rFonts w:ascii="Arial" w:cs="Arial" w:eastAsia="Arial" w:hAnsi="Arial"/>
                <w:sz w:val="11"/>
                <w:szCs w:val="11"/>
                <w:color w:val="auto"/>
              </w:rPr>
              <w:t>Commissions and other fees</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1,697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1,705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1,739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1,695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1,574</w:t>
            </w:r>
          </w:p>
        </w:tc>
        <w:tc>
          <w:tcPr>
            <w:tcW w:w="2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6,836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6,581</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160" w:type="dxa"/>
            <w:vAlign w:val="bottom"/>
            <w:gridSpan w:val="6"/>
          </w:tcPr>
          <w:p>
            <w:pPr>
              <w:spacing w:after="0"/>
              <w:rPr>
                <w:sz w:val="20"/>
                <w:szCs w:val="20"/>
                <w:color w:val="auto"/>
              </w:rPr>
            </w:pPr>
            <w:r>
              <w:rPr>
                <w:rFonts w:ascii="Arial" w:cs="Arial" w:eastAsia="Arial" w:hAnsi="Arial"/>
                <w:sz w:val="11"/>
                <w:szCs w:val="11"/>
                <w:color w:val="auto"/>
              </w:rPr>
              <w:t>Investment securities losses</w:t>
            </w:r>
          </w:p>
        </w:tc>
        <w:tc>
          <w:tcPr>
            <w:tcW w:w="14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(743)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(669)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(900)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(868)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(874)</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(3,180)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(2,380)</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62"/>
        </w:trPr>
        <w:tc>
          <w:tcPr>
            <w:tcW w:w="2160" w:type="dxa"/>
            <w:vAlign w:val="bottom"/>
            <w:gridSpan w:val="6"/>
          </w:tcPr>
          <w:p>
            <w:pPr>
              <w:spacing w:after="0"/>
              <w:rPr>
                <w:sz w:val="20"/>
                <w:szCs w:val="20"/>
                <w:color w:val="auto"/>
              </w:rPr>
            </w:pPr>
            <w:r>
              <w:rPr>
                <w:rFonts w:ascii="Arial" w:cs="Arial" w:eastAsia="Arial" w:hAnsi="Arial"/>
                <w:sz w:val="11"/>
                <w:szCs w:val="11"/>
                <w:color w:val="auto"/>
              </w:rPr>
              <w:t>Mortgage fees and related income</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263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414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278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98</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(36)</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168</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1,176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1,250</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2160" w:type="dxa"/>
            <w:vAlign w:val="bottom"/>
            <w:gridSpan w:val="6"/>
          </w:tcPr>
          <w:p>
            <w:pPr>
              <w:spacing w:after="0"/>
              <w:rPr>
                <w:sz w:val="20"/>
                <w:szCs w:val="20"/>
                <w:color w:val="auto"/>
              </w:rPr>
            </w:pPr>
            <w:r>
              <w:rPr>
                <w:rFonts w:ascii="Arial" w:cs="Arial" w:eastAsia="Arial" w:hAnsi="Arial"/>
                <w:sz w:val="11"/>
                <w:szCs w:val="11"/>
                <w:color w:val="auto"/>
              </w:rPr>
              <w:t>Card income</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1,247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1,209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1,094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1,234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1,226</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4,784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4,420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75"/>
        </w:trPr>
        <w:tc>
          <w:tcPr>
            <w:tcW w:w="2160" w:type="dxa"/>
            <w:vAlign w:val="bottom"/>
            <w:gridSpan w:val="6"/>
          </w:tcPr>
          <w:p>
            <w:pPr>
              <w:spacing w:after="0"/>
              <w:rPr>
                <w:sz w:val="20"/>
                <w:szCs w:val="20"/>
                <w:color w:val="auto"/>
              </w:rPr>
            </w:pPr>
            <w:r>
              <w:rPr>
                <w:rFonts w:ascii="Arial" w:cs="Arial" w:eastAsia="Arial" w:hAnsi="Arial"/>
                <w:sz w:val="11"/>
                <w:szCs w:val="11"/>
                <w:color w:val="auto"/>
              </w:rPr>
              <w:t>Other income</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696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614</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3,292</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1,007</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1,392</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(50)</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5,609</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4,322</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48"/>
        </w:trPr>
        <w:tc>
          <w:tcPr>
            <w:tcW w:w="2160" w:type="dxa"/>
            <w:vAlign w:val="bottom"/>
            <w:gridSpan w:val="6"/>
          </w:tcPr>
          <w:p>
            <w:pPr>
              <w:ind w:left="200"/>
              <w:spacing w:after="0"/>
              <w:rPr>
                <w:sz w:val="20"/>
                <w:szCs w:val="20"/>
                <w:color w:val="auto"/>
              </w:rPr>
            </w:pPr>
            <w:r>
              <w:rPr>
                <w:rFonts w:ascii="Arial" w:cs="Arial" w:eastAsia="Arial" w:hAnsi="Arial"/>
                <w:sz w:val="11"/>
                <w:szCs w:val="11"/>
                <w:b w:val="1"/>
                <w:bCs w:val="1"/>
                <w:color w:val="auto"/>
              </w:rPr>
              <w:t>Noninterest revenue</w:t>
            </w: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14,523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17,148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19,528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17,638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14,355</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68,837</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61,985</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6"/>
        </w:trPr>
        <w:tc>
          <w:tcPr>
            <w:tcW w:w="2160" w:type="dxa"/>
            <w:vAlign w:val="bottom"/>
            <w:gridSpan w:val="6"/>
          </w:tcPr>
          <w:p>
            <w:pPr>
              <w:spacing w:after="0"/>
              <w:rPr>
                <w:sz w:val="20"/>
                <w:szCs w:val="20"/>
                <w:color w:val="auto"/>
              </w:rPr>
            </w:pPr>
            <w:r>
              <w:rPr>
                <w:rFonts w:ascii="Arial" w:cs="Arial" w:eastAsia="Arial" w:hAnsi="Arial"/>
                <w:sz w:val="11"/>
                <w:szCs w:val="11"/>
                <w:color w:val="auto"/>
              </w:rPr>
              <w:t>Interest income</w:t>
            </w:r>
          </w:p>
        </w:tc>
        <w:tc>
          <w:tcPr>
            <w:tcW w:w="14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47,384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44,556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41,644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37,004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33,054</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170,588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92,807</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75"/>
        </w:trPr>
        <w:tc>
          <w:tcPr>
            <w:tcW w:w="2160" w:type="dxa"/>
            <w:vAlign w:val="bottom"/>
            <w:gridSpan w:val="6"/>
          </w:tcPr>
          <w:p>
            <w:pPr>
              <w:spacing w:after="0"/>
              <w:rPr>
                <w:sz w:val="20"/>
                <w:szCs w:val="20"/>
                <w:color w:val="auto"/>
              </w:rPr>
            </w:pPr>
            <w:r>
              <w:rPr>
                <w:rFonts w:ascii="Arial" w:cs="Arial" w:eastAsia="Arial" w:hAnsi="Arial"/>
                <w:sz w:val="11"/>
                <w:szCs w:val="11"/>
                <w:color w:val="auto"/>
              </w:rPr>
              <w:t>Interest expense</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23,333</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21,830</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19,865</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16,293</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12,862</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81</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81,321</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26,097</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212</w:t>
            </w:r>
          </w:p>
        </w:tc>
        <w:tc>
          <w:tcPr>
            <w:tcW w:w="0" w:type="dxa"/>
            <w:vAlign w:val="bottom"/>
          </w:tcPr>
          <w:p>
            <w:pPr>
              <w:spacing w:after="0"/>
              <w:rPr>
                <w:sz w:val="1"/>
                <w:szCs w:val="1"/>
                <w:color w:val="auto"/>
              </w:rPr>
            </w:pPr>
          </w:p>
        </w:tc>
      </w:tr>
      <w:tr>
        <w:trPr>
          <w:trHeight w:val="156"/>
        </w:trPr>
        <w:tc>
          <w:tcPr>
            <w:tcW w:w="2160" w:type="dxa"/>
            <w:vAlign w:val="bottom"/>
            <w:gridSpan w:val="6"/>
          </w:tcPr>
          <w:p>
            <w:pPr>
              <w:ind w:left="200"/>
              <w:spacing w:after="0"/>
              <w:rPr>
                <w:sz w:val="20"/>
                <w:szCs w:val="20"/>
                <w:color w:val="auto"/>
              </w:rPr>
            </w:pPr>
            <w:r>
              <w:rPr>
                <w:rFonts w:ascii="Arial" w:cs="Arial" w:eastAsia="Arial" w:hAnsi="Arial"/>
                <w:sz w:val="11"/>
                <w:szCs w:val="11"/>
                <w:b w:val="1"/>
                <w:bCs w:val="1"/>
                <w:color w:val="auto"/>
              </w:rPr>
              <w:t>Net interest income</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24,051</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22,726</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21,779</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20,711</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20,192</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89,267</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66,710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48"/>
        </w:trPr>
        <w:tc>
          <w:tcPr>
            <w:tcW w:w="2160" w:type="dxa"/>
            <w:vAlign w:val="bottom"/>
            <w:gridSpan w:val="6"/>
          </w:tcPr>
          <w:p>
            <w:pPr>
              <w:ind w:left="200"/>
              <w:spacing w:after="0"/>
              <w:rPr>
                <w:sz w:val="20"/>
                <w:szCs w:val="20"/>
                <w:color w:val="auto"/>
              </w:rPr>
            </w:pPr>
            <w:r>
              <w:rPr>
                <w:rFonts w:ascii="Arial" w:cs="Arial" w:eastAsia="Arial" w:hAnsi="Arial"/>
                <w:sz w:val="11"/>
                <w:szCs w:val="11"/>
                <w:b w:val="1"/>
                <w:bCs w:val="1"/>
                <w:color w:val="auto"/>
              </w:rPr>
              <w:t>TOTAL NET REVENUE</w:t>
            </w: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38,574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39,874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41,307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38,349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34,547</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158,104</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128,695</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318"/>
        </w:trPr>
        <w:tc>
          <w:tcPr>
            <w:tcW w:w="2160" w:type="dxa"/>
            <w:vAlign w:val="bottom"/>
            <w:gridSpan w:val="6"/>
          </w:tcPr>
          <w:p>
            <w:pPr>
              <w:spacing w:after="0"/>
              <w:rPr>
                <w:sz w:val="20"/>
                <w:szCs w:val="20"/>
                <w:color w:val="auto"/>
              </w:rPr>
            </w:pPr>
            <w:r>
              <w:rPr>
                <w:rFonts w:ascii="Arial" w:cs="Arial" w:eastAsia="Arial" w:hAnsi="Arial"/>
                <w:sz w:val="11"/>
                <w:szCs w:val="11"/>
                <w:color w:val="auto"/>
              </w:rPr>
              <w:t>Provision for credit losses</w:t>
            </w:r>
          </w:p>
        </w:tc>
        <w:tc>
          <w:tcPr>
            <w:tcW w:w="140" w:type="dxa"/>
            <w:vAlign w:val="bottom"/>
          </w:tcPr>
          <w:p>
            <w:pPr>
              <w:spacing w:after="0"/>
              <w:rPr>
                <w:sz w:val="24"/>
                <w:szCs w:val="2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2,762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1,384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2,899</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2,275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2,288</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9,320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6,389</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303"/>
        </w:trPr>
        <w:tc>
          <w:tcPr>
            <w:tcW w:w="2160" w:type="dxa"/>
            <w:vAlign w:val="bottom"/>
            <w:gridSpan w:val="6"/>
          </w:tcPr>
          <w:p>
            <w:pPr>
              <w:spacing w:after="0"/>
              <w:rPr>
                <w:sz w:val="20"/>
                <w:szCs w:val="20"/>
                <w:color w:val="auto"/>
              </w:rPr>
            </w:pPr>
            <w:r>
              <w:rPr>
                <w:rFonts w:ascii="Arial" w:cs="Arial" w:eastAsia="Arial" w:hAnsi="Arial"/>
                <w:sz w:val="11"/>
                <w:szCs w:val="11"/>
                <w:b w:val="1"/>
                <w:bCs w:val="1"/>
                <w:color w:val="auto"/>
              </w:rPr>
              <w:t>NONINTEREST EXPENSE</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32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Compensation expense</w:t>
            </w:r>
          </w:p>
        </w:tc>
        <w:tc>
          <w:tcPr>
            <w:tcW w:w="8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11,847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11,726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11,216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11,676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10,009</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46,465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41,636</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2160" w:type="dxa"/>
            <w:vAlign w:val="bottom"/>
            <w:gridSpan w:val="6"/>
          </w:tcPr>
          <w:p>
            <w:pPr>
              <w:spacing w:after="0"/>
              <w:rPr>
                <w:sz w:val="20"/>
                <w:szCs w:val="20"/>
                <w:color w:val="auto"/>
              </w:rPr>
            </w:pPr>
            <w:r>
              <w:rPr>
                <w:rFonts w:ascii="Arial" w:cs="Arial" w:eastAsia="Arial" w:hAnsi="Arial"/>
                <w:sz w:val="11"/>
                <w:szCs w:val="11"/>
                <w:color w:val="auto"/>
              </w:rPr>
              <w:t>Occupancy expense</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1,208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1,197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1,070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1,115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1,271</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4,590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4,696</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28"/>
        </w:trPr>
        <w:tc>
          <w:tcPr>
            <w:tcW w:w="2160" w:type="dxa"/>
            <w:vAlign w:val="bottom"/>
            <w:gridSpan w:val="6"/>
          </w:tcPr>
          <w:p>
            <w:pPr>
              <w:spacing w:after="0"/>
              <w:rPr>
                <w:sz w:val="20"/>
                <w:szCs w:val="20"/>
                <w:color w:val="auto"/>
              </w:rPr>
            </w:pPr>
            <w:r>
              <w:rPr>
                <w:rFonts w:ascii="Arial" w:cs="Arial" w:eastAsia="Arial" w:hAnsi="Arial"/>
                <w:sz w:val="11"/>
                <w:szCs w:val="11"/>
                <w:color w:val="auto"/>
                <w:w w:val="98"/>
              </w:rPr>
              <w:t>Technology, communications and equipment</w:t>
            </w:r>
          </w:p>
        </w:tc>
        <w:tc>
          <w:tcPr>
            <w:tcW w:w="140" w:type="dxa"/>
            <w:vAlign w:val="bottom"/>
          </w:tcPr>
          <w:p>
            <w:pPr>
              <w:spacing w:after="0"/>
              <w:rPr>
                <w:sz w:val="11"/>
                <w:szCs w:val="11"/>
                <w:color w:val="auto"/>
              </w:rPr>
            </w:pPr>
          </w:p>
        </w:tc>
        <w:tc>
          <w:tcPr>
            <w:tcW w:w="520" w:type="dxa"/>
            <w:vAlign w:val="bottom"/>
            <w:vMerge w:val="restart"/>
          </w:tcPr>
          <w:p>
            <w:pPr>
              <w:jc w:val="right"/>
              <w:ind w:right="86"/>
              <w:spacing w:after="0"/>
              <w:rPr>
                <w:sz w:val="20"/>
                <w:szCs w:val="20"/>
                <w:color w:val="auto"/>
              </w:rPr>
            </w:pPr>
            <w:r>
              <w:rPr>
                <w:rFonts w:ascii="Arial" w:cs="Arial" w:eastAsia="Arial" w:hAnsi="Arial"/>
                <w:sz w:val="11"/>
                <w:szCs w:val="11"/>
                <w:color w:val="auto"/>
              </w:rPr>
              <w:t>2,409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2,386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2,267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2,184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2,256</w:t>
            </w:r>
          </w:p>
        </w:tc>
        <w:tc>
          <w:tcPr>
            <w:tcW w:w="7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9,246</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9,358</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2"/>
        </w:trPr>
        <w:tc>
          <w:tcPr>
            <w:tcW w:w="2160" w:type="dxa"/>
            <w:vAlign w:val="bottom"/>
            <w:gridSpan w:val="6"/>
          </w:tcPr>
          <w:p>
            <w:pPr>
              <w:spacing w:after="0"/>
              <w:rPr>
                <w:sz w:val="20"/>
                <w:szCs w:val="20"/>
                <w:color w:val="auto"/>
              </w:rPr>
            </w:pPr>
            <w:r>
              <w:rPr>
                <w:rFonts w:ascii="Arial" w:cs="Arial" w:eastAsia="Arial" w:hAnsi="Arial"/>
                <w:sz w:val="11"/>
                <w:szCs w:val="11"/>
                <w:color w:val="auto"/>
              </w:rPr>
              <w:t>expense</w:t>
            </w: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60" w:type="dxa"/>
            <w:vAlign w:val="bottom"/>
            <w:gridSpan w:val="6"/>
          </w:tcPr>
          <w:p>
            <w:pPr>
              <w:spacing w:after="0"/>
              <w:rPr>
                <w:sz w:val="20"/>
                <w:szCs w:val="20"/>
                <w:color w:val="auto"/>
              </w:rPr>
            </w:pPr>
            <w:r>
              <w:rPr>
                <w:rFonts w:ascii="Arial" w:cs="Arial" w:eastAsia="Arial" w:hAnsi="Arial"/>
                <w:sz w:val="11"/>
                <w:szCs w:val="11"/>
                <w:color w:val="auto"/>
              </w:rPr>
              <w:t>Professional and outside services</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2,606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2,620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2,561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2,448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2,652</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10,235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10,174</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2160" w:type="dxa"/>
            <w:vAlign w:val="bottom"/>
            <w:gridSpan w:val="6"/>
          </w:tcPr>
          <w:p>
            <w:pPr>
              <w:spacing w:after="0"/>
              <w:rPr>
                <w:sz w:val="20"/>
                <w:szCs w:val="20"/>
                <w:color w:val="auto"/>
              </w:rPr>
            </w:pPr>
            <w:r>
              <w:rPr>
                <w:rFonts w:ascii="Arial" w:cs="Arial" w:eastAsia="Arial" w:hAnsi="Arial"/>
                <w:sz w:val="11"/>
                <w:szCs w:val="11"/>
                <w:color w:val="auto"/>
              </w:rPr>
              <w:t>Marketing</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1,298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1,126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1,122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1,045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1,093</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4,591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3,911</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75"/>
        </w:trPr>
        <w:tc>
          <w:tcPr>
            <w:tcW w:w="2160" w:type="dxa"/>
            <w:vAlign w:val="bottom"/>
            <w:gridSpan w:val="6"/>
          </w:tcPr>
          <w:p>
            <w:pPr>
              <w:spacing w:after="0"/>
              <w:rPr>
                <w:sz w:val="20"/>
                <w:szCs w:val="20"/>
                <w:color w:val="auto"/>
              </w:rPr>
            </w:pPr>
            <w:r>
              <w:rPr>
                <w:rFonts w:ascii="Arial" w:cs="Arial" w:eastAsia="Arial" w:hAnsi="Arial"/>
                <w:sz w:val="11"/>
                <w:szCs w:val="11"/>
                <w:color w:val="auto"/>
              </w:rPr>
              <w:t>Other expense (a)</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5,118</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2,702</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2,586</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1,639</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1,741</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89</w:t>
            </w:r>
          </w:p>
        </w:tc>
        <w:tc>
          <w:tcPr>
            <w:tcW w:w="2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194</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12,045</w:t>
            </w:r>
          </w:p>
        </w:tc>
        <w:tc>
          <w:tcPr>
            <w:tcW w:w="28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6,365</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89</w:t>
            </w:r>
          </w:p>
        </w:tc>
        <w:tc>
          <w:tcPr>
            <w:tcW w:w="0" w:type="dxa"/>
            <w:vAlign w:val="bottom"/>
          </w:tcPr>
          <w:p>
            <w:pPr>
              <w:spacing w:after="0"/>
              <w:rPr>
                <w:sz w:val="1"/>
                <w:szCs w:val="1"/>
                <w:color w:val="auto"/>
              </w:rPr>
            </w:pPr>
          </w:p>
        </w:tc>
      </w:tr>
      <w:tr>
        <w:trPr>
          <w:trHeight w:val="156"/>
        </w:trPr>
        <w:tc>
          <w:tcPr>
            <w:tcW w:w="2160" w:type="dxa"/>
            <w:vAlign w:val="bottom"/>
            <w:gridSpan w:val="6"/>
          </w:tcPr>
          <w:p>
            <w:pPr>
              <w:ind w:left="200"/>
              <w:spacing w:after="0"/>
              <w:rPr>
                <w:sz w:val="20"/>
                <w:szCs w:val="20"/>
                <w:color w:val="auto"/>
              </w:rPr>
            </w:pPr>
            <w:r>
              <w:rPr>
                <w:rFonts w:ascii="Arial" w:cs="Arial" w:eastAsia="Arial" w:hAnsi="Arial"/>
                <w:sz w:val="11"/>
                <w:szCs w:val="11"/>
                <w:b w:val="1"/>
                <w:bCs w:val="1"/>
                <w:color w:val="auto"/>
              </w:rPr>
              <w:t>TOTAL NONINTEREST EXPENSE</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24,486</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21,757</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20,822</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20,107</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19,022</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29</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87,172</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76,140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8"/>
        </w:trPr>
        <w:tc>
          <w:tcPr>
            <w:tcW w:w="2160" w:type="dxa"/>
            <w:vAlign w:val="bottom"/>
            <w:gridSpan w:val="6"/>
          </w:tcPr>
          <w:p>
            <w:pPr>
              <w:ind w:left="200"/>
              <w:spacing w:after="0"/>
              <w:rPr>
                <w:sz w:val="20"/>
                <w:szCs w:val="20"/>
                <w:color w:val="auto"/>
              </w:rPr>
            </w:pPr>
            <w:r>
              <w:rPr>
                <w:rFonts w:ascii="Arial" w:cs="Arial" w:eastAsia="Arial" w:hAnsi="Arial"/>
                <w:sz w:val="11"/>
                <w:szCs w:val="11"/>
                <w:b w:val="1"/>
                <w:bCs w:val="1"/>
                <w:color w:val="auto"/>
              </w:rPr>
              <w:t>Income before income tax expense</w:t>
            </w: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11,326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16,733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17,586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15,967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13,237</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(32)</w:t>
            </w:r>
          </w:p>
        </w:tc>
        <w:tc>
          <w:tcPr>
            <w:tcW w:w="20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61,612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46,166</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70"/>
        </w:trPr>
        <w:tc>
          <w:tcPr>
            <w:tcW w:w="2160" w:type="dxa"/>
            <w:vAlign w:val="bottom"/>
            <w:gridSpan w:val="6"/>
          </w:tcPr>
          <w:p>
            <w:pPr>
              <w:spacing w:after="0"/>
              <w:rPr>
                <w:sz w:val="20"/>
                <w:szCs w:val="20"/>
                <w:color w:val="auto"/>
              </w:rPr>
            </w:pPr>
            <w:r>
              <w:rPr>
                <w:rFonts w:ascii="Arial" w:cs="Arial" w:eastAsia="Arial" w:hAnsi="Arial"/>
                <w:sz w:val="11"/>
                <w:szCs w:val="11"/>
                <w:color w:val="auto"/>
              </w:rPr>
              <w:t>Income tax expense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2,019</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3,582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3,114</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3,345</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2,229</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(44)</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12,060</w:t>
            </w:r>
          </w:p>
        </w:tc>
        <w:tc>
          <w:tcPr>
            <w:tcW w:w="280" w:type="dxa"/>
            <w:vAlign w:val="bottom"/>
          </w:tcPr>
          <w:p>
            <w:pPr>
              <w:ind w:left="20"/>
              <w:spacing w:after="0"/>
              <w:rPr>
                <w:sz w:val="20"/>
                <w:szCs w:val="20"/>
                <w:color w:val="auto"/>
              </w:rPr>
            </w:pPr>
            <w:r>
              <w:rPr>
                <w:rFonts w:ascii="Arial" w:cs="Arial" w:eastAsia="Arial" w:hAnsi="Arial"/>
                <w:sz w:val="11"/>
                <w:szCs w:val="11"/>
                <w:color w:val="auto"/>
              </w:rPr>
              <w:t>(e)(f)</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8,490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69"/>
        </w:trPr>
        <w:tc>
          <w:tcPr>
            <w:tcW w:w="2160" w:type="dxa"/>
            <w:vAlign w:val="bottom"/>
            <w:gridSpan w:val="6"/>
          </w:tcPr>
          <w:p>
            <w:pPr>
              <w:ind w:left="200"/>
              <w:spacing w:after="0"/>
              <w:rPr>
                <w:sz w:val="20"/>
                <w:szCs w:val="20"/>
                <w:color w:val="auto"/>
              </w:rPr>
            </w:pPr>
            <w:r>
              <w:rPr>
                <w:rFonts w:ascii="Arial" w:cs="Arial" w:eastAsia="Arial" w:hAnsi="Arial"/>
                <w:sz w:val="11"/>
                <w:szCs w:val="11"/>
                <w:b w:val="1"/>
                <w:bCs w:val="1"/>
                <w:color w:val="auto"/>
              </w:rPr>
              <w:t>NET INCOME</w:t>
            </w: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9,307</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13,151</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14,472</w:t>
            </w: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12,622</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11,008</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4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49,552</w:t>
            </w:r>
          </w:p>
        </w:tc>
        <w:tc>
          <w:tcPr>
            <w:tcW w:w="280" w:type="dxa"/>
            <w:vAlign w:val="bottom"/>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37,676</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432"/>
        </w:trPr>
        <w:tc>
          <w:tcPr>
            <w:tcW w:w="2160" w:type="dxa"/>
            <w:vAlign w:val="bottom"/>
            <w:gridSpan w:val="6"/>
          </w:tcPr>
          <w:p>
            <w:pPr>
              <w:spacing w:after="0"/>
              <w:rPr>
                <w:sz w:val="20"/>
                <w:szCs w:val="20"/>
                <w:color w:val="auto"/>
              </w:rPr>
            </w:pPr>
            <w:r>
              <w:rPr>
                <w:rFonts w:ascii="Arial" w:cs="Arial" w:eastAsia="Arial" w:hAnsi="Arial"/>
                <w:sz w:val="11"/>
                <w:szCs w:val="11"/>
                <w:b w:val="1"/>
                <w:bCs w:val="1"/>
                <w:color w:val="auto"/>
              </w:rPr>
              <w:t>NET INCOME PER COMMON SHARE</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880" w:type="dxa"/>
            <w:vAlign w:val="bottom"/>
            <w:tcBorders>
              <w:top w:val="single" w:sz="8" w:color="auto"/>
            </w:tcBorders>
            <w:gridSpan w:val="5"/>
          </w:tcPr>
          <w:p>
            <w:pPr>
              <w:spacing w:after="0" w:line="88" w:lineRule="exact"/>
              <w:rPr>
                <w:sz w:val="20"/>
                <w:szCs w:val="20"/>
                <w:color w:val="auto"/>
              </w:rPr>
            </w:pPr>
            <w:r>
              <w:rPr>
                <w:rFonts w:ascii="Arial" w:cs="Arial" w:eastAsia="Arial" w:hAnsi="Arial"/>
                <w:sz w:val="10"/>
                <w:szCs w:val="10"/>
                <w:b w:val="1"/>
                <w:bCs w:val="1"/>
                <w:color w:val="auto"/>
              </w:rPr>
              <w:t>DATA</w:t>
            </w: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160" w:type="dxa"/>
            <w:vAlign w:val="bottom"/>
            <w:gridSpan w:val="6"/>
          </w:tcPr>
          <w:p>
            <w:pPr>
              <w:spacing w:after="0"/>
              <w:rPr>
                <w:sz w:val="20"/>
                <w:szCs w:val="20"/>
                <w:color w:val="auto"/>
              </w:rPr>
            </w:pPr>
            <w:r>
              <w:rPr>
                <w:rFonts w:ascii="Arial" w:cs="Arial" w:eastAsia="Arial" w:hAnsi="Arial"/>
                <w:sz w:val="11"/>
                <w:szCs w:val="11"/>
                <w:color w:val="auto"/>
              </w:rPr>
              <w:t>Basic earnings per share</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3.04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4.33</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4.76</w:t>
            </w:r>
          </w:p>
        </w:tc>
        <w:tc>
          <w:tcPr>
            <w:tcW w:w="24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4.11</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3.58</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(30)</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16.25</w:t>
            </w:r>
          </w:p>
        </w:tc>
        <w:tc>
          <w:tcPr>
            <w:tcW w:w="28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12.10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62"/>
        </w:trPr>
        <w:tc>
          <w:tcPr>
            <w:tcW w:w="2160" w:type="dxa"/>
            <w:vAlign w:val="bottom"/>
            <w:gridSpan w:val="6"/>
          </w:tcPr>
          <w:p>
            <w:pPr>
              <w:spacing w:after="0"/>
              <w:rPr>
                <w:sz w:val="20"/>
                <w:szCs w:val="20"/>
                <w:color w:val="auto"/>
              </w:rPr>
            </w:pPr>
            <w:r>
              <w:rPr>
                <w:rFonts w:ascii="Arial" w:cs="Arial" w:eastAsia="Arial" w:hAnsi="Arial"/>
                <w:sz w:val="11"/>
                <w:szCs w:val="11"/>
                <w:color w:val="auto"/>
              </w:rPr>
              <w:t>Diluted earnings per share</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3.04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4.33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4.75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4.10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3.57</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(30)</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16.23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12.09</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303"/>
        </w:trPr>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6"/>
              </w:rPr>
              <w:t>FINANCIAL RATIOS</w:t>
            </w:r>
          </w:p>
        </w:tc>
        <w:tc>
          <w:tcPr>
            <w:tcW w:w="114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160" w:type="dxa"/>
            <w:vAlign w:val="bottom"/>
            <w:gridSpan w:val="6"/>
          </w:tcPr>
          <w:p>
            <w:pPr>
              <w:spacing w:after="0"/>
              <w:rPr>
                <w:sz w:val="20"/>
                <w:szCs w:val="20"/>
                <w:color w:val="auto"/>
              </w:rPr>
            </w:pPr>
            <w:r>
              <w:rPr>
                <w:rFonts w:ascii="Arial" w:cs="Arial" w:eastAsia="Arial" w:hAnsi="Arial"/>
                <w:sz w:val="11"/>
                <w:szCs w:val="11"/>
                <w:color w:val="auto"/>
              </w:rPr>
              <w:t>Return on common equity (b)</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12 %</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16 %</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17 %</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14 %</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gridSpan w:val="6"/>
          </w:tcPr>
          <w:p>
            <w:pPr>
              <w:spacing w:after="0"/>
              <w:rPr>
                <w:sz w:val="20"/>
                <w:szCs w:val="20"/>
                <w:color w:val="auto"/>
              </w:rPr>
            </w:pPr>
            <w:r>
              <w:rPr>
                <w:rFonts w:ascii="Arial" w:cs="Arial" w:eastAsia="Arial" w:hAnsi="Arial"/>
                <w:sz w:val="11"/>
                <w:szCs w:val="11"/>
                <w:color w:val="auto"/>
              </w:rPr>
              <w:t>Return on tangible common equity (b)(c)</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gridSpan w:val="6"/>
          </w:tcPr>
          <w:p>
            <w:pPr>
              <w:spacing w:after="0"/>
              <w:rPr>
                <w:sz w:val="20"/>
                <w:szCs w:val="20"/>
                <w:color w:val="auto"/>
              </w:rPr>
            </w:pPr>
            <w:r>
              <w:rPr>
                <w:rFonts w:ascii="Arial" w:cs="Arial" w:eastAsia="Arial" w:hAnsi="Arial"/>
                <w:sz w:val="11"/>
                <w:szCs w:val="11"/>
                <w:color w:val="auto"/>
              </w:rPr>
              <w:t>Return on assets (b)</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0.95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1.16</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0.98</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gridSpan w:val="6"/>
          </w:tcPr>
          <w:p>
            <w:pPr>
              <w:spacing w:after="0"/>
              <w:rPr>
                <w:sz w:val="20"/>
                <w:szCs w:val="20"/>
                <w:color w:val="auto"/>
              </w:rPr>
            </w:pPr>
            <w:r>
              <w:rPr>
                <w:rFonts w:ascii="Arial" w:cs="Arial" w:eastAsia="Arial" w:hAnsi="Arial"/>
                <w:sz w:val="11"/>
                <w:szCs w:val="11"/>
                <w:color w:val="auto"/>
              </w:rPr>
              <w:t>Effective income tax rate</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17.8</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21.4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17.7</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20.9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16.8</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19.6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18.4</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gridSpan w:val="6"/>
          </w:tcPr>
          <w:p>
            <w:pPr>
              <w:spacing w:after="0"/>
              <w:rPr>
                <w:sz w:val="20"/>
                <w:szCs w:val="20"/>
                <w:color w:val="auto"/>
              </w:rPr>
            </w:pPr>
            <w:r>
              <w:rPr>
                <w:rFonts w:ascii="Arial" w:cs="Arial" w:eastAsia="Arial" w:hAnsi="Arial"/>
                <w:sz w:val="11"/>
                <w:szCs w:val="11"/>
                <w:color w:val="auto"/>
              </w:rPr>
              <w:t>Overhead ratio</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63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55</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55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59</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3798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1"/>
          <w:szCs w:val="11"/>
          <w:color w:val="auto"/>
        </w:rPr>
        <w:t>On May 1, 2023, JPMorgan Chase acquired certain assets and assumed certain liabilities of First Republic Bank from the FDIC. Refer to page 30 for additional information.</w:t>
      </w:r>
    </w:p>
    <w:p>
      <w:pPr>
        <w:spacing w:after="0" w:line="103" w:lineRule="exact"/>
        <w:rPr>
          <w:sz w:val="20"/>
          <w:szCs w:val="20"/>
          <w:color w:val="auto"/>
        </w:rPr>
      </w:pPr>
    </w:p>
    <w:p>
      <w:pPr>
        <w:ind w:left="180" w:right="300" w:hanging="172"/>
        <w:spacing w:after="0" w:line="252" w:lineRule="auto"/>
        <w:tabs>
          <w:tab w:leader="none" w:pos="177"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Included Firmwide legal expense of $175 million, $665 million, $420 million, $176 million and $27 million for the three months ended December 31, 2023, September 30, 2023, June 30, 2023, March 31, 2023 and December 31, 2022, respectively, and $1.4 billion and $266 million for the full year 2023 and 2022, respectively.</w:t>
      </w:r>
    </w:p>
    <w:p>
      <w:pPr>
        <w:ind w:left="160" w:hanging="152"/>
        <w:spacing w:after="0"/>
        <w:tabs>
          <w:tab w:leader="none" w:pos="1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Ratios are based upon annualized amounts.</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Refer to page 29 for further discussion of ROTCE.</w:t>
      </w:r>
    </w:p>
    <w:p>
      <w:pPr>
        <w:spacing w:after="0" w:line="8" w:lineRule="exact"/>
        <w:rPr>
          <w:rFonts w:ascii="Arial" w:cs="Arial" w:eastAsia="Arial" w:hAnsi="Arial"/>
          <w:sz w:val="11"/>
          <w:szCs w:val="11"/>
          <w:color w:val="auto"/>
        </w:rPr>
      </w:pPr>
    </w:p>
    <w:p>
      <w:pPr>
        <w:ind w:left="160" w:hanging="152"/>
        <w:spacing w:after="0" w:line="236" w:lineRule="auto"/>
        <w:tabs>
          <w:tab w:leader="none" w:pos="1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Included a $2.9 billion special assessment from the FDIC on certain banks to recover losses to the DIF arising from the protection of uninsured depositors resulting from bank resolutions in 2023.</w:t>
      </w:r>
    </w:p>
    <w:p>
      <w:pPr>
        <w:ind w:left="180" w:right="20" w:hanging="172"/>
        <w:spacing w:after="0" w:line="243" w:lineRule="auto"/>
        <w:tabs>
          <w:tab w:leader="none" w:pos="177"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Included an income tax benefit of $463 million and $428 million for the three months and full year ended December 31, 2023, respectively, related to the finalization of certain income tax regulations. The benefit resulted in a reduction in the Firm’s effective tax rate of 4.1 percentage points in the fourth quarter of 2023.</w:t>
      </w:r>
    </w:p>
    <w:p>
      <w:pPr>
        <w:ind w:left="160" w:hanging="152"/>
        <w:spacing w:after="0"/>
        <w:tabs>
          <w:tab w:leader="none" w:pos="1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Income taxes associated with the First Republic acquisition are reflected in the estimated bargain purchase gain, resulting in a reduction in the Firm’s effective tax rate of 3.4 percentage points in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4</w:t>
      </w:r>
    </w:p>
    <w:p>
      <w:pPr>
        <w:sectPr>
          <w:pgSz w:w="11900" w:h="16838" w:orient="portrait"/>
          <w:cols w:equalWidth="0" w:num="1">
            <w:col w:w="11240"/>
          </w:cols>
          <w:pgMar w:left="320" w:top="572" w:right="339" w:bottom="1440" w:gutter="0" w:footer="0" w:header="0"/>
        </w:sectPr>
      </w:pPr>
    </w:p>
    <w:bookmarkStart w:id="16" w:name="page17"/>
    <w:bookmarkEnd w:id="16"/>
    <w:tbl>
      <w:tblPr>
        <w:tblLayout w:type="fixed"/>
        <w:tblInd w:w="20" w:type="dxa"/>
        <w:tblCellMar>
          <w:top w:w="0" w:type="dxa"/>
          <w:left w:w="0" w:type="dxa"/>
          <w:bottom w:w="0" w:type="dxa"/>
          <w:right w:w="0" w:type="dxa"/>
        </w:tblCellMar>
      </w:tblPr>
      <w:tr>
        <w:trPr>
          <w:trHeight w:val="148"/>
        </w:trPr>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JPMORGAN CHASE &amp; CO.</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CONSOLIDATED</w:t>
            </w:r>
          </w:p>
        </w:tc>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SHEETS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(in millions)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Dec 31, 2023</w:t>
            </w: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446"/>
              <w:spacing w:after="0"/>
              <w:rPr>
                <w:sz w:val="20"/>
                <w:szCs w:val="20"/>
                <w:color w:val="auto"/>
              </w:rPr>
            </w:pPr>
            <w:r>
              <w:rPr>
                <w:rFonts w:ascii="Arial" w:cs="Arial" w:eastAsia="Arial" w:hAnsi="Arial"/>
                <w:sz w:val="11"/>
                <w:szCs w:val="11"/>
                <w:b w:val="1"/>
                <w:bCs w:val="1"/>
                <w:color w:val="auto"/>
                <w:w w:val="99"/>
              </w:rPr>
              <w:t>Change</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b w:val="1"/>
                <w:bCs w:val="1"/>
                <w:color w:val="auto"/>
              </w:rPr>
              <w:t>Dec 31,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b w:val="1"/>
                <w:bCs w:val="1"/>
                <w:color w:val="auto"/>
              </w:rPr>
              <w:t>Sep 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b w:val="1"/>
                <w:bCs w:val="1"/>
                <w:color w:val="auto"/>
              </w:rPr>
              <w:t>Jun 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b w:val="1"/>
                <w:bCs w:val="1"/>
                <w:color w:val="auto"/>
              </w:rPr>
              <w:t>Dec 31,</w:t>
            </w:r>
          </w:p>
        </w:tc>
        <w:tc>
          <w:tcPr>
            <w:tcW w:w="240" w:type="dxa"/>
            <w:vAlign w:val="bottom"/>
          </w:tcPr>
          <w:p>
            <w:pPr>
              <w:spacing w:after="0"/>
              <w:rPr>
                <w:sz w:val="12"/>
                <w:szCs w:val="12"/>
                <w:color w:val="auto"/>
              </w:rPr>
            </w:pPr>
          </w:p>
        </w:tc>
        <w:tc>
          <w:tcPr>
            <w:tcW w:w="940" w:type="dxa"/>
            <w:vAlign w:val="bottom"/>
            <w:gridSpan w:val="3"/>
          </w:tcPr>
          <w:p>
            <w:pPr>
              <w:ind w:left="120"/>
              <w:spacing w:after="0"/>
              <w:rPr>
                <w:sz w:val="20"/>
                <w:szCs w:val="20"/>
                <w:color w:val="auto"/>
              </w:rPr>
            </w:pPr>
            <w:r>
              <w:rPr>
                <w:rFonts w:ascii="Arial" w:cs="Arial" w:eastAsia="Arial" w:hAnsi="Arial"/>
                <w:sz w:val="11"/>
                <w:szCs w:val="11"/>
                <w:b w:val="1"/>
                <w:bCs w:val="1"/>
                <w:color w:val="auto"/>
              </w:rPr>
              <w:t>Sep 30,</w:t>
            </w:r>
          </w:p>
        </w:tc>
        <w:tc>
          <w:tcPr>
            <w:tcW w:w="500" w:type="dxa"/>
            <w:vAlign w:val="bottom"/>
          </w:tcPr>
          <w:p>
            <w:pPr>
              <w:jc w:val="right"/>
              <w:ind w:right="46"/>
              <w:spacing w:after="0"/>
              <w:rPr>
                <w:sz w:val="20"/>
                <w:szCs w:val="20"/>
                <w:color w:val="auto"/>
              </w:rPr>
            </w:pPr>
            <w:r>
              <w:rPr>
                <w:rFonts w:ascii="Arial" w:cs="Arial" w:eastAsia="Arial" w:hAnsi="Arial"/>
                <w:sz w:val="11"/>
                <w:szCs w:val="11"/>
                <w:b w:val="1"/>
                <w:bCs w:val="1"/>
                <w:color w:val="auto"/>
                <w:w w:val="98"/>
              </w:rPr>
              <w:t>Dec 31,</w:t>
            </w: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84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8"/>
        </w:trPr>
        <w:tc>
          <w:tcPr>
            <w:tcW w:w="440" w:type="dxa"/>
            <w:vAlign w:val="bottom"/>
            <w:tcBorders>
              <w:bottom w:val="single" w:sz="8" w:color="auto"/>
            </w:tcBorders>
          </w:tcPr>
          <w:p>
            <w:pPr>
              <w:spacing w:after="0" w:line="108" w:lineRule="exact"/>
              <w:rPr>
                <w:sz w:val="20"/>
                <w:szCs w:val="20"/>
                <w:color w:val="auto"/>
              </w:rPr>
            </w:pPr>
            <w:r>
              <w:rPr>
                <w:rFonts w:ascii="Arial" w:cs="Arial" w:eastAsia="Arial" w:hAnsi="Arial"/>
                <w:sz w:val="11"/>
                <w:szCs w:val="11"/>
                <w:b w:val="1"/>
                <w:bCs w:val="1"/>
                <w:color w:val="auto"/>
                <w:w w:val="95"/>
              </w:rPr>
              <w:t>ASSETS</w:t>
            </w:r>
          </w:p>
        </w:tc>
        <w:tc>
          <w:tcPr>
            <w:tcW w:w="980" w:type="dxa"/>
            <w:vAlign w:val="bottom"/>
            <w:gridSpan w:val="3"/>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420" w:type="dxa"/>
            <w:vAlign w:val="bottom"/>
            <w:gridSpan w:val="4"/>
          </w:tcPr>
          <w:p>
            <w:pPr>
              <w:spacing w:after="0"/>
              <w:rPr>
                <w:sz w:val="20"/>
                <w:szCs w:val="20"/>
                <w:color w:val="auto"/>
              </w:rPr>
            </w:pPr>
            <w:r>
              <w:rPr>
                <w:rFonts w:ascii="Arial" w:cs="Arial" w:eastAsia="Arial" w:hAnsi="Arial"/>
                <w:sz w:val="11"/>
                <w:szCs w:val="11"/>
                <w:color w:val="auto"/>
              </w:rPr>
              <w:t>Cash and due from banks</w:t>
            </w:r>
          </w:p>
        </w:tc>
        <w:tc>
          <w:tcPr>
            <w:tcW w:w="7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29,066</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24,921</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26,064</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25,098</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27,697</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17 %</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62"/>
        </w:trPr>
        <w:tc>
          <w:tcPr>
            <w:tcW w:w="1420" w:type="dxa"/>
            <w:vAlign w:val="bottom"/>
            <w:gridSpan w:val="4"/>
          </w:tcPr>
          <w:p>
            <w:pPr>
              <w:spacing w:after="0"/>
              <w:rPr>
                <w:sz w:val="20"/>
                <w:szCs w:val="20"/>
                <w:color w:val="auto"/>
              </w:rPr>
            </w:pPr>
            <w:r>
              <w:rPr>
                <w:rFonts w:ascii="Arial" w:cs="Arial" w:eastAsia="Arial" w:hAnsi="Arial"/>
                <w:sz w:val="11"/>
                <w:szCs w:val="11"/>
                <w:color w:val="auto"/>
              </w:rPr>
              <w:t>Deposits with banks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595,085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486,448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469,059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520,902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539,537</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28"/>
        </w:trPr>
        <w:tc>
          <w:tcPr>
            <w:tcW w:w="2180" w:type="dxa"/>
            <w:vAlign w:val="bottom"/>
            <w:gridSpan w:val="5"/>
          </w:tcPr>
          <w:p>
            <w:pPr>
              <w:spacing w:after="0"/>
              <w:rPr>
                <w:sz w:val="20"/>
                <w:szCs w:val="20"/>
                <w:color w:val="auto"/>
              </w:rPr>
            </w:pPr>
            <w:r>
              <w:rPr>
                <w:rFonts w:ascii="Arial" w:cs="Arial" w:eastAsia="Arial" w:hAnsi="Arial"/>
                <w:sz w:val="11"/>
                <w:szCs w:val="11"/>
                <w:color w:val="auto"/>
              </w:rPr>
              <w:t>Federal funds sold and securities purchased</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20" w:type="dxa"/>
            <w:vAlign w:val="bottom"/>
            <w:gridSpan w:val="4"/>
          </w:tcPr>
          <w:p>
            <w:pPr>
              <w:spacing w:after="0"/>
              <w:rPr>
                <w:sz w:val="20"/>
                <w:szCs w:val="20"/>
                <w:color w:val="auto"/>
              </w:rPr>
            </w:pPr>
            <w:r>
              <w:rPr>
                <w:rFonts w:ascii="Arial" w:cs="Arial" w:eastAsia="Arial" w:hAnsi="Arial"/>
                <w:sz w:val="11"/>
                <w:szCs w:val="11"/>
                <w:color w:val="auto"/>
              </w:rPr>
              <w:t>under</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gridSpan w:val="4"/>
          </w:tcPr>
          <w:p>
            <w:pPr>
              <w:ind w:left="120"/>
              <w:spacing w:after="0"/>
              <w:rPr>
                <w:sz w:val="20"/>
                <w:szCs w:val="20"/>
                <w:color w:val="auto"/>
              </w:rPr>
            </w:pPr>
            <w:r>
              <w:rPr>
                <w:rFonts w:ascii="Arial" w:cs="Arial" w:eastAsia="Arial" w:hAnsi="Arial"/>
                <w:sz w:val="11"/>
                <w:szCs w:val="11"/>
                <w:color w:val="auto"/>
              </w:rPr>
              <w:t>resale agreements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276,152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350,059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325,628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317,111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315,592</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1420" w:type="dxa"/>
            <w:vAlign w:val="bottom"/>
            <w:gridSpan w:val="4"/>
          </w:tcPr>
          <w:p>
            <w:pPr>
              <w:spacing w:after="0"/>
              <w:rPr>
                <w:sz w:val="20"/>
                <w:szCs w:val="20"/>
                <w:color w:val="auto"/>
              </w:rPr>
            </w:pPr>
            <w:r>
              <w:rPr>
                <w:rFonts w:ascii="Arial" w:cs="Arial" w:eastAsia="Arial" w:hAnsi="Arial"/>
                <w:sz w:val="11"/>
                <w:szCs w:val="11"/>
                <w:color w:val="auto"/>
              </w:rPr>
              <w:t>Securities borrowed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200,436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188,279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163,563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195,917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185,369</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1420" w:type="dxa"/>
            <w:vAlign w:val="bottom"/>
            <w:gridSpan w:val="4"/>
          </w:tcPr>
          <w:p>
            <w:pPr>
              <w:spacing w:after="0"/>
              <w:rPr>
                <w:sz w:val="20"/>
                <w:szCs w:val="20"/>
                <w:color w:val="auto"/>
              </w:rPr>
            </w:pPr>
            <w:r>
              <w:rPr>
                <w:rFonts w:ascii="Arial" w:cs="Arial" w:eastAsia="Arial" w:hAnsi="Arial"/>
                <w:sz w:val="11"/>
                <w:szCs w:val="11"/>
                <w:color w:val="auto"/>
              </w:rPr>
              <w:t>Trading assets: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gridSpan w:val="5"/>
          </w:tcPr>
          <w:p>
            <w:pPr>
              <w:ind w:left="120"/>
              <w:spacing w:after="0"/>
              <w:rPr>
                <w:sz w:val="20"/>
                <w:szCs w:val="20"/>
                <w:color w:val="auto"/>
              </w:rPr>
            </w:pPr>
            <w:r>
              <w:rPr>
                <w:rFonts w:ascii="Arial" w:cs="Arial" w:eastAsia="Arial" w:hAnsi="Arial"/>
                <w:sz w:val="11"/>
                <w:szCs w:val="11"/>
                <w:color w:val="auto"/>
              </w:rPr>
              <w:t>Debt and equity instruments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485,743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534,923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572,779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519,618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382,919</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62"/>
        </w:trPr>
        <w:tc>
          <w:tcPr>
            <w:tcW w:w="1420" w:type="dxa"/>
            <w:vAlign w:val="bottom"/>
            <w:gridSpan w:val="4"/>
          </w:tcPr>
          <w:p>
            <w:pPr>
              <w:ind w:left="120"/>
              <w:spacing w:after="0"/>
              <w:rPr>
                <w:sz w:val="20"/>
                <w:szCs w:val="20"/>
                <w:color w:val="auto"/>
              </w:rPr>
            </w:pPr>
            <w:r>
              <w:rPr>
                <w:rFonts w:ascii="Arial" w:cs="Arial" w:eastAsia="Arial" w:hAnsi="Arial"/>
                <w:sz w:val="11"/>
                <w:szCs w:val="11"/>
                <w:color w:val="auto"/>
              </w:rPr>
              <w:t>Derivative receivables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54,864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67,070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64,217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59,274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70,880</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62"/>
        </w:trPr>
        <w:tc>
          <w:tcPr>
            <w:tcW w:w="2180" w:type="dxa"/>
            <w:vAlign w:val="bottom"/>
            <w:gridSpan w:val="5"/>
          </w:tcPr>
          <w:p>
            <w:pPr>
              <w:spacing w:after="0"/>
              <w:rPr>
                <w:sz w:val="20"/>
                <w:szCs w:val="20"/>
                <w:color w:val="auto"/>
              </w:rPr>
            </w:pPr>
            <w:r>
              <w:rPr>
                <w:rFonts w:ascii="Arial" w:cs="Arial" w:eastAsia="Arial" w:hAnsi="Arial"/>
                <w:sz w:val="11"/>
                <w:szCs w:val="11"/>
                <w:color w:val="auto"/>
              </w:rPr>
              <w:t>Available-for-sale (“AFS”) securities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201,704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197,119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203,262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197,248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205,857</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5"/>
        </w:trPr>
        <w:tc>
          <w:tcPr>
            <w:tcW w:w="2180" w:type="dxa"/>
            <w:vAlign w:val="bottom"/>
            <w:gridSpan w:val="5"/>
          </w:tcPr>
          <w:p>
            <w:pPr>
              <w:spacing w:after="0"/>
              <w:rPr>
                <w:sz w:val="20"/>
                <w:szCs w:val="20"/>
                <w:color w:val="auto"/>
              </w:rPr>
            </w:pPr>
            <w:r>
              <w:rPr>
                <w:rFonts w:ascii="Arial" w:cs="Arial" w:eastAsia="Arial" w:hAnsi="Arial"/>
                <w:sz w:val="11"/>
                <w:szCs w:val="11"/>
                <w:color w:val="auto"/>
              </w:rPr>
              <w:t>Held-to-maturity (”HTM”) securities</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369,848</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388,261</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408,941</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412,827</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425,305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95"/>
        </w:trPr>
        <w:tc>
          <w:tcPr>
            <w:tcW w:w="2180" w:type="dxa"/>
            <w:vAlign w:val="bottom"/>
            <w:gridSpan w:val="5"/>
          </w:tcPr>
          <w:p>
            <w:pPr>
              <w:ind w:left="120"/>
              <w:spacing w:after="0" w:line="95" w:lineRule="exact"/>
              <w:rPr>
                <w:sz w:val="20"/>
                <w:szCs w:val="20"/>
                <w:color w:val="auto"/>
              </w:rPr>
            </w:pPr>
            <w:r>
              <w:rPr>
                <w:rFonts w:ascii="Arial" w:cs="Arial" w:eastAsia="Arial" w:hAnsi="Arial"/>
                <w:sz w:val="10"/>
                <w:szCs w:val="10"/>
                <w:b w:val="1"/>
                <w:bCs w:val="1"/>
                <w:color w:val="auto"/>
              </w:rPr>
              <w:t>Investment securities, net of allowance</w:t>
            </w: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571,552</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585,380</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612,203</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610,075</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631,162</w:t>
            </w:r>
          </w:p>
        </w:tc>
        <w:tc>
          <w:tcPr>
            <w:tcW w:w="8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8"/>
        </w:trPr>
        <w:tc>
          <w:tcPr>
            <w:tcW w:w="1420" w:type="dxa"/>
            <w:vAlign w:val="bottom"/>
            <w:gridSpan w:val="4"/>
          </w:tcPr>
          <w:p>
            <w:pPr>
              <w:ind w:left="120"/>
              <w:spacing w:after="0"/>
              <w:rPr>
                <w:sz w:val="20"/>
                <w:szCs w:val="20"/>
                <w:color w:val="auto"/>
              </w:rPr>
            </w:pPr>
            <w:r>
              <w:rPr>
                <w:rFonts w:ascii="Arial" w:cs="Arial" w:eastAsia="Arial" w:hAnsi="Arial"/>
                <w:sz w:val="11"/>
                <w:szCs w:val="11"/>
                <w:b w:val="1"/>
                <w:bCs w:val="1"/>
                <w:color w:val="auto"/>
              </w:rPr>
              <w:t>for credit losses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420" w:type="dxa"/>
            <w:vAlign w:val="bottom"/>
            <w:gridSpan w:val="4"/>
          </w:tcPr>
          <w:p>
            <w:pPr>
              <w:spacing w:after="0"/>
              <w:rPr>
                <w:sz w:val="20"/>
                <w:szCs w:val="20"/>
                <w:color w:val="auto"/>
              </w:rPr>
            </w:pPr>
            <w:r>
              <w:rPr>
                <w:rFonts w:ascii="Arial" w:cs="Arial" w:eastAsia="Arial" w:hAnsi="Arial"/>
                <w:sz w:val="11"/>
                <w:szCs w:val="11"/>
                <w:color w:val="auto"/>
              </w:rPr>
              <w:t>Loans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1,323,706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1,310,059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1,300,069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1,128,896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1,135,647</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75"/>
        </w:trPr>
        <w:tc>
          <w:tcPr>
            <w:tcW w:w="2180" w:type="dxa"/>
            <w:vAlign w:val="bottom"/>
            <w:gridSpan w:val="5"/>
          </w:tcPr>
          <w:p>
            <w:pPr>
              <w:spacing w:after="0"/>
              <w:rPr>
                <w:sz w:val="20"/>
                <w:szCs w:val="20"/>
                <w:color w:val="auto"/>
              </w:rPr>
            </w:pPr>
            <w:r>
              <w:rPr>
                <w:rFonts w:ascii="Arial" w:cs="Arial" w:eastAsia="Arial" w:hAnsi="Arial"/>
                <w:sz w:val="11"/>
                <w:szCs w:val="11"/>
                <w:color w:val="auto"/>
              </w:rPr>
              <w:t>Less: Allowance for loan losses</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22,420</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21,946</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21,980</w:t>
            </w:r>
          </w:p>
        </w:tc>
        <w:tc>
          <w:tcPr>
            <w:tcW w:w="240" w:type="dxa"/>
            <w:vAlign w:val="bottom"/>
          </w:tcPr>
          <w:p>
            <w:pPr>
              <w:ind w:left="20"/>
              <w:spacing w:after="0"/>
              <w:rPr>
                <w:sz w:val="20"/>
                <w:szCs w:val="20"/>
                <w:color w:val="auto"/>
              </w:rPr>
            </w:pPr>
            <w:r>
              <w:rPr>
                <w:rFonts w:ascii="Arial" w:cs="Arial" w:eastAsia="Arial" w:hAnsi="Arial"/>
                <w:sz w:val="11"/>
                <w:szCs w:val="11"/>
                <w:color w:val="auto"/>
              </w:rPr>
              <w:t>(b)</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20,053</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19,726</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8"/>
        </w:trPr>
        <w:tc>
          <w:tcPr>
            <w:tcW w:w="2180" w:type="dxa"/>
            <w:vAlign w:val="bottom"/>
            <w:gridSpan w:val="5"/>
          </w:tcPr>
          <w:p>
            <w:pPr>
              <w:ind w:left="120"/>
              <w:spacing w:after="0"/>
              <w:rPr>
                <w:sz w:val="20"/>
                <w:szCs w:val="20"/>
                <w:color w:val="auto"/>
              </w:rPr>
            </w:pPr>
            <w:r>
              <w:rPr>
                <w:rFonts w:ascii="Arial" w:cs="Arial" w:eastAsia="Arial" w:hAnsi="Arial"/>
                <w:sz w:val="11"/>
                <w:szCs w:val="11"/>
                <w:b w:val="1"/>
                <w:bCs w:val="1"/>
                <w:color w:val="auto"/>
                <w:w w:val="99"/>
              </w:rPr>
              <w:t>Loans, net of allowance for loan losses</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1,301,286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1,288,113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1,278,089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1,108,843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1,115,921</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6"/>
        </w:trPr>
        <w:tc>
          <w:tcPr>
            <w:tcW w:w="2180" w:type="dxa"/>
            <w:vAlign w:val="bottom"/>
            <w:gridSpan w:val="5"/>
          </w:tcPr>
          <w:p>
            <w:pPr>
              <w:spacing w:after="0"/>
              <w:rPr>
                <w:sz w:val="20"/>
                <w:szCs w:val="20"/>
                <w:color w:val="auto"/>
              </w:rPr>
            </w:pPr>
            <w:r>
              <w:rPr>
                <w:rFonts w:ascii="Arial" w:cs="Arial" w:eastAsia="Arial" w:hAnsi="Arial"/>
                <w:sz w:val="11"/>
                <w:szCs w:val="11"/>
                <w:color w:val="auto"/>
              </w:rPr>
              <w:t>Accrued interest and accounts receivable</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107,363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127,752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111,561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115,316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125,189</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1420" w:type="dxa"/>
            <w:vAlign w:val="bottom"/>
            <w:gridSpan w:val="4"/>
          </w:tcPr>
          <w:p>
            <w:pPr>
              <w:spacing w:after="0"/>
              <w:rPr>
                <w:sz w:val="20"/>
                <w:szCs w:val="20"/>
                <w:color w:val="auto"/>
              </w:rPr>
            </w:pPr>
            <w:r>
              <w:rPr>
                <w:rFonts w:ascii="Arial" w:cs="Arial" w:eastAsia="Arial" w:hAnsi="Arial"/>
                <w:sz w:val="11"/>
                <w:szCs w:val="11"/>
                <w:color w:val="auto"/>
              </w:rPr>
              <w:t>Premises and equipment</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30,157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29,677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29,493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28,266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27,734</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62"/>
        </w:trPr>
        <w:tc>
          <w:tcPr>
            <w:tcW w:w="2180" w:type="dxa"/>
            <w:vAlign w:val="bottom"/>
            <w:gridSpan w:val="5"/>
          </w:tcPr>
          <w:p>
            <w:pPr>
              <w:spacing w:after="0"/>
              <w:rPr>
                <w:sz w:val="20"/>
                <w:szCs w:val="20"/>
                <w:color w:val="auto"/>
              </w:rPr>
            </w:pPr>
            <w:r>
              <w:rPr>
                <w:rFonts w:ascii="Arial" w:cs="Arial" w:eastAsia="Arial" w:hAnsi="Arial"/>
                <w:sz w:val="11"/>
                <w:szCs w:val="11"/>
                <w:color w:val="auto"/>
              </w:rPr>
              <w:t>Goodwill, MSRs and other intangible assets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64,381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64,910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64,238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62,090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60,859</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5"/>
        </w:trPr>
        <w:tc>
          <w:tcPr>
            <w:tcW w:w="1420" w:type="dxa"/>
            <w:vAlign w:val="bottom"/>
            <w:gridSpan w:val="4"/>
          </w:tcPr>
          <w:p>
            <w:pPr>
              <w:spacing w:after="0"/>
              <w:rPr>
                <w:sz w:val="20"/>
                <w:szCs w:val="20"/>
                <w:color w:val="auto"/>
              </w:rPr>
            </w:pPr>
            <w:r>
              <w:rPr>
                <w:rFonts w:ascii="Arial" w:cs="Arial" w:eastAsia="Arial" w:hAnsi="Arial"/>
                <w:sz w:val="11"/>
                <w:szCs w:val="11"/>
                <w:color w:val="auto"/>
              </w:rPr>
              <w:t>Other assets</w:t>
            </w:r>
          </w:p>
        </w:tc>
        <w:tc>
          <w:tcPr>
            <w:tcW w:w="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159,308</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150,801</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151,346</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181,795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182,884</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9"/>
        </w:trPr>
        <w:tc>
          <w:tcPr>
            <w:tcW w:w="14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ASSETS</w:t>
            </w:r>
          </w:p>
        </w:tc>
        <w:tc>
          <w:tcPr>
            <w:tcW w:w="7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3,875,393</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3,898,333</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3,868,240</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3,744,305</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3,665,743</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70"/>
        </w:trPr>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LIABILITIES</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62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Deposits</w:t>
            </w:r>
          </w:p>
        </w:tc>
        <w:tc>
          <w:tcPr>
            <w:tcW w:w="80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2,400,688</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2,379,526</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2,398,962</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2,377,253</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2,340,179</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28"/>
        </w:trPr>
        <w:tc>
          <w:tcPr>
            <w:tcW w:w="2180" w:type="dxa"/>
            <w:vAlign w:val="bottom"/>
            <w:gridSpan w:val="5"/>
          </w:tcPr>
          <w:p>
            <w:pPr>
              <w:spacing w:after="0"/>
              <w:rPr>
                <w:sz w:val="20"/>
                <w:szCs w:val="20"/>
                <w:color w:val="auto"/>
              </w:rPr>
            </w:pPr>
            <w:r>
              <w:rPr>
                <w:rFonts w:ascii="Arial" w:cs="Arial" w:eastAsia="Arial" w:hAnsi="Arial"/>
                <w:sz w:val="11"/>
                <w:szCs w:val="11"/>
                <w:color w:val="auto"/>
              </w:rPr>
              <w:t>Federal funds purchased and securities</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20" w:type="dxa"/>
            <w:vAlign w:val="bottom"/>
            <w:gridSpan w:val="4"/>
          </w:tcPr>
          <w:p>
            <w:pPr>
              <w:spacing w:after="0"/>
              <w:rPr>
                <w:sz w:val="20"/>
                <w:szCs w:val="20"/>
                <w:color w:val="auto"/>
              </w:rPr>
            </w:pPr>
            <w:r>
              <w:rPr>
                <w:rFonts w:ascii="Arial" w:cs="Arial" w:eastAsia="Arial" w:hAnsi="Arial"/>
                <w:sz w:val="11"/>
                <w:szCs w:val="11"/>
                <w:color w:val="auto"/>
              </w:rPr>
              <w:t>loaned or sold</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gridSpan w:val="5"/>
          </w:tcPr>
          <w:p>
            <w:pPr>
              <w:ind w:left="120"/>
              <w:spacing w:after="0"/>
              <w:rPr>
                <w:sz w:val="20"/>
                <w:szCs w:val="20"/>
                <w:color w:val="auto"/>
              </w:rPr>
            </w:pPr>
            <w:r>
              <w:rPr>
                <w:rFonts w:ascii="Arial" w:cs="Arial" w:eastAsia="Arial" w:hAnsi="Arial"/>
                <w:sz w:val="11"/>
                <w:szCs w:val="11"/>
                <w:color w:val="auto"/>
              </w:rPr>
              <w:t>under repurchase agreements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216,535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268,750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266,272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246,396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202,613</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1420" w:type="dxa"/>
            <w:vAlign w:val="bottom"/>
            <w:gridSpan w:val="4"/>
          </w:tcPr>
          <w:p>
            <w:pPr>
              <w:spacing w:after="0"/>
              <w:rPr>
                <w:sz w:val="20"/>
                <w:szCs w:val="20"/>
                <w:color w:val="auto"/>
              </w:rPr>
            </w:pPr>
            <w:r>
              <w:rPr>
                <w:rFonts w:ascii="Arial" w:cs="Arial" w:eastAsia="Arial" w:hAnsi="Arial"/>
                <w:sz w:val="11"/>
                <w:szCs w:val="11"/>
                <w:color w:val="auto"/>
              </w:rPr>
              <w:t>Short-term borrowings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44,712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45,470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41,022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42,241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44,027</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1420" w:type="dxa"/>
            <w:vAlign w:val="bottom"/>
            <w:gridSpan w:val="4"/>
          </w:tcPr>
          <w:p>
            <w:pPr>
              <w:spacing w:after="0"/>
              <w:rPr>
                <w:sz w:val="20"/>
                <w:szCs w:val="20"/>
                <w:color w:val="auto"/>
              </w:rPr>
            </w:pPr>
            <w:r>
              <w:rPr>
                <w:rFonts w:ascii="Arial" w:cs="Arial" w:eastAsia="Arial" w:hAnsi="Arial"/>
                <w:sz w:val="11"/>
                <w:szCs w:val="11"/>
                <w:color w:val="auto"/>
              </w:rPr>
              <w:t>Trading liabilities: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gridSpan w:val="5"/>
          </w:tcPr>
          <w:p>
            <w:pPr>
              <w:ind w:left="120"/>
              <w:spacing w:after="0"/>
              <w:rPr>
                <w:sz w:val="20"/>
                <w:szCs w:val="20"/>
                <w:color w:val="auto"/>
              </w:rPr>
            </w:pPr>
            <w:r>
              <w:rPr>
                <w:rFonts w:ascii="Arial" w:cs="Arial" w:eastAsia="Arial" w:hAnsi="Arial"/>
                <w:sz w:val="11"/>
                <w:szCs w:val="11"/>
                <w:color w:val="auto"/>
              </w:rPr>
              <w:t>Debt and equity instruments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139,581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165,494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132,264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145,153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126,835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1420" w:type="dxa"/>
            <w:vAlign w:val="bottom"/>
            <w:gridSpan w:val="4"/>
          </w:tcPr>
          <w:p>
            <w:pPr>
              <w:ind w:left="120"/>
              <w:spacing w:after="0"/>
              <w:rPr>
                <w:sz w:val="20"/>
                <w:szCs w:val="20"/>
                <w:color w:val="auto"/>
              </w:rPr>
            </w:pPr>
            <w:r>
              <w:rPr>
                <w:rFonts w:ascii="Arial" w:cs="Arial" w:eastAsia="Arial" w:hAnsi="Arial"/>
                <w:sz w:val="11"/>
                <w:szCs w:val="11"/>
                <w:color w:val="auto"/>
              </w:rPr>
              <w:t>Derivative payables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40,847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41,963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46,545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44,711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51,141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62"/>
        </w:trPr>
        <w:tc>
          <w:tcPr>
            <w:tcW w:w="2180" w:type="dxa"/>
            <w:vAlign w:val="bottom"/>
            <w:gridSpan w:val="5"/>
          </w:tcPr>
          <w:p>
            <w:pPr>
              <w:spacing w:after="0"/>
              <w:rPr>
                <w:sz w:val="20"/>
                <w:szCs w:val="20"/>
                <w:color w:val="auto"/>
              </w:rPr>
            </w:pPr>
            <w:r>
              <w:rPr>
                <w:rFonts w:ascii="Arial" w:cs="Arial" w:eastAsia="Arial" w:hAnsi="Arial"/>
                <w:sz w:val="11"/>
                <w:szCs w:val="11"/>
                <w:color w:val="auto"/>
              </w:rPr>
              <w:t>Accounts payable and other liabilities</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290,307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292,070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286,934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275,077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300,141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28"/>
        </w:trPr>
        <w:tc>
          <w:tcPr>
            <w:tcW w:w="2180" w:type="dxa"/>
            <w:vAlign w:val="bottom"/>
            <w:gridSpan w:val="5"/>
          </w:tcPr>
          <w:p>
            <w:pPr>
              <w:spacing w:after="0"/>
              <w:rPr>
                <w:sz w:val="20"/>
                <w:szCs w:val="20"/>
                <w:color w:val="auto"/>
              </w:rPr>
            </w:pPr>
            <w:r>
              <w:rPr>
                <w:rFonts w:ascii="Arial" w:cs="Arial" w:eastAsia="Arial" w:hAnsi="Arial"/>
                <w:sz w:val="11"/>
                <w:szCs w:val="11"/>
                <w:color w:val="auto"/>
              </w:rPr>
              <w:t>Beneficial interests issued by consolidated</w:t>
            </w: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23,020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24,896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19,647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14,903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12,610</w:t>
            </w:r>
          </w:p>
        </w:tc>
        <w:tc>
          <w:tcPr>
            <w:tcW w:w="8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142"/>
        </w:trPr>
        <w:tc>
          <w:tcPr>
            <w:tcW w:w="1420" w:type="dxa"/>
            <w:vAlign w:val="bottom"/>
            <w:gridSpan w:val="4"/>
          </w:tcPr>
          <w:p>
            <w:pPr>
              <w:spacing w:after="0"/>
              <w:rPr>
                <w:sz w:val="20"/>
                <w:szCs w:val="20"/>
                <w:color w:val="auto"/>
              </w:rPr>
            </w:pPr>
            <w:r>
              <w:rPr>
                <w:rFonts w:ascii="Arial" w:cs="Arial" w:eastAsia="Arial" w:hAnsi="Arial"/>
                <w:sz w:val="11"/>
                <w:szCs w:val="11"/>
                <w:color w:val="auto"/>
              </w:rPr>
              <w:t>VIEs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20" w:type="dxa"/>
            <w:vAlign w:val="bottom"/>
            <w:gridSpan w:val="4"/>
          </w:tcPr>
          <w:p>
            <w:pPr>
              <w:spacing w:after="0"/>
              <w:rPr>
                <w:sz w:val="20"/>
                <w:szCs w:val="20"/>
                <w:color w:val="auto"/>
              </w:rPr>
            </w:pPr>
            <w:r>
              <w:rPr>
                <w:rFonts w:ascii="Arial" w:cs="Arial" w:eastAsia="Arial" w:hAnsi="Arial"/>
                <w:sz w:val="11"/>
                <w:szCs w:val="11"/>
                <w:color w:val="auto"/>
              </w:rPr>
              <w:t>Long-term debt</w:t>
            </w:r>
          </w:p>
        </w:tc>
        <w:tc>
          <w:tcPr>
            <w:tcW w:w="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391,825</w:t>
            </w:r>
          </w:p>
        </w:tc>
        <w:tc>
          <w:tcPr>
            <w:tcW w:w="220" w:type="dxa"/>
            <w:vAlign w:val="bottom"/>
          </w:tcPr>
          <w:p>
            <w:pPr>
              <w:ind w:left="20"/>
              <w:spacing w:after="0"/>
              <w:rPr>
                <w:sz w:val="20"/>
                <w:szCs w:val="20"/>
                <w:color w:val="auto"/>
              </w:rPr>
            </w:pPr>
            <w:r>
              <w:rPr>
                <w:rFonts w:ascii="Arial" w:cs="Arial" w:eastAsia="Arial" w:hAnsi="Arial"/>
                <w:sz w:val="11"/>
                <w:szCs w:val="11"/>
                <w:color w:val="auto"/>
              </w:rPr>
              <w:t>(a)</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362,793</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364,078</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295,489</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295,865</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48"/>
        </w:trPr>
        <w:tc>
          <w:tcPr>
            <w:tcW w:w="14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LIABILITIES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3,547,515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3,580,962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3,555,724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3,441,223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3,373,411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98"/>
        </w:trPr>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STOCKHOLDERS’ EQUITY</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420" w:type="dxa"/>
            <w:vAlign w:val="bottom"/>
            <w:gridSpan w:val="4"/>
          </w:tcPr>
          <w:p>
            <w:pPr>
              <w:spacing w:after="0"/>
              <w:rPr>
                <w:sz w:val="20"/>
                <w:szCs w:val="20"/>
                <w:color w:val="auto"/>
              </w:rPr>
            </w:pPr>
            <w:r>
              <w:rPr>
                <w:rFonts w:ascii="Arial" w:cs="Arial" w:eastAsia="Arial" w:hAnsi="Arial"/>
                <w:sz w:val="11"/>
                <w:szCs w:val="11"/>
                <w:color w:val="auto"/>
              </w:rPr>
              <w:t>Preferred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27,404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27,404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27,404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27,404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27,404</w:t>
            </w:r>
          </w:p>
        </w:tc>
        <w:tc>
          <w:tcPr>
            <w:tcW w:w="240" w:type="dxa"/>
            <w:vAlign w:val="bottom"/>
          </w:tcPr>
          <w:p>
            <w:pPr>
              <w:spacing w:after="0"/>
              <w:rPr>
                <w:sz w:val="14"/>
                <w:szCs w:val="14"/>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420" w:type="dxa"/>
            <w:vAlign w:val="bottom"/>
            <w:gridSpan w:val="4"/>
          </w:tcPr>
          <w:p>
            <w:pPr>
              <w:spacing w:after="0"/>
              <w:rPr>
                <w:sz w:val="20"/>
                <w:szCs w:val="20"/>
                <w:color w:val="auto"/>
              </w:rPr>
            </w:pPr>
            <w:r>
              <w:rPr>
                <w:rFonts w:ascii="Arial" w:cs="Arial" w:eastAsia="Arial" w:hAnsi="Arial"/>
                <w:sz w:val="11"/>
                <w:szCs w:val="11"/>
                <w:color w:val="auto"/>
              </w:rPr>
              <w:t>Common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4,105</w:t>
            </w:r>
          </w:p>
        </w:tc>
        <w:tc>
          <w:tcPr>
            <w:tcW w:w="240" w:type="dxa"/>
            <w:vAlign w:val="bottom"/>
          </w:tcPr>
          <w:p>
            <w:pPr>
              <w:spacing w:after="0"/>
              <w:rPr>
                <w:sz w:val="14"/>
                <w:szCs w:val="14"/>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420" w:type="dxa"/>
            <w:vAlign w:val="bottom"/>
            <w:gridSpan w:val="4"/>
          </w:tcPr>
          <w:p>
            <w:pPr>
              <w:spacing w:after="0"/>
              <w:rPr>
                <w:sz w:val="20"/>
                <w:szCs w:val="20"/>
                <w:color w:val="auto"/>
              </w:rPr>
            </w:pPr>
            <w:r>
              <w:rPr>
                <w:rFonts w:ascii="Arial" w:cs="Arial" w:eastAsia="Arial" w:hAnsi="Arial"/>
                <w:sz w:val="11"/>
                <w:szCs w:val="11"/>
                <w:color w:val="auto"/>
              </w:rPr>
              <w:t>Additional paid-in capital</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90,128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89,899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89,578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89,155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89,044</w:t>
            </w:r>
          </w:p>
        </w:tc>
        <w:tc>
          <w:tcPr>
            <w:tcW w:w="240" w:type="dxa"/>
            <w:vAlign w:val="bottom"/>
          </w:tcPr>
          <w:p>
            <w:pPr>
              <w:spacing w:after="0"/>
              <w:rPr>
                <w:sz w:val="14"/>
                <w:szCs w:val="14"/>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1420" w:type="dxa"/>
            <w:vAlign w:val="bottom"/>
            <w:gridSpan w:val="4"/>
          </w:tcPr>
          <w:p>
            <w:pPr>
              <w:spacing w:after="0"/>
              <w:rPr>
                <w:sz w:val="20"/>
                <w:szCs w:val="20"/>
                <w:color w:val="auto"/>
              </w:rPr>
            </w:pPr>
            <w:r>
              <w:rPr>
                <w:rFonts w:ascii="Arial" w:cs="Arial" w:eastAsia="Arial" w:hAnsi="Arial"/>
                <w:sz w:val="11"/>
                <w:szCs w:val="11"/>
                <w:color w:val="auto"/>
              </w:rPr>
              <w:t>Retained earnings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332,901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327,044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317,359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306,208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296,456</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28"/>
        </w:trPr>
        <w:tc>
          <w:tcPr>
            <w:tcW w:w="2180" w:type="dxa"/>
            <w:vAlign w:val="bottom"/>
            <w:gridSpan w:val="5"/>
          </w:tcPr>
          <w:p>
            <w:pPr>
              <w:spacing w:after="0"/>
              <w:rPr>
                <w:sz w:val="20"/>
                <w:szCs w:val="20"/>
                <w:color w:val="auto"/>
              </w:rPr>
            </w:pPr>
            <w:r>
              <w:rPr>
                <w:rFonts w:ascii="Arial" w:cs="Arial" w:eastAsia="Arial" w:hAnsi="Arial"/>
                <w:sz w:val="11"/>
                <w:szCs w:val="11"/>
                <w:color w:val="auto"/>
              </w:rPr>
              <w:t>Accumulated other comprehensive</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(10,443)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(17,104)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(14,290)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(14,418)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(17,341)</w:t>
            </w:r>
          </w:p>
        </w:tc>
        <w:tc>
          <w:tcPr>
            <w:tcW w:w="84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42"/>
        </w:trPr>
        <w:tc>
          <w:tcPr>
            <w:tcW w:w="1420" w:type="dxa"/>
            <w:vAlign w:val="bottom"/>
            <w:gridSpan w:val="4"/>
          </w:tcPr>
          <w:p>
            <w:pPr>
              <w:spacing w:after="0"/>
              <w:rPr>
                <w:sz w:val="20"/>
                <w:szCs w:val="20"/>
                <w:color w:val="auto"/>
              </w:rPr>
            </w:pPr>
            <w:r>
              <w:rPr>
                <w:rFonts w:ascii="Arial" w:cs="Arial" w:eastAsia="Arial" w:hAnsi="Arial"/>
                <w:sz w:val="11"/>
                <w:szCs w:val="11"/>
                <w:color w:val="auto"/>
              </w:rPr>
              <w:t>income/(loss) (“AOCI”)</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20" w:type="dxa"/>
            <w:vAlign w:val="bottom"/>
            <w:gridSpan w:val="4"/>
          </w:tcPr>
          <w:p>
            <w:pPr>
              <w:spacing w:after="0"/>
              <w:rPr>
                <w:sz w:val="20"/>
                <w:szCs w:val="20"/>
                <w:color w:val="auto"/>
              </w:rPr>
            </w:pPr>
            <w:r>
              <w:rPr>
                <w:rFonts w:ascii="Arial" w:cs="Arial" w:eastAsia="Arial" w:hAnsi="Arial"/>
                <w:sz w:val="11"/>
                <w:szCs w:val="11"/>
                <w:color w:val="auto"/>
              </w:rPr>
              <w:t>Treasury stock, at cost</w:t>
            </w:r>
          </w:p>
        </w:tc>
        <w:tc>
          <w:tcPr>
            <w:tcW w:w="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(116,217)</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(113,977)</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(111,640)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(109,372)</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(107,336)</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5"/>
        </w:trPr>
        <w:tc>
          <w:tcPr>
            <w:tcW w:w="218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STOCKHOLDERS’ EQUITY</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327,878</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317,371</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312,516</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303,082</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292,332</w:t>
            </w:r>
          </w:p>
        </w:tc>
        <w:tc>
          <w:tcPr>
            <w:tcW w:w="84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95"/>
        </w:trPr>
        <w:tc>
          <w:tcPr>
            <w:tcW w:w="1420" w:type="dxa"/>
            <w:vAlign w:val="bottom"/>
            <w:gridSpan w:val="4"/>
          </w:tcPr>
          <w:p>
            <w:pPr>
              <w:ind w:left="120"/>
              <w:spacing w:after="0" w:line="95" w:lineRule="exact"/>
              <w:rPr>
                <w:sz w:val="20"/>
                <w:szCs w:val="20"/>
                <w:color w:val="auto"/>
              </w:rPr>
            </w:pPr>
            <w:r>
              <w:rPr>
                <w:rFonts w:ascii="Arial" w:cs="Arial" w:eastAsia="Arial" w:hAnsi="Arial"/>
                <w:sz w:val="10"/>
                <w:szCs w:val="10"/>
                <w:b w:val="1"/>
                <w:bCs w:val="1"/>
                <w:color w:val="auto"/>
              </w:rPr>
              <w:t>TOTAL LIABILITIES AND</w:t>
            </w:r>
          </w:p>
        </w:tc>
        <w:tc>
          <w:tcPr>
            <w:tcW w:w="76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3,875,393</w:t>
            </w:r>
          </w:p>
        </w:tc>
        <w:tc>
          <w:tcPr>
            <w:tcW w:w="2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3,898,333</w:t>
            </w:r>
          </w:p>
        </w:tc>
        <w:tc>
          <w:tcPr>
            <w:tcW w:w="24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3,868,240</w:t>
            </w:r>
          </w:p>
        </w:tc>
        <w:tc>
          <w:tcPr>
            <w:tcW w:w="24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3,744,305</w:t>
            </w:r>
          </w:p>
        </w:tc>
        <w:tc>
          <w:tcPr>
            <w:tcW w:w="24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3,665,743</w:t>
            </w:r>
          </w:p>
        </w:tc>
        <w:tc>
          <w:tcPr>
            <w:tcW w:w="8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0"/>
        </w:trPr>
        <w:tc>
          <w:tcPr>
            <w:tcW w:w="2180" w:type="dxa"/>
            <w:vAlign w:val="bottom"/>
            <w:gridSpan w:val="5"/>
          </w:tcPr>
          <w:p>
            <w:pPr>
              <w:ind w:left="120"/>
              <w:spacing w:after="0"/>
              <w:rPr>
                <w:sz w:val="20"/>
                <w:szCs w:val="20"/>
                <w:color w:val="auto"/>
              </w:rPr>
            </w:pPr>
            <w:r>
              <w:rPr>
                <w:rFonts w:ascii="Arial" w:cs="Arial" w:eastAsia="Arial" w:hAnsi="Arial"/>
                <w:sz w:val="11"/>
                <w:szCs w:val="11"/>
                <w:b w:val="1"/>
                <w:bCs w:val="1"/>
                <w:color w:val="auto"/>
              </w:rPr>
              <w:t>STOCKHOLDERS’ EQUITY</w:t>
            </w: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887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-5631180</wp:posOffset>
            </wp:positionV>
            <wp:extent cx="237426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1"/>
          <w:szCs w:val="11"/>
          <w:color w:val="auto"/>
        </w:rPr>
        <w:t>On May 1, 2023, JPMorgan Chase acquired certain assets and assumed certain liabilities of First Republic Bank from the FDIC. Refer to page 30 for additional information.</w:t>
      </w:r>
    </w:p>
    <w:p>
      <w:pPr>
        <w:spacing w:after="0" w:line="103"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Included a five-year $50 billion Purchase Money Note issued to the FDIC, as well as FHLB advances associated with the First Republic acquisition.</w:t>
      </w:r>
    </w:p>
    <w:p>
      <w:pPr>
        <w:spacing w:after="0" w:line="15" w:lineRule="exact"/>
        <w:rPr>
          <w:rFonts w:ascii="Arial" w:cs="Arial" w:eastAsia="Arial" w:hAnsi="Arial"/>
          <w:sz w:val="11"/>
          <w:szCs w:val="11"/>
          <w:color w:val="auto"/>
        </w:rPr>
      </w:pPr>
    </w:p>
    <w:p>
      <w:pPr>
        <w:ind w:left="160" w:hanging="152"/>
        <w:spacing w:after="0"/>
        <w:tabs>
          <w:tab w:leader="none" w:pos="1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Included an addition to the allowance for loan losses of $1.1 billion associated with the First Republic acquisition.</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5</w:t>
      </w:r>
    </w:p>
    <w:p>
      <w:pPr>
        <w:sectPr>
          <w:pgSz w:w="11900" w:h="16838" w:orient="portrait"/>
          <w:cols w:equalWidth="0" w:num="1">
            <w:col w:w="11240"/>
          </w:cols>
          <w:pgMar w:left="320" w:top="572"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13970</wp:posOffset>
            </wp:positionV>
            <wp:extent cx="237426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AVERAGE BALANCE SHEETS AND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ANNUALIZED YIELDS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right"/>
              <w:ind w:right="66"/>
              <w:spacing w:after="0"/>
              <w:rPr>
                <w:sz w:val="20"/>
                <w:szCs w:val="20"/>
                <w:color w:val="auto"/>
              </w:rPr>
            </w:pPr>
            <w:r>
              <w:rPr>
                <w:rFonts w:ascii="Arial" w:cs="Arial" w:eastAsia="Arial" w:hAnsi="Arial"/>
                <w:sz w:val="11"/>
                <w:szCs w:val="11"/>
                <w:b w:val="1"/>
                <w:bCs w:val="1"/>
                <w:color w:val="auto"/>
              </w:rPr>
              <w:t>QUARTERLY TRENDS</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w w:val="93"/>
              </w:rPr>
              <w:t>FULL YEAR</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1"/>
                <w:szCs w:val="11"/>
                <w:b w:val="1"/>
                <w:bCs w:val="1"/>
                <w:color w:val="auto"/>
              </w:rPr>
              <w:t>4Q23 Change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 Change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AVERAGE BALANCES</w:t>
            </w:r>
          </w:p>
        </w:tc>
        <w:tc>
          <w:tcPr>
            <w:tcW w:w="100" w:type="dxa"/>
            <w:vAlign w:val="bottom"/>
          </w:tcPr>
          <w:p>
            <w:pPr>
              <w:spacing w:after="0"/>
              <w:rPr>
                <w:sz w:val="10"/>
                <w:szCs w:val="10"/>
                <w:color w:val="auto"/>
              </w:rPr>
            </w:pPr>
          </w:p>
        </w:tc>
        <w:tc>
          <w:tcPr>
            <w:tcW w:w="56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4Q23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3Q23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2Q23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1Q23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4Q22</w:t>
            </w:r>
          </w:p>
        </w:tc>
        <w:tc>
          <w:tcPr>
            <w:tcW w:w="240" w:type="dxa"/>
            <w:vAlign w:val="bottom"/>
          </w:tcPr>
          <w:p>
            <w:pPr>
              <w:spacing w:after="0"/>
              <w:rPr>
                <w:sz w:val="10"/>
                <w:szCs w:val="10"/>
                <w:color w:val="auto"/>
              </w:rPr>
            </w:pPr>
          </w:p>
        </w:tc>
        <w:tc>
          <w:tcPr>
            <w:tcW w:w="72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3Q23</w:t>
            </w:r>
          </w:p>
        </w:tc>
        <w:tc>
          <w:tcPr>
            <w:tcW w:w="94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4Q22</w:t>
            </w:r>
          </w:p>
        </w:tc>
        <w:tc>
          <w:tcPr>
            <w:tcW w:w="100" w:type="dxa"/>
            <w:vAlign w:val="bottom"/>
          </w:tcPr>
          <w:p>
            <w:pPr>
              <w:spacing w:after="0"/>
              <w:rPr>
                <w:sz w:val="10"/>
                <w:szCs w:val="10"/>
                <w:color w:val="auto"/>
              </w:rPr>
            </w:pPr>
          </w:p>
        </w:tc>
        <w:tc>
          <w:tcPr>
            <w:tcW w:w="54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2022</w:t>
            </w:r>
          </w:p>
        </w:tc>
        <w:tc>
          <w:tcPr>
            <w:tcW w:w="20" w:type="dxa"/>
            <w:vAlign w:val="bottom"/>
          </w:tcPr>
          <w:p>
            <w:pPr>
              <w:spacing w:after="0"/>
              <w:rPr>
                <w:sz w:val="10"/>
                <w:szCs w:val="10"/>
                <w:color w:val="auto"/>
              </w:rPr>
            </w:pPr>
          </w:p>
        </w:tc>
        <w:tc>
          <w:tcPr>
            <w:tcW w:w="940" w:type="dxa"/>
            <w:vAlign w:val="bottom"/>
            <w:gridSpan w:val="2"/>
          </w:tcPr>
          <w:p>
            <w:pPr>
              <w:jc w:val="right"/>
              <w:ind w:right="186"/>
              <w:spacing w:after="0" w:line="122" w:lineRule="exact"/>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1"/>
                <w:szCs w:val="11"/>
                <w:b w:val="1"/>
                <w:bCs w:val="1"/>
                <w:color w:val="auto"/>
              </w:rPr>
              <w:t>ASSETS</w:t>
            </w:r>
          </w:p>
        </w:tc>
        <w:tc>
          <w:tcPr>
            <w:tcW w:w="1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Deposits with banks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540,040</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456,954</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495,018</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505,662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595,631</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18 %</w:t>
            </w: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499,396</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670,773</w:t>
            </w:r>
          </w:p>
        </w:tc>
        <w:tc>
          <w:tcPr>
            <w:tcW w:w="2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Federal funds sold and securities purchased</w:t>
            </w: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319,056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309,848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326,563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313,187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306,173</w:t>
            </w:r>
          </w:p>
        </w:tc>
        <w:tc>
          <w:tcPr>
            <w:tcW w:w="76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317,159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307,150</w:t>
            </w:r>
          </w:p>
        </w:tc>
        <w:tc>
          <w:tcPr>
            <w:tcW w:w="20" w:type="dxa"/>
            <w:vAlign w:val="bottom"/>
          </w:tcPr>
          <w:p>
            <w:pPr>
              <w:spacing w:after="0"/>
              <w:rPr>
                <w:sz w:val="11"/>
                <w:szCs w:val="11"/>
                <w:color w:val="auto"/>
              </w:rPr>
            </w:pPr>
          </w:p>
        </w:tc>
        <w:tc>
          <w:tcPr>
            <w:tcW w:w="94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under resale agreements</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Securities borrowed</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200,369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188,279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191,393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192,843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192,412</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193,228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205,516</w:t>
            </w:r>
          </w:p>
        </w:tc>
        <w:tc>
          <w:tcPr>
            <w:tcW w:w="2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Trading assets - debt instruments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374,254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383,576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391,945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357,682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302,825</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376,928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283,108</w:t>
            </w:r>
          </w:p>
        </w:tc>
        <w:tc>
          <w:tcPr>
            <w:tcW w:w="20" w:type="dxa"/>
            <w:vAlign w:val="bottom"/>
          </w:tcPr>
          <w:p>
            <w:pPr>
              <w:spacing w:after="0"/>
              <w:rPr>
                <w:sz w:val="14"/>
                <w:szCs w:val="14"/>
                <w:color w:val="auto"/>
              </w:rPr>
            </w:pP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Investment securities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579,450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606,593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611,552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622,050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625,388</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604,800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653,985</w:t>
            </w:r>
          </w:p>
        </w:tc>
        <w:tc>
          <w:tcPr>
            <w:tcW w:w="2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1,315,439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1,306,322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1,238,237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1,129,624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1,126,002</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1,248,076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1,100,318</w:t>
            </w:r>
          </w:p>
        </w:tc>
        <w:tc>
          <w:tcPr>
            <w:tcW w:w="20" w:type="dxa"/>
            <w:vAlign w:val="bottom"/>
          </w:tcPr>
          <w:p>
            <w:pPr>
              <w:spacing w:after="0"/>
              <w:rPr>
                <w:sz w:val="14"/>
                <w:szCs w:val="14"/>
                <w:color w:val="auto"/>
              </w:rPr>
            </w:pP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All other interest-earning assets (a)</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79,787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80,156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89,072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95,709</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116,640</w:t>
            </w:r>
          </w:p>
        </w:tc>
        <w:tc>
          <w:tcPr>
            <w:tcW w:w="24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86,121</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128,229</w:t>
            </w:r>
          </w:p>
        </w:tc>
        <w:tc>
          <w:tcPr>
            <w:tcW w:w="20" w:type="dxa"/>
            <w:vAlign w:val="bottom"/>
          </w:tcPr>
          <w:p>
            <w:pPr>
              <w:spacing w:after="0"/>
              <w:rPr>
                <w:sz w:val="15"/>
                <w:szCs w:val="15"/>
                <w:color w:val="auto"/>
              </w:rPr>
            </w:pP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interest-earning assets</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3,408,395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3,331,728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3,343,780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3,216,757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3,265,071</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3,325,708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3,349,079</w:t>
            </w:r>
          </w:p>
        </w:tc>
        <w:tc>
          <w:tcPr>
            <w:tcW w:w="20" w:type="dxa"/>
            <w:vAlign w:val="bottom"/>
          </w:tcPr>
          <w:p>
            <w:pPr>
              <w:spacing w:after="0"/>
              <w:rPr>
                <w:sz w:val="12"/>
                <w:szCs w:val="12"/>
                <w:color w:val="auto"/>
              </w:rPr>
            </w:pP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Trading assets - equity and other instruments</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144,642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173,998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169,558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152,081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126,138</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160,087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140,778</w:t>
            </w:r>
          </w:p>
        </w:tc>
        <w:tc>
          <w:tcPr>
            <w:tcW w:w="20" w:type="dxa"/>
            <w:vAlign w:val="bottom"/>
          </w:tcPr>
          <w:p>
            <w:pPr>
              <w:spacing w:after="0"/>
              <w:rPr>
                <w:sz w:val="13"/>
                <w:szCs w:val="13"/>
                <w:color w:val="auto"/>
              </w:rPr>
            </w:pP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Trading assets - derivative receivables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62,069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66,972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63,339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64,526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78,476</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64,227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78,606</w:t>
            </w:r>
          </w:p>
        </w:tc>
        <w:tc>
          <w:tcPr>
            <w:tcW w:w="2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All other noninterest-earning assets</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270,526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267,079</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274,711</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276,613</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285,586</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272,202</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285,077</w:t>
            </w:r>
          </w:p>
        </w:tc>
        <w:tc>
          <w:tcPr>
            <w:tcW w:w="20" w:type="dxa"/>
            <w:vAlign w:val="bottom"/>
          </w:tcPr>
          <w:p>
            <w:pPr>
              <w:spacing w:after="0"/>
              <w:rPr>
                <w:sz w:val="15"/>
                <w:szCs w:val="15"/>
                <w:color w:val="auto"/>
              </w:rPr>
            </w:pP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0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3,885,632</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3,839,777</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3,851,388</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3,709,977</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3,755,271</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3,822,224</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3,853,540</w:t>
            </w:r>
          </w:p>
        </w:tc>
        <w:tc>
          <w:tcPr>
            <w:tcW w:w="2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00" w:type="dxa"/>
            <w:vAlign w:val="bottom"/>
            <w:gridSpan w:val="3"/>
          </w:tcPr>
          <w:p>
            <w:pPr>
              <w:spacing w:after="0"/>
              <w:rPr>
                <w:sz w:val="20"/>
                <w:szCs w:val="20"/>
                <w:color w:val="auto"/>
              </w:rPr>
            </w:pPr>
            <w:r>
              <w:rPr>
                <w:rFonts w:ascii="Arial" w:cs="Arial" w:eastAsia="Arial" w:hAnsi="Arial"/>
                <w:sz w:val="11"/>
                <w:szCs w:val="11"/>
                <w:b w:val="1"/>
                <w:bCs w:val="1"/>
                <w:color w:val="auto"/>
              </w:rPr>
              <w:t>LIABILITIES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Interest-bearing deposits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1,713,189</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1,694,758</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1,715,699</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1,670,036</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1,695,233</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1,698,529</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1,748,666</w:t>
            </w:r>
          </w:p>
        </w:tc>
        <w:tc>
          <w:tcPr>
            <w:tcW w:w="20" w:type="dxa"/>
            <w:vAlign w:val="bottom"/>
          </w:tcPr>
          <w:p>
            <w:pPr>
              <w:spacing w:after="0"/>
              <w:rPr>
                <w:sz w:val="13"/>
                <w:szCs w:val="13"/>
                <w:color w:val="auto"/>
              </w:rPr>
            </w:pP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w w:val="99"/>
              </w:rPr>
              <w:t>Federal funds purchased and securities loaned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or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ind w:left="120"/>
              <w:spacing w:after="0"/>
              <w:rPr>
                <w:sz w:val="20"/>
                <w:szCs w:val="20"/>
                <w:color w:val="auto"/>
              </w:rPr>
            </w:pPr>
            <w:r>
              <w:rPr>
                <w:rFonts w:ascii="Arial" w:cs="Arial" w:eastAsia="Arial" w:hAnsi="Arial"/>
                <w:sz w:val="11"/>
                <w:szCs w:val="11"/>
                <w:color w:val="auto"/>
              </w:rPr>
              <w:t>sold under repurchase agreements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254,211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254,105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263,718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252,310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247,934</w:t>
            </w:r>
          </w:p>
        </w:tc>
        <w:tc>
          <w:tcPr>
            <w:tcW w:w="2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256,086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242,762</w:t>
            </w:r>
          </w:p>
        </w:tc>
        <w:tc>
          <w:tcPr>
            <w:tcW w:w="20" w:type="dxa"/>
            <w:vAlign w:val="bottom"/>
          </w:tcPr>
          <w:p>
            <w:pPr>
              <w:spacing w:after="0"/>
              <w:rPr>
                <w:sz w:val="14"/>
                <w:szCs w:val="14"/>
                <w:color w:val="auto"/>
              </w:rPr>
            </w:pP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Short-term borrowings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37,941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37,837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35,335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38,763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39,843</w:t>
            </w:r>
          </w:p>
        </w:tc>
        <w:tc>
          <w:tcPr>
            <w:tcW w:w="2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37,468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46,063</w:t>
            </w:r>
          </w:p>
        </w:tc>
        <w:tc>
          <w:tcPr>
            <w:tcW w:w="2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Trading liabilities - debt and all other interest-</w:t>
            </w: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287,443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288,007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293,269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277,576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256,533</w:t>
            </w:r>
          </w:p>
        </w:tc>
        <w:tc>
          <w:tcPr>
            <w:tcW w:w="240" w:type="dxa"/>
            <w:vAlign w:val="bottom"/>
          </w:tcPr>
          <w:p>
            <w:pPr>
              <w:spacing w:after="0"/>
              <w:rPr>
                <w:sz w:val="11"/>
                <w:szCs w:val="11"/>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12</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286,605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268,019</w:t>
            </w:r>
          </w:p>
        </w:tc>
        <w:tc>
          <w:tcPr>
            <w:tcW w:w="20" w:type="dxa"/>
            <w:vAlign w:val="bottom"/>
          </w:tcPr>
          <w:p>
            <w:pPr>
              <w:spacing w:after="0"/>
              <w:rPr>
                <w:sz w:val="11"/>
                <w:szCs w:val="11"/>
                <w:color w:val="auto"/>
              </w:rPr>
            </w:pPr>
          </w:p>
        </w:tc>
        <w:tc>
          <w:tcPr>
            <w:tcW w:w="94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bearing liabilities (b)</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Beneficial interests issued by consolidated</w:t>
            </w: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23,133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21,890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15,947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13,483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12,312</w:t>
            </w:r>
          </w:p>
        </w:tc>
        <w:tc>
          <w:tcPr>
            <w:tcW w:w="76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88</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18,648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11,208</w:t>
            </w:r>
          </w:p>
        </w:tc>
        <w:tc>
          <w:tcPr>
            <w:tcW w:w="20" w:type="dxa"/>
            <w:vAlign w:val="bottom"/>
          </w:tcPr>
          <w:p>
            <w:pPr>
              <w:spacing w:after="0"/>
              <w:rPr>
                <w:sz w:val="11"/>
                <w:szCs w:val="11"/>
                <w:color w:val="auto"/>
              </w:rPr>
            </w:pPr>
          </w:p>
        </w:tc>
        <w:tc>
          <w:tcPr>
            <w:tcW w:w="94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VIEs</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Long-term debt</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325,843</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315,267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294,239</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249,336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246,978</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32</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296,433</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250,080</w:t>
            </w:r>
          </w:p>
        </w:tc>
        <w:tc>
          <w:tcPr>
            <w:tcW w:w="20" w:type="dxa"/>
            <w:vAlign w:val="bottom"/>
          </w:tcPr>
          <w:p>
            <w:pPr>
              <w:spacing w:after="0"/>
              <w:rPr>
                <w:sz w:val="15"/>
                <w:szCs w:val="15"/>
                <w:color w:val="auto"/>
              </w:rPr>
            </w:pP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interest-bearing liabilities</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2,641,760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2,611,864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2,618,207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2,501,504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2,498,833</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2,593,769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2,566,798</w:t>
            </w:r>
          </w:p>
        </w:tc>
        <w:tc>
          <w:tcPr>
            <w:tcW w:w="20" w:type="dxa"/>
            <w:vAlign w:val="bottom"/>
          </w:tcPr>
          <w:p>
            <w:pPr>
              <w:spacing w:after="0"/>
              <w:rPr>
                <w:sz w:val="12"/>
                <w:szCs w:val="12"/>
                <w:color w:val="auto"/>
              </w:rPr>
            </w:pP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Noninterest-bearing deposits</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658,912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660,983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671,715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650,443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684,921</w:t>
            </w:r>
          </w:p>
        </w:tc>
        <w:tc>
          <w:tcPr>
            <w:tcW w:w="24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660,538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719,249</w:t>
            </w:r>
          </w:p>
        </w:tc>
        <w:tc>
          <w:tcPr>
            <w:tcW w:w="20" w:type="dxa"/>
            <w:vAlign w:val="bottom"/>
          </w:tcPr>
          <w:p>
            <w:pPr>
              <w:spacing w:after="0"/>
              <w:rPr>
                <w:sz w:val="13"/>
                <w:szCs w:val="13"/>
                <w:color w:val="auto"/>
              </w:rPr>
            </w:pP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w w:val="98"/>
              </w:rPr>
              <w:t>Trading liabilities - equity and other instruments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34,176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29,508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28,513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29,769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35,415</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30,501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39,155</w:t>
            </w:r>
          </w:p>
        </w:tc>
        <w:tc>
          <w:tcPr>
            <w:tcW w:w="2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Trading liabilities - derivative payables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42,447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46,754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46,934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49,357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56,988</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46,355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57,388</w:t>
            </w:r>
          </w:p>
        </w:tc>
        <w:tc>
          <w:tcPr>
            <w:tcW w:w="2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All other noninterest-bearing liabilities</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186,871</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178,466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180,730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180,303</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191,929</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181,601</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185,989</w:t>
            </w:r>
          </w:p>
        </w:tc>
        <w:tc>
          <w:tcPr>
            <w:tcW w:w="20" w:type="dxa"/>
            <w:vAlign w:val="bottom"/>
          </w:tcPr>
          <w:p>
            <w:pPr>
              <w:spacing w:after="0"/>
              <w:rPr>
                <w:sz w:val="15"/>
                <w:szCs w:val="15"/>
                <w:color w:val="auto"/>
              </w:rPr>
            </w:pP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LIABILITIES</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3,564,166</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3,527,575</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3,546,099</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3,411,376</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3,468,086</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3,512,764</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3,568,579</w:t>
            </w:r>
          </w:p>
        </w:tc>
        <w:tc>
          <w:tcPr>
            <w:tcW w:w="20" w:type="dxa"/>
            <w:vAlign w:val="bottom"/>
          </w:tcPr>
          <w:p>
            <w:pPr>
              <w:spacing w:after="0"/>
              <w:rPr>
                <w:sz w:val="13"/>
                <w:szCs w:val="13"/>
                <w:color w:val="auto"/>
              </w:rPr>
            </w:pP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Preferred stock</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27,404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27,404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27,404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27,404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28,415</w:t>
            </w:r>
          </w:p>
        </w:tc>
        <w:tc>
          <w:tcPr>
            <w:tcW w:w="24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27,404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31,893</w:t>
            </w:r>
          </w:p>
        </w:tc>
        <w:tc>
          <w:tcPr>
            <w:tcW w:w="20" w:type="dxa"/>
            <w:vAlign w:val="bottom"/>
          </w:tcPr>
          <w:p>
            <w:pPr>
              <w:spacing w:after="0"/>
              <w:rPr>
                <w:sz w:val="12"/>
                <w:szCs w:val="12"/>
                <w:color w:val="auto"/>
              </w:rPr>
            </w:pP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Common stockholders’ equity</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294,062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284,798</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277,885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271,197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258,770</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282,056</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253,068</w:t>
            </w:r>
          </w:p>
        </w:tc>
        <w:tc>
          <w:tcPr>
            <w:tcW w:w="20" w:type="dxa"/>
            <w:vAlign w:val="bottom"/>
          </w:tcPr>
          <w:p>
            <w:pPr>
              <w:spacing w:after="0"/>
              <w:rPr>
                <w:sz w:val="15"/>
                <w:szCs w:val="15"/>
                <w:color w:val="auto"/>
              </w:rPr>
            </w:pP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0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STOCKHOLDERS’ EQUITY</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321,466</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312,202</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305,289</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298,601</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287,185</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309,460</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284,961</w:t>
            </w:r>
          </w:p>
        </w:tc>
        <w:tc>
          <w:tcPr>
            <w:tcW w:w="20" w:type="dxa"/>
            <w:vAlign w:val="bottom"/>
          </w:tcPr>
          <w:p>
            <w:pPr>
              <w:spacing w:after="0"/>
              <w:rPr>
                <w:sz w:val="13"/>
                <w:szCs w:val="13"/>
                <w:color w:val="auto"/>
              </w:rPr>
            </w:pP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00" w:type="dxa"/>
            <w:vAlign w:val="bottom"/>
            <w:gridSpan w:val="3"/>
          </w:tcPr>
          <w:p>
            <w:pPr>
              <w:ind w:left="120"/>
              <w:spacing w:after="0" w:line="95" w:lineRule="exact"/>
              <w:rPr>
                <w:sz w:val="20"/>
                <w:szCs w:val="20"/>
                <w:color w:val="auto"/>
              </w:rPr>
            </w:pPr>
            <w:r>
              <w:rPr>
                <w:rFonts w:ascii="Arial" w:cs="Arial" w:eastAsia="Arial" w:hAnsi="Arial"/>
                <w:sz w:val="10"/>
                <w:szCs w:val="10"/>
                <w:b w:val="1"/>
                <w:bCs w:val="1"/>
                <w:color w:val="auto"/>
              </w:rPr>
              <w:t>TOTAL LIABILITIES AND</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7"/>
              </w:rPr>
              <w:t>3,885,632</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7"/>
              </w:rPr>
              <w:t>3,839,777</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7"/>
              </w:rPr>
              <w:t>3,851,388</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7"/>
              </w:rPr>
              <w:t>3,709,977</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3,755,271</w:t>
            </w:r>
          </w:p>
        </w:tc>
        <w:tc>
          <w:tcPr>
            <w:tcW w:w="76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8"/>
                <w:szCs w:val="8"/>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3,822,224</w:t>
            </w:r>
          </w:p>
        </w:tc>
        <w:tc>
          <w:tcPr>
            <w:tcW w:w="24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7"/>
              </w:rPr>
              <w:t>3,853,540</w:t>
            </w:r>
          </w:p>
        </w:tc>
        <w:tc>
          <w:tcPr>
            <w:tcW w:w="20" w:type="dxa"/>
            <w:vAlign w:val="bottom"/>
          </w:tcPr>
          <w:p>
            <w:pPr>
              <w:spacing w:after="0"/>
              <w:rPr>
                <w:sz w:val="8"/>
                <w:szCs w:val="8"/>
                <w:color w:val="auto"/>
              </w:rPr>
            </w:pPr>
          </w:p>
        </w:tc>
        <w:tc>
          <w:tcPr>
            <w:tcW w:w="9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gridSpan w:val="3"/>
          </w:tcPr>
          <w:p>
            <w:pPr>
              <w:ind w:left="120"/>
              <w:spacing w:after="0"/>
              <w:rPr>
                <w:sz w:val="20"/>
                <w:szCs w:val="20"/>
                <w:color w:val="auto"/>
              </w:rPr>
            </w:pPr>
            <w:r>
              <w:rPr>
                <w:rFonts w:ascii="Arial" w:cs="Arial" w:eastAsia="Arial" w:hAnsi="Arial"/>
                <w:sz w:val="11"/>
                <w:szCs w:val="11"/>
                <w:b w:val="1"/>
                <w:bCs w:val="1"/>
                <w:color w:val="auto"/>
              </w:rPr>
              <w:t>STOCKHOLDERS’ EQUITY</w:t>
            </w:r>
          </w:p>
        </w:tc>
        <w:tc>
          <w:tcPr>
            <w:tcW w:w="10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b w:val="1"/>
                <w:bCs w:val="1"/>
                <w:color w:val="auto"/>
              </w:rPr>
              <w:t>AVERAGE RATES (c)</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b w:val="1"/>
                <w:bCs w:val="1"/>
                <w:color w:val="auto"/>
              </w:rPr>
              <w:t>INTEREST-EARNING ASSETS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Deposits with banks</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4.79</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4.58</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4.20</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3.87</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3.14</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4.36</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1.35</w:t>
            </w:r>
          </w:p>
        </w:tc>
        <w:tc>
          <w:tcPr>
            <w:tcW w:w="20" w:type="dxa"/>
            <w:vAlign w:val="bottom"/>
          </w:tcPr>
          <w:p>
            <w:pPr>
              <w:spacing w:after="0"/>
              <w:rPr>
                <w:sz w:val="13"/>
                <w:szCs w:val="13"/>
                <w:color w:val="auto"/>
              </w:rPr>
            </w:pP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Federal funds sold and securities purchased</w:t>
            </w: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5.26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5.06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4.63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4.06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2.95</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4.75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1.51</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under resale agreements</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Securities borrowed</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4.59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4.39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3.91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3.61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2.84</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1.09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Trading assets - debt instruments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4.39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4.32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3.75</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4.25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3.21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Investment securities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3.53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3.23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3.01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2.79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2.36</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1.77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6.97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6.79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6.59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6.37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5.83</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6.70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4.81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All other interest-earning assets (a)</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10.10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9.42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8.85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7.50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5.76</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8.90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2.93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b w:val="1"/>
                <w:bCs w:val="1"/>
                <w:color w:val="auto"/>
              </w:rPr>
              <w:t>Total interest-earning assets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5.53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5.32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5.01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4.68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4.03</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5.14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2.78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1"/>
                <w:szCs w:val="11"/>
                <w:b w:val="1"/>
                <w:bCs w:val="1"/>
                <w:color w:val="auto"/>
              </w:rPr>
              <w:t>INTEREST-BEARING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Interest-bearing deposits</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2.78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2.53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2.24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1.85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1.37</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0.58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w w:val="99"/>
              </w:rPr>
              <w:t>Federal funds purchased and securities loaned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or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ind w:left="120"/>
              <w:spacing w:after="0"/>
              <w:rPr>
                <w:sz w:val="20"/>
                <w:szCs w:val="20"/>
                <w:color w:val="auto"/>
              </w:rPr>
            </w:pPr>
            <w:r>
              <w:rPr>
                <w:rFonts w:ascii="Arial" w:cs="Arial" w:eastAsia="Arial" w:hAnsi="Arial"/>
                <w:sz w:val="11"/>
                <w:szCs w:val="11"/>
                <w:color w:val="auto"/>
              </w:rPr>
              <w:t>sold under repurchase agreements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5.51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5.50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4.51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3.15</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1.53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Short-term borrowings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5.55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5.38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4.87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4.40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3.60</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5.05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1.62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Trading liabilities - debt and all other interest-</w:t>
            </w: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3.39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2.88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2.38</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3.28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1.21</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bearing liabilities (b)</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Beneficial interests issued by consolidated</w:t>
            </w: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5.36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5.38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4.95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4.43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3.74</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5.11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2.02</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VIEs</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Long-term debt</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5.33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5.33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5.28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5.39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4.87</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5.33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3.23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interest-bearing liabilities</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3.50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3.32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3.04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2.64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2.04</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3.14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1.02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1"/>
                <w:szCs w:val="11"/>
                <w:b w:val="1"/>
                <w:bCs w:val="1"/>
                <w:color w:val="auto"/>
              </w:rPr>
              <w:t>INTEREST RATE SPREAD</w:t>
            </w:r>
          </w:p>
        </w:tc>
        <w:tc>
          <w:tcPr>
            <w:tcW w:w="100" w:type="dxa"/>
            <w:vAlign w:val="bottom"/>
          </w:tcPr>
          <w:p>
            <w:pPr>
              <w:spacing w:after="0"/>
              <w:rPr>
                <w:sz w:val="18"/>
                <w:szCs w:val="18"/>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2.03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2.00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2.04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1.99</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1.76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NET YIELD ON INTEREST-EARNING</w:t>
            </w: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2.81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2.72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2.62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2.63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2.47</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2.70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2.00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gridSpan w:val="3"/>
          </w:tcPr>
          <w:p>
            <w:pPr>
              <w:spacing w:after="0"/>
              <w:rPr>
                <w:sz w:val="20"/>
                <w:szCs w:val="20"/>
                <w:color w:val="auto"/>
              </w:rPr>
            </w:pPr>
            <w:r>
              <w:rPr>
                <w:rFonts w:ascii="Arial" w:cs="Arial" w:eastAsia="Arial" w:hAnsi="Arial"/>
                <w:sz w:val="11"/>
                <w:szCs w:val="11"/>
                <w:b w:val="1"/>
                <w:bCs w:val="1"/>
                <w:color w:val="auto"/>
              </w:rPr>
              <w:t>ASSETS</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Memo: Net yield on interest-earning assets</w:t>
            </w: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3.86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3.89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3.83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3.80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3.41</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3.85</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2.60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excluding Markets (d)</w:t>
            </w: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right="160" w:hanging="172"/>
        <w:spacing w:after="0" w:line="249" w:lineRule="auto"/>
        <w:tabs>
          <w:tab w:leader="none" w:pos="1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Includes brokerage-related held-for-investment customer receivables, which are classified in accrued interest and accounts receivable, and all other interest-earning assets, which are classified in other assets, on the Consolidated Balance Sheets.</w:t>
      </w:r>
    </w:p>
    <w:p>
      <w:pPr>
        <w:ind w:left="260" w:hanging="252"/>
        <w:spacing w:after="0" w:line="236" w:lineRule="auto"/>
        <w:tabs>
          <w:tab w:leader="none" w:pos="2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All other interest-bearing liabilities include brokerage-related customer payables.</w:t>
      </w:r>
    </w:p>
    <w:p>
      <w:pPr>
        <w:ind w:left="260" w:hanging="252"/>
        <w:spacing w:after="0"/>
        <w:tabs>
          <w:tab w:leader="none" w:pos="2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Interest includes the effect of related hedging derivatives. Taxable-equivalent amounts are used where applicable.</w:t>
      </w:r>
    </w:p>
    <w:p>
      <w:pPr>
        <w:spacing w:after="0" w:line="5" w:lineRule="exact"/>
        <w:rPr>
          <w:rFonts w:ascii="Arial" w:cs="Arial" w:eastAsia="Arial" w:hAnsi="Arial"/>
          <w:sz w:val="11"/>
          <w:szCs w:val="11"/>
          <w:color w:val="auto"/>
        </w:rPr>
      </w:pPr>
    </w:p>
    <w:p>
      <w:pPr>
        <w:ind w:left="260" w:hanging="252"/>
        <w:spacing w:after="0"/>
        <w:tabs>
          <w:tab w:leader="none" w:pos="2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Net yield on interest-earning assets excluding Markets is a non-GAAP financial measure. Refer to page 29 for further discussion of this measure.</w:t>
      </w: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6</w:t>
      </w:r>
    </w:p>
    <w:p>
      <w:pPr>
        <w:sectPr>
          <w:pgSz w:w="11900" w:h="16838" w:orient="portrait"/>
          <w:cols w:equalWidth="0" w:num="1">
            <w:col w:w="11240"/>
          </w:cols>
          <w:pgMar w:left="320" w:top="491"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-28575</wp:posOffset>
            </wp:positionV>
            <wp:extent cx="237426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FROM REPORTED TO MANAGED BASIS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ratios)</w:t>
      </w:r>
    </w:p>
    <w:p>
      <w:pPr>
        <w:spacing w:after="0" w:line="279" w:lineRule="exact"/>
        <w:rPr>
          <w:sz w:val="20"/>
          <w:szCs w:val="20"/>
          <w:color w:val="auto"/>
        </w:rPr>
      </w:pPr>
    </w:p>
    <w:p>
      <w:pPr>
        <w:ind w:right="20"/>
        <w:spacing w:after="0" w:line="274" w:lineRule="auto"/>
        <w:rPr>
          <w:sz w:val="20"/>
          <w:szCs w:val="20"/>
          <w:color w:val="auto"/>
        </w:rPr>
      </w:pPr>
      <w:r>
        <w:rPr>
          <w:rFonts w:ascii="Arial" w:cs="Arial" w:eastAsia="Arial" w:hAnsi="Arial"/>
          <w:sz w:val="10"/>
          <w:szCs w:val="10"/>
          <w:color w:val="auto"/>
        </w:rPr>
        <w:t>The Firm prepares its Consolidated Financial Statements using accounting principles generally accepted in the U.S. (“U.S. GAAP”). That presentation, which is referred to as “reported” basis, provides the reader with an understanding of the Firm’s results that can be tracked consistently from year-to-year and enables a comparison of the Firm’s performance with other companies’ U.S. GAAP financial statements. In addition to analyzing the Firm’s results on a reported</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1"/>
          <w:szCs w:val="11"/>
          <w:color w:val="auto"/>
        </w:rPr>
        <w:t>basis, management reviews Firmwide results, including the overhead ratio, on a “managed” basis; these Firmwide managed basis results are non-GAAP financial measures. The Firm also reviews the results of the lines of business on a managed basis. Refer to the notes on Non-GAAP Financial Measures on page 29 for additional information on managed basis.</w:t>
      </w: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The following summary table provides a reconciliation from reported U.S. GAAP results to managed basis.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w w:val="97"/>
              </w:rPr>
              <w:t>QUARTERLY TRENDS</w:t>
            </w: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886"/>
              <w:spacing w:after="0"/>
              <w:rPr>
                <w:sz w:val="20"/>
                <w:szCs w:val="20"/>
                <w:color w:val="auto"/>
              </w:rPr>
            </w:pPr>
            <w:r>
              <w:rPr>
                <w:rFonts w:ascii="Arial" w:cs="Arial" w:eastAsia="Arial" w:hAnsi="Arial"/>
                <w:sz w:val="11"/>
                <w:szCs w:val="11"/>
                <w:b w:val="1"/>
                <w:bCs w:val="1"/>
                <w:color w:val="auto"/>
                <w:w w:val="93"/>
              </w:rPr>
              <w:t>FULL YEAR</w:t>
            </w:r>
          </w:p>
        </w:tc>
      </w:tr>
      <w:tr>
        <w:trPr>
          <w:trHeight w:val="156"/>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1"/>
                <w:szCs w:val="11"/>
                <w:b w:val="1"/>
                <w:bCs w:val="1"/>
                <w:color w:val="auto"/>
              </w:rPr>
              <w:t>4Q23 Change</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2023 Change</w:t>
            </w: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4Q23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3Q23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2Q23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1Q23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4Q22</w:t>
            </w:r>
          </w:p>
        </w:tc>
        <w:tc>
          <w:tcPr>
            <w:tcW w:w="40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3Q23</w:t>
            </w:r>
          </w:p>
        </w:tc>
        <w:tc>
          <w:tcPr>
            <w:tcW w:w="1040" w:type="dxa"/>
            <w:vAlign w:val="bottom"/>
            <w:gridSpan w:val="2"/>
          </w:tcPr>
          <w:p>
            <w:pPr>
              <w:jc w:val="right"/>
              <w:ind w:right="620"/>
              <w:spacing w:after="0"/>
              <w:rPr>
                <w:sz w:val="20"/>
                <w:szCs w:val="20"/>
                <w:color w:val="auto"/>
              </w:rPr>
            </w:pPr>
            <w:r>
              <w:rPr>
                <w:rFonts w:ascii="Arial" w:cs="Arial" w:eastAsia="Arial" w:hAnsi="Arial"/>
                <w:sz w:val="11"/>
                <w:szCs w:val="11"/>
                <w:b w:val="1"/>
                <w:bCs w:val="1"/>
                <w:color w:val="auto"/>
              </w:rPr>
              <w:t>4Q22</w:t>
            </w: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102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2022</w:t>
            </w:r>
          </w:p>
        </w:tc>
      </w:tr>
      <w:tr>
        <w:trPr>
          <w:trHeight w:val="108"/>
        </w:trPr>
        <w:tc>
          <w:tcPr>
            <w:tcW w:w="2400" w:type="dxa"/>
            <w:vAlign w:val="bottom"/>
            <w:gridSpan w:val="8"/>
          </w:tcPr>
          <w:p>
            <w:pPr>
              <w:spacing w:after="0" w:line="108" w:lineRule="exact"/>
              <w:rPr>
                <w:sz w:val="20"/>
                <w:szCs w:val="20"/>
                <w:color w:val="auto"/>
              </w:rPr>
            </w:pPr>
            <w:r>
              <w:rPr>
                <w:rFonts w:ascii="Arial" w:cs="Arial" w:eastAsia="Arial" w:hAnsi="Arial"/>
                <w:sz w:val="11"/>
                <w:szCs w:val="11"/>
                <w:b w:val="1"/>
                <w:bCs w:val="1"/>
                <w:color w:val="auto"/>
              </w:rPr>
              <w:t>OTHER INCOME</w:t>
            </w: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168"/>
        </w:trPr>
        <w:tc>
          <w:tcPr>
            <w:tcW w:w="2400" w:type="dxa"/>
            <w:vAlign w:val="bottom"/>
            <w:gridSpan w:val="8"/>
          </w:tcPr>
          <w:p>
            <w:pPr>
              <w:spacing w:after="0"/>
              <w:rPr>
                <w:sz w:val="20"/>
                <w:szCs w:val="20"/>
                <w:color w:val="auto"/>
              </w:rPr>
            </w:pPr>
            <w:r>
              <w:rPr>
                <w:rFonts w:ascii="Arial" w:cs="Arial" w:eastAsia="Arial" w:hAnsi="Arial"/>
                <w:sz w:val="11"/>
                <w:szCs w:val="11"/>
                <w:b w:val="1"/>
                <w:bCs w:val="1"/>
                <w:color w:val="auto"/>
              </w:rPr>
              <w:t>Other income - reported</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696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614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3,292</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1,007</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1,392</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13 %</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5,609</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4,322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30 %</w:t>
            </w:r>
          </w:p>
        </w:tc>
      </w:tr>
      <w:tr>
        <w:trPr>
          <w:trHeight w:val="169"/>
        </w:trPr>
        <w:tc>
          <w:tcPr>
            <w:tcW w:w="2400" w:type="dxa"/>
            <w:vAlign w:val="bottom"/>
            <w:gridSpan w:val="8"/>
          </w:tcPr>
          <w:p>
            <w:pPr>
              <w:spacing w:after="0"/>
              <w:rPr>
                <w:sz w:val="20"/>
                <w:szCs w:val="20"/>
                <w:color w:val="auto"/>
              </w:rPr>
            </w:pPr>
            <w:r>
              <w:rPr>
                <w:rFonts w:ascii="Arial" w:cs="Arial" w:eastAsia="Arial" w:hAnsi="Arial"/>
                <w:sz w:val="11"/>
                <w:szCs w:val="11"/>
                <w:color w:val="auto"/>
              </w:rPr>
              <w:t>Fully taxable-equivalent adjustments (a)</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1,243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990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867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898</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82</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38</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3,782</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3,148</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20</w:t>
            </w:r>
          </w:p>
        </w:tc>
      </w:tr>
      <w:tr>
        <w:trPr>
          <w:trHeight w:val="169"/>
        </w:trPr>
        <w:tc>
          <w:tcPr>
            <w:tcW w:w="2400" w:type="dxa"/>
            <w:vAlign w:val="bottom"/>
            <w:gridSpan w:val="8"/>
          </w:tcPr>
          <w:p>
            <w:pPr>
              <w:spacing w:after="0"/>
              <w:rPr>
                <w:sz w:val="20"/>
                <w:szCs w:val="20"/>
                <w:color w:val="auto"/>
              </w:rPr>
            </w:pPr>
            <w:r>
              <w:rPr>
                <w:rFonts w:ascii="Arial" w:cs="Arial" w:eastAsia="Arial" w:hAnsi="Arial"/>
                <w:sz w:val="11"/>
                <w:szCs w:val="11"/>
                <w:b w:val="1"/>
                <w:bCs w:val="1"/>
                <w:color w:val="auto"/>
              </w:rPr>
              <w:t>Other income - managed</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1,939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1,296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4,282</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1,874</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2,290</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50</w:t>
            </w:r>
          </w:p>
        </w:tc>
        <w:tc>
          <w:tcPr>
            <w:tcW w:w="22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9,391</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7,470</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26</w:t>
            </w:r>
          </w:p>
        </w:tc>
      </w:tr>
      <w:tr>
        <w:trPr>
          <w:trHeight w:val="270"/>
        </w:trPr>
        <w:tc>
          <w:tcPr>
            <w:tcW w:w="1720" w:type="dxa"/>
            <w:vAlign w:val="bottom"/>
            <w:tcBorders>
              <w:bottom w:val="single" w:sz="8" w:color="auto"/>
            </w:tcBorders>
            <w:gridSpan w:val="6"/>
          </w:tcPr>
          <w:p>
            <w:pPr>
              <w:spacing w:after="0"/>
              <w:rPr>
                <w:sz w:val="20"/>
                <w:szCs w:val="20"/>
                <w:color w:val="auto"/>
              </w:rPr>
            </w:pPr>
            <w:r>
              <w:rPr>
                <w:rFonts w:ascii="Arial" w:cs="Arial" w:eastAsia="Arial" w:hAnsi="Arial"/>
                <w:sz w:val="11"/>
                <w:szCs w:val="11"/>
                <w:b w:val="1"/>
                <w:bCs w:val="1"/>
                <w:color w:val="auto"/>
                <w:w w:val="97"/>
              </w:rPr>
              <w:t>TOTAL NONINTEREST REVENUE</w:t>
            </w:r>
          </w:p>
        </w:tc>
        <w:tc>
          <w:tcPr>
            <w:tcW w:w="680" w:type="dxa"/>
            <w:vAlign w:val="bottom"/>
            <w:gridSpan w:val="2"/>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68"/>
        </w:trPr>
        <w:tc>
          <w:tcPr>
            <w:tcW w:w="2400" w:type="dxa"/>
            <w:vAlign w:val="bottom"/>
            <w:gridSpan w:val="8"/>
          </w:tcPr>
          <w:p>
            <w:pPr>
              <w:spacing w:after="0"/>
              <w:rPr>
                <w:sz w:val="20"/>
                <w:szCs w:val="20"/>
                <w:color w:val="auto"/>
              </w:rPr>
            </w:pPr>
            <w:r>
              <w:rPr>
                <w:rFonts w:ascii="Arial" w:cs="Arial" w:eastAsia="Arial" w:hAnsi="Arial"/>
                <w:sz w:val="11"/>
                <w:szCs w:val="11"/>
                <w:b w:val="1"/>
                <w:bCs w:val="1"/>
                <w:color w:val="auto"/>
              </w:rPr>
              <w:t>Total noninterest revenue - reported</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14,523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17,148</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19,528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17,638</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14,355</w:t>
            </w:r>
          </w:p>
        </w:tc>
        <w:tc>
          <w:tcPr>
            <w:tcW w:w="980" w:type="dxa"/>
            <w:vAlign w:val="bottom"/>
            <w:gridSpan w:val="2"/>
          </w:tcPr>
          <w:p>
            <w:pPr>
              <w:jc w:val="right"/>
              <w:ind w:right="86"/>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68,837</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61,985</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r>
      <w:tr>
        <w:trPr>
          <w:trHeight w:val="170"/>
        </w:trPr>
        <w:tc>
          <w:tcPr>
            <w:tcW w:w="2400" w:type="dxa"/>
            <w:vAlign w:val="bottom"/>
            <w:gridSpan w:val="8"/>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1,243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990</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867</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898</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82</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38</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3,782</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3,148</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20</w:t>
            </w:r>
          </w:p>
        </w:tc>
      </w:tr>
      <w:tr>
        <w:trPr>
          <w:trHeight w:val="169"/>
        </w:trPr>
        <w:tc>
          <w:tcPr>
            <w:tcW w:w="2400" w:type="dxa"/>
            <w:vAlign w:val="bottom"/>
            <w:gridSpan w:val="8"/>
          </w:tcPr>
          <w:p>
            <w:pPr>
              <w:spacing w:after="0"/>
              <w:rPr>
                <w:sz w:val="20"/>
                <w:szCs w:val="20"/>
                <w:color w:val="auto"/>
              </w:rPr>
            </w:pPr>
            <w:r>
              <w:rPr>
                <w:rFonts w:ascii="Arial" w:cs="Arial" w:eastAsia="Arial" w:hAnsi="Arial"/>
                <w:sz w:val="11"/>
                <w:szCs w:val="11"/>
                <w:b w:val="1"/>
                <w:bCs w:val="1"/>
                <w:color w:val="auto"/>
              </w:rPr>
              <w:t>Total noninterest revenue - managed</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15,766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17,830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20,518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18,505</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15,253</w:t>
            </w:r>
          </w:p>
        </w:tc>
        <w:tc>
          <w:tcPr>
            <w:tcW w:w="980" w:type="dxa"/>
            <w:vAlign w:val="bottom"/>
            <w:gridSpan w:val="2"/>
          </w:tcPr>
          <w:p>
            <w:pPr>
              <w:jc w:val="right"/>
              <w:ind w:right="86"/>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72,619</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65,133</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r>
      <w:tr>
        <w:trPr>
          <w:trHeight w:val="270"/>
        </w:trPr>
        <w:tc>
          <w:tcPr>
            <w:tcW w:w="2400" w:type="dxa"/>
            <w:vAlign w:val="bottom"/>
            <w:gridSpan w:val="8"/>
          </w:tcPr>
          <w:p>
            <w:pPr>
              <w:spacing w:after="0"/>
              <w:rPr>
                <w:sz w:val="20"/>
                <w:szCs w:val="20"/>
                <w:color w:val="auto"/>
              </w:rPr>
            </w:pPr>
            <w:r>
              <w:rPr>
                <w:rFonts w:ascii="Arial" w:cs="Arial" w:eastAsia="Arial" w:hAnsi="Arial"/>
                <w:sz w:val="11"/>
                <w:szCs w:val="11"/>
                <w:b w:val="1"/>
                <w:bCs w:val="1"/>
                <w:color w:val="auto"/>
              </w:rPr>
              <w:t>NET INTEREST INCOME</w:t>
            </w: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0"/>
        </w:trPr>
        <w:tc>
          <w:tcPr>
            <w:tcW w:w="9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168"/>
        </w:trPr>
        <w:tc>
          <w:tcPr>
            <w:tcW w:w="2400" w:type="dxa"/>
            <w:vAlign w:val="bottom"/>
            <w:gridSpan w:val="8"/>
          </w:tcPr>
          <w:p>
            <w:pPr>
              <w:spacing w:after="0"/>
              <w:rPr>
                <w:sz w:val="20"/>
                <w:szCs w:val="20"/>
                <w:color w:val="auto"/>
              </w:rPr>
            </w:pPr>
            <w:r>
              <w:rPr>
                <w:rFonts w:ascii="Arial" w:cs="Arial" w:eastAsia="Arial" w:hAnsi="Arial"/>
                <w:sz w:val="11"/>
                <w:szCs w:val="11"/>
                <w:b w:val="1"/>
                <w:bCs w:val="1"/>
                <w:color w:val="auto"/>
              </w:rPr>
              <w:t>Net interest income - reported</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24,051</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22,726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21,779</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20,711</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20,192</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89,267</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66,710</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34</w:t>
            </w:r>
          </w:p>
        </w:tc>
      </w:tr>
      <w:tr>
        <w:trPr>
          <w:trHeight w:val="169"/>
        </w:trPr>
        <w:tc>
          <w:tcPr>
            <w:tcW w:w="2400" w:type="dxa"/>
            <w:vAlign w:val="bottom"/>
            <w:gridSpan w:val="8"/>
          </w:tcPr>
          <w:p>
            <w:pPr>
              <w:spacing w:after="0"/>
              <w:rPr>
                <w:sz w:val="20"/>
                <w:szCs w:val="20"/>
                <w:color w:val="auto"/>
              </w:rPr>
            </w:pPr>
            <w:r>
              <w:rPr>
                <w:rFonts w:ascii="Arial" w:cs="Arial" w:eastAsia="Arial" w:hAnsi="Arial"/>
                <w:sz w:val="11"/>
                <w:szCs w:val="11"/>
                <w:color w:val="auto"/>
              </w:rPr>
              <w:t>Fully taxable-equivalent adjustments (a)</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126</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104</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120</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121</w:t>
            </w:r>
          </w:p>
        </w:tc>
        <w:tc>
          <w:tcPr>
            <w:tcW w:w="98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480</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434</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r>
      <w:tr>
        <w:trPr>
          <w:trHeight w:val="169"/>
        </w:trPr>
        <w:tc>
          <w:tcPr>
            <w:tcW w:w="2400" w:type="dxa"/>
            <w:vAlign w:val="bottom"/>
            <w:gridSpan w:val="8"/>
          </w:tcPr>
          <w:p>
            <w:pPr>
              <w:spacing w:after="0"/>
              <w:rPr>
                <w:sz w:val="20"/>
                <w:szCs w:val="20"/>
                <w:color w:val="auto"/>
              </w:rPr>
            </w:pPr>
            <w:r>
              <w:rPr>
                <w:rFonts w:ascii="Arial" w:cs="Arial" w:eastAsia="Arial" w:hAnsi="Arial"/>
                <w:sz w:val="11"/>
                <w:szCs w:val="11"/>
                <w:b w:val="1"/>
                <w:bCs w:val="1"/>
                <w:color w:val="auto"/>
              </w:rPr>
              <w:t>Net interest income - managed</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24,177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22,856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21,883</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20,831</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20,313</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89,747</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67,144</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34</w:t>
            </w:r>
          </w:p>
        </w:tc>
      </w:tr>
      <w:tr>
        <w:trPr>
          <w:trHeight w:val="270"/>
        </w:trPr>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6"/>
              </w:rPr>
              <w:t>TOTAL NET REVENUE</w:t>
            </w:r>
          </w:p>
        </w:tc>
        <w:tc>
          <w:tcPr>
            <w:tcW w:w="1240" w:type="dxa"/>
            <w:vAlign w:val="bottom"/>
            <w:gridSpan w:val="5"/>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68"/>
        </w:trPr>
        <w:tc>
          <w:tcPr>
            <w:tcW w:w="2400" w:type="dxa"/>
            <w:vAlign w:val="bottom"/>
            <w:gridSpan w:val="8"/>
          </w:tcPr>
          <w:p>
            <w:pPr>
              <w:spacing w:after="0"/>
              <w:rPr>
                <w:sz w:val="20"/>
                <w:szCs w:val="20"/>
                <w:color w:val="auto"/>
              </w:rPr>
            </w:pPr>
            <w:r>
              <w:rPr>
                <w:rFonts w:ascii="Arial" w:cs="Arial" w:eastAsia="Arial" w:hAnsi="Arial"/>
                <w:sz w:val="11"/>
                <w:szCs w:val="11"/>
                <w:b w:val="1"/>
                <w:bCs w:val="1"/>
                <w:color w:val="auto"/>
              </w:rPr>
              <w:t>Total net revenue - reported</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38,574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39,874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41,307</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38,349</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34,547</w:t>
            </w:r>
          </w:p>
        </w:tc>
        <w:tc>
          <w:tcPr>
            <w:tcW w:w="98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158,104</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128,695</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23</w:t>
            </w:r>
          </w:p>
        </w:tc>
      </w:tr>
      <w:tr>
        <w:trPr>
          <w:trHeight w:val="169"/>
        </w:trPr>
        <w:tc>
          <w:tcPr>
            <w:tcW w:w="2400" w:type="dxa"/>
            <w:vAlign w:val="bottom"/>
            <w:gridSpan w:val="8"/>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1,369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1,094</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987</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1,019</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69</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34</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4,262</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3,582</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19</w:t>
            </w:r>
          </w:p>
        </w:tc>
      </w:tr>
      <w:tr>
        <w:trPr>
          <w:trHeight w:val="169"/>
        </w:trPr>
        <w:tc>
          <w:tcPr>
            <w:tcW w:w="2400" w:type="dxa"/>
            <w:vAlign w:val="bottom"/>
            <w:gridSpan w:val="8"/>
          </w:tcPr>
          <w:p>
            <w:pPr>
              <w:spacing w:after="0"/>
              <w:rPr>
                <w:sz w:val="20"/>
                <w:szCs w:val="20"/>
                <w:color w:val="auto"/>
              </w:rPr>
            </w:pPr>
            <w:r>
              <w:rPr>
                <w:rFonts w:ascii="Arial" w:cs="Arial" w:eastAsia="Arial" w:hAnsi="Arial"/>
                <w:sz w:val="11"/>
                <w:szCs w:val="11"/>
                <w:b w:val="1"/>
                <w:bCs w:val="1"/>
                <w:color w:val="auto"/>
              </w:rPr>
              <w:t>Total net revenue - managed</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39,943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40,686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42,401</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39,336</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35,566</w:t>
            </w:r>
          </w:p>
        </w:tc>
        <w:tc>
          <w:tcPr>
            <w:tcW w:w="98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162,366</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132,277</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23</w:t>
            </w:r>
          </w:p>
        </w:tc>
      </w:tr>
      <w:tr>
        <w:trPr>
          <w:trHeight w:val="270"/>
        </w:trPr>
        <w:tc>
          <w:tcPr>
            <w:tcW w:w="130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w w:val="97"/>
              </w:rPr>
              <w:t>PRE-PROVISION PROFIT</w:t>
            </w:r>
          </w:p>
        </w:tc>
        <w:tc>
          <w:tcPr>
            <w:tcW w:w="1100" w:type="dxa"/>
            <w:vAlign w:val="bottom"/>
            <w:gridSpan w:val="3"/>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69"/>
        </w:trPr>
        <w:tc>
          <w:tcPr>
            <w:tcW w:w="2400" w:type="dxa"/>
            <w:vAlign w:val="bottom"/>
            <w:gridSpan w:val="8"/>
          </w:tcPr>
          <w:p>
            <w:pPr>
              <w:spacing w:after="0"/>
              <w:rPr>
                <w:sz w:val="20"/>
                <w:szCs w:val="20"/>
                <w:color w:val="auto"/>
              </w:rPr>
            </w:pPr>
            <w:r>
              <w:rPr>
                <w:rFonts w:ascii="Arial" w:cs="Arial" w:eastAsia="Arial" w:hAnsi="Arial"/>
                <w:sz w:val="11"/>
                <w:szCs w:val="11"/>
                <w:b w:val="1"/>
                <w:bCs w:val="1"/>
                <w:color w:val="auto"/>
              </w:rPr>
              <w:t>Pre-provision profit - reported</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14,088</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18,117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20,485</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18,242</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15,525</w:t>
            </w:r>
          </w:p>
        </w:tc>
        <w:tc>
          <w:tcPr>
            <w:tcW w:w="980" w:type="dxa"/>
            <w:vAlign w:val="bottom"/>
            <w:gridSpan w:val="2"/>
          </w:tcPr>
          <w:p>
            <w:pPr>
              <w:jc w:val="right"/>
              <w:ind w:right="86"/>
              <w:spacing w:after="0"/>
              <w:rPr>
                <w:sz w:val="20"/>
                <w:szCs w:val="20"/>
                <w:color w:val="auto"/>
              </w:rPr>
            </w:pPr>
            <w:r>
              <w:rPr>
                <w:rFonts w:ascii="Arial" w:cs="Arial" w:eastAsia="Arial" w:hAnsi="Arial"/>
                <w:sz w:val="11"/>
                <w:szCs w:val="11"/>
                <w:color w:val="auto"/>
              </w:rPr>
              <w:t>(22)</w:t>
            </w:r>
          </w:p>
        </w:tc>
        <w:tc>
          <w:tcPr>
            <w:tcW w:w="22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70,932</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52,555</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35</w:t>
            </w:r>
          </w:p>
        </w:tc>
      </w:tr>
      <w:tr>
        <w:trPr>
          <w:trHeight w:val="170"/>
        </w:trPr>
        <w:tc>
          <w:tcPr>
            <w:tcW w:w="2400" w:type="dxa"/>
            <w:vAlign w:val="bottom"/>
            <w:gridSpan w:val="8"/>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1,369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1,094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987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1,019</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69</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34</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4,262</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3,582</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19</w:t>
            </w:r>
          </w:p>
        </w:tc>
      </w:tr>
      <w:tr>
        <w:trPr>
          <w:trHeight w:val="169"/>
        </w:trPr>
        <w:tc>
          <w:tcPr>
            <w:tcW w:w="2400" w:type="dxa"/>
            <w:vAlign w:val="bottom"/>
            <w:gridSpan w:val="8"/>
          </w:tcPr>
          <w:p>
            <w:pPr>
              <w:spacing w:after="0"/>
              <w:rPr>
                <w:sz w:val="20"/>
                <w:szCs w:val="20"/>
                <w:color w:val="auto"/>
              </w:rPr>
            </w:pPr>
            <w:r>
              <w:rPr>
                <w:rFonts w:ascii="Arial" w:cs="Arial" w:eastAsia="Arial" w:hAnsi="Arial"/>
                <w:sz w:val="11"/>
                <w:szCs w:val="11"/>
                <w:b w:val="1"/>
                <w:bCs w:val="1"/>
                <w:color w:val="auto"/>
              </w:rPr>
              <w:t>Pre-provision profit - managed</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15,457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18,929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21,579</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19,229</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16,544</w:t>
            </w:r>
          </w:p>
        </w:tc>
        <w:tc>
          <w:tcPr>
            <w:tcW w:w="980" w:type="dxa"/>
            <w:vAlign w:val="bottom"/>
            <w:gridSpan w:val="2"/>
          </w:tcPr>
          <w:p>
            <w:pPr>
              <w:jc w:val="right"/>
              <w:ind w:right="86"/>
              <w:spacing w:after="0"/>
              <w:rPr>
                <w:sz w:val="20"/>
                <w:szCs w:val="20"/>
                <w:color w:val="auto"/>
              </w:rPr>
            </w:pPr>
            <w:r>
              <w:rPr>
                <w:rFonts w:ascii="Arial" w:cs="Arial" w:eastAsia="Arial" w:hAnsi="Arial"/>
                <w:sz w:val="11"/>
                <w:szCs w:val="11"/>
                <w:color w:val="auto"/>
              </w:rPr>
              <w:t>(18)</w:t>
            </w:r>
          </w:p>
        </w:tc>
        <w:tc>
          <w:tcPr>
            <w:tcW w:w="22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75,194</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56,137</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34</w:t>
            </w:r>
          </w:p>
        </w:tc>
      </w:tr>
      <w:tr>
        <w:trPr>
          <w:trHeight w:val="270"/>
        </w:trPr>
        <w:tc>
          <w:tcPr>
            <w:tcW w:w="2160" w:type="dxa"/>
            <w:vAlign w:val="bottom"/>
            <w:tcBorders>
              <w:bottom w:val="single" w:sz="8" w:color="auto"/>
            </w:tcBorders>
            <w:gridSpan w:val="7"/>
          </w:tcPr>
          <w:p>
            <w:pPr>
              <w:spacing w:after="0"/>
              <w:rPr>
                <w:sz w:val="20"/>
                <w:szCs w:val="20"/>
                <w:color w:val="auto"/>
              </w:rPr>
            </w:pPr>
            <w:r>
              <w:rPr>
                <w:rFonts w:ascii="Arial" w:cs="Arial" w:eastAsia="Arial" w:hAnsi="Arial"/>
                <w:sz w:val="11"/>
                <w:szCs w:val="11"/>
                <w:b w:val="1"/>
                <w:bCs w:val="1"/>
                <w:color w:val="auto"/>
                <w:w w:val="97"/>
              </w:rPr>
              <w:t>INCOME BEFORE INCOME TAX EXPENSE</w:t>
            </w: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68"/>
        </w:trPr>
        <w:tc>
          <w:tcPr>
            <w:tcW w:w="2400" w:type="dxa"/>
            <w:vAlign w:val="bottom"/>
            <w:gridSpan w:val="8"/>
          </w:tcPr>
          <w:p>
            <w:pPr>
              <w:spacing w:after="0"/>
              <w:rPr>
                <w:sz w:val="20"/>
                <w:szCs w:val="20"/>
                <w:color w:val="auto"/>
              </w:rPr>
            </w:pPr>
            <w:r>
              <w:rPr>
                <w:rFonts w:ascii="Arial" w:cs="Arial" w:eastAsia="Arial" w:hAnsi="Arial"/>
                <w:sz w:val="11"/>
                <w:szCs w:val="11"/>
                <w:b w:val="1"/>
                <w:bCs w:val="1"/>
                <w:color w:val="auto"/>
              </w:rPr>
              <w:t>Income before income tax expense - reported</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11,326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16,733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17,586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15,967</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13,237</w:t>
            </w:r>
          </w:p>
        </w:tc>
        <w:tc>
          <w:tcPr>
            <w:tcW w:w="980" w:type="dxa"/>
            <w:vAlign w:val="bottom"/>
            <w:gridSpan w:val="2"/>
          </w:tcPr>
          <w:p>
            <w:pPr>
              <w:jc w:val="right"/>
              <w:ind w:right="86"/>
              <w:spacing w:after="0"/>
              <w:rPr>
                <w:sz w:val="20"/>
                <w:szCs w:val="20"/>
                <w:color w:val="auto"/>
              </w:rPr>
            </w:pPr>
            <w:r>
              <w:rPr>
                <w:rFonts w:ascii="Arial" w:cs="Arial" w:eastAsia="Arial" w:hAnsi="Arial"/>
                <w:sz w:val="11"/>
                <w:szCs w:val="11"/>
                <w:color w:val="auto"/>
              </w:rPr>
              <w:t>(32)</w:t>
            </w:r>
          </w:p>
        </w:tc>
        <w:tc>
          <w:tcPr>
            <w:tcW w:w="22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61,612</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46,166</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33</w:t>
            </w:r>
          </w:p>
        </w:tc>
      </w:tr>
      <w:tr>
        <w:trPr>
          <w:trHeight w:val="170"/>
        </w:trPr>
        <w:tc>
          <w:tcPr>
            <w:tcW w:w="2160" w:type="dxa"/>
            <w:vAlign w:val="bottom"/>
            <w:gridSpan w:val="7"/>
          </w:tcPr>
          <w:p>
            <w:pPr>
              <w:spacing w:after="0"/>
              <w:rPr>
                <w:sz w:val="20"/>
                <w:szCs w:val="20"/>
                <w:color w:val="auto"/>
              </w:rPr>
            </w:pPr>
            <w:r>
              <w:rPr>
                <w:rFonts w:ascii="Arial" w:cs="Arial" w:eastAsia="Arial" w:hAnsi="Arial"/>
                <w:sz w:val="11"/>
                <w:szCs w:val="11"/>
                <w:color w:val="auto"/>
              </w:rPr>
              <w:t>Fully taxable-equivalent adjustments</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1,369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1,094</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987</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1,019</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69</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34</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4,262</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3,582</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19</w:t>
            </w:r>
          </w:p>
        </w:tc>
      </w:tr>
      <w:tr>
        <w:trPr>
          <w:trHeight w:val="169"/>
        </w:trPr>
        <w:tc>
          <w:tcPr>
            <w:tcW w:w="2520" w:type="dxa"/>
            <w:vAlign w:val="bottom"/>
            <w:gridSpan w:val="9"/>
          </w:tcPr>
          <w:p>
            <w:pPr>
              <w:spacing w:after="0"/>
              <w:rPr>
                <w:sz w:val="20"/>
                <w:szCs w:val="20"/>
                <w:color w:val="auto"/>
              </w:rPr>
            </w:pPr>
            <w:r>
              <w:rPr>
                <w:rFonts w:ascii="Arial" w:cs="Arial" w:eastAsia="Arial" w:hAnsi="Arial"/>
                <w:sz w:val="11"/>
                <w:szCs w:val="11"/>
                <w:b w:val="1"/>
                <w:bCs w:val="1"/>
                <w:color w:val="auto"/>
                <w:w w:val="99"/>
              </w:rPr>
              <w:t>Income before income tax expense - managed $</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12,695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17,545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18,680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16,954</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14,256</w:t>
            </w:r>
          </w:p>
        </w:tc>
        <w:tc>
          <w:tcPr>
            <w:tcW w:w="980" w:type="dxa"/>
            <w:vAlign w:val="bottom"/>
            <w:gridSpan w:val="2"/>
          </w:tcPr>
          <w:p>
            <w:pPr>
              <w:jc w:val="right"/>
              <w:ind w:right="86"/>
              <w:spacing w:after="0"/>
              <w:rPr>
                <w:sz w:val="20"/>
                <w:szCs w:val="20"/>
                <w:color w:val="auto"/>
              </w:rPr>
            </w:pPr>
            <w:r>
              <w:rPr>
                <w:rFonts w:ascii="Arial" w:cs="Arial" w:eastAsia="Arial" w:hAnsi="Arial"/>
                <w:sz w:val="11"/>
                <w:szCs w:val="11"/>
                <w:color w:val="auto"/>
              </w:rPr>
              <w:t>(28)</w:t>
            </w:r>
          </w:p>
        </w:tc>
        <w:tc>
          <w:tcPr>
            <w:tcW w:w="22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65,874</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49,748</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32</w:t>
            </w:r>
          </w:p>
        </w:tc>
      </w:tr>
      <w:tr>
        <w:trPr>
          <w:trHeight w:val="270"/>
        </w:trPr>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6"/>
              </w:rPr>
              <w:t>INCOME TAX EXPENSE</w:t>
            </w:r>
          </w:p>
        </w:tc>
        <w:tc>
          <w:tcPr>
            <w:tcW w:w="1160" w:type="dxa"/>
            <w:vAlign w:val="bottom"/>
            <w:gridSpan w:val="4"/>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68"/>
        </w:trPr>
        <w:tc>
          <w:tcPr>
            <w:tcW w:w="2400" w:type="dxa"/>
            <w:vAlign w:val="bottom"/>
            <w:gridSpan w:val="8"/>
          </w:tcPr>
          <w:p>
            <w:pPr>
              <w:spacing w:after="0"/>
              <w:rPr>
                <w:sz w:val="20"/>
                <w:szCs w:val="20"/>
                <w:color w:val="auto"/>
              </w:rPr>
            </w:pPr>
            <w:r>
              <w:rPr>
                <w:rFonts w:ascii="Arial" w:cs="Arial" w:eastAsia="Arial" w:hAnsi="Arial"/>
                <w:sz w:val="11"/>
                <w:szCs w:val="11"/>
                <w:b w:val="1"/>
                <w:bCs w:val="1"/>
                <w:color w:val="auto"/>
              </w:rPr>
              <w:t>Income tax expense - reported</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2,019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3,582</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3,114</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3,345</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2,229</w:t>
            </w:r>
          </w:p>
        </w:tc>
        <w:tc>
          <w:tcPr>
            <w:tcW w:w="980" w:type="dxa"/>
            <w:vAlign w:val="bottom"/>
            <w:gridSpan w:val="2"/>
          </w:tcPr>
          <w:p>
            <w:pPr>
              <w:jc w:val="right"/>
              <w:ind w:right="86"/>
              <w:spacing w:after="0"/>
              <w:rPr>
                <w:sz w:val="20"/>
                <w:szCs w:val="20"/>
                <w:color w:val="auto"/>
              </w:rPr>
            </w:pPr>
            <w:r>
              <w:rPr>
                <w:rFonts w:ascii="Arial" w:cs="Arial" w:eastAsia="Arial" w:hAnsi="Arial"/>
                <w:sz w:val="11"/>
                <w:szCs w:val="11"/>
                <w:color w:val="auto"/>
              </w:rPr>
              <w:t>(44)</w:t>
            </w:r>
          </w:p>
        </w:tc>
        <w:tc>
          <w:tcPr>
            <w:tcW w:w="22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12,060</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8,490</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42</w:t>
            </w:r>
          </w:p>
        </w:tc>
      </w:tr>
      <w:tr>
        <w:trPr>
          <w:trHeight w:val="170"/>
        </w:trPr>
        <w:tc>
          <w:tcPr>
            <w:tcW w:w="2400" w:type="dxa"/>
            <w:vAlign w:val="bottom"/>
            <w:gridSpan w:val="8"/>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1,369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1,094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987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1,019</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69</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34</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4,262</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3,582</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19</w:t>
            </w:r>
          </w:p>
        </w:tc>
      </w:tr>
      <w:tr>
        <w:trPr>
          <w:trHeight w:val="169"/>
        </w:trPr>
        <w:tc>
          <w:tcPr>
            <w:tcW w:w="2400" w:type="dxa"/>
            <w:vAlign w:val="bottom"/>
            <w:gridSpan w:val="8"/>
          </w:tcPr>
          <w:p>
            <w:pPr>
              <w:spacing w:after="0"/>
              <w:rPr>
                <w:sz w:val="20"/>
                <w:szCs w:val="20"/>
                <w:color w:val="auto"/>
              </w:rPr>
            </w:pPr>
            <w:r>
              <w:rPr>
                <w:rFonts w:ascii="Arial" w:cs="Arial" w:eastAsia="Arial" w:hAnsi="Arial"/>
                <w:sz w:val="11"/>
                <w:szCs w:val="11"/>
                <w:b w:val="1"/>
                <w:bCs w:val="1"/>
                <w:color w:val="auto"/>
              </w:rPr>
              <w:t>Income tax expense - managed</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3,388</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4,394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4,208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4,332</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3,248</w:t>
            </w:r>
          </w:p>
        </w:tc>
        <w:tc>
          <w:tcPr>
            <w:tcW w:w="980" w:type="dxa"/>
            <w:vAlign w:val="bottom"/>
            <w:gridSpan w:val="2"/>
          </w:tcPr>
          <w:p>
            <w:pPr>
              <w:jc w:val="right"/>
              <w:ind w:right="86"/>
              <w:spacing w:after="0"/>
              <w:rPr>
                <w:sz w:val="20"/>
                <w:szCs w:val="20"/>
                <w:color w:val="auto"/>
              </w:rPr>
            </w:pPr>
            <w:r>
              <w:rPr>
                <w:rFonts w:ascii="Arial" w:cs="Arial" w:eastAsia="Arial" w:hAnsi="Arial"/>
                <w:sz w:val="11"/>
                <w:szCs w:val="11"/>
                <w:color w:val="auto"/>
              </w:rPr>
              <w:t>(23)</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16,322</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12,072</w:t>
            </w:r>
          </w:p>
        </w:tc>
        <w:tc>
          <w:tcPr>
            <w:tcW w:w="1020" w:type="dxa"/>
            <w:vAlign w:val="bottom"/>
            <w:gridSpan w:val="2"/>
          </w:tcPr>
          <w:p>
            <w:pPr>
              <w:jc w:val="right"/>
              <w:ind w:right="106"/>
              <w:spacing w:after="0"/>
              <w:rPr>
                <w:sz w:val="20"/>
                <w:szCs w:val="20"/>
                <w:color w:val="auto"/>
              </w:rPr>
            </w:pPr>
            <w:r>
              <w:rPr>
                <w:rFonts w:ascii="Arial" w:cs="Arial" w:eastAsia="Arial" w:hAnsi="Arial"/>
                <w:sz w:val="11"/>
                <w:szCs w:val="11"/>
                <w:color w:val="auto"/>
              </w:rPr>
              <w:t>35</w:t>
            </w:r>
          </w:p>
        </w:tc>
      </w:tr>
      <w:tr>
        <w:trPr>
          <w:trHeight w:val="270"/>
        </w:trPr>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6"/>
              </w:rPr>
              <w:t>OVERHEAD RATIO</w:t>
            </w:r>
          </w:p>
        </w:tc>
        <w:tc>
          <w:tcPr>
            <w:tcW w:w="1420" w:type="dxa"/>
            <w:vAlign w:val="bottom"/>
            <w:gridSpan w:val="6"/>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69"/>
        </w:trPr>
        <w:tc>
          <w:tcPr>
            <w:tcW w:w="2400" w:type="dxa"/>
            <w:vAlign w:val="bottom"/>
            <w:gridSpan w:val="8"/>
          </w:tcPr>
          <w:p>
            <w:pPr>
              <w:spacing w:after="0"/>
              <w:rPr>
                <w:sz w:val="20"/>
                <w:szCs w:val="20"/>
                <w:color w:val="auto"/>
              </w:rPr>
            </w:pPr>
            <w:r>
              <w:rPr>
                <w:rFonts w:ascii="Arial" w:cs="Arial" w:eastAsia="Arial" w:hAnsi="Arial"/>
                <w:sz w:val="11"/>
                <w:szCs w:val="11"/>
                <w:b w:val="1"/>
                <w:bCs w:val="1"/>
                <w:color w:val="auto"/>
              </w:rPr>
              <w:t>Overhead ratio - reported</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63</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55</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50</w:t>
            </w: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52</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w w:val="81"/>
              </w:rPr>
              <w:t>%</w:t>
            </w: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55</w:t>
            </w:r>
          </w:p>
        </w:tc>
        <w:tc>
          <w:tcPr>
            <w:tcW w:w="40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55</w:t>
            </w: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59</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4"/>
                <w:szCs w:val="14"/>
                <w:color w:val="auto"/>
              </w:rPr>
            </w:pPr>
          </w:p>
        </w:tc>
      </w:tr>
      <w:tr>
        <w:trPr>
          <w:trHeight w:val="162"/>
        </w:trPr>
        <w:tc>
          <w:tcPr>
            <w:tcW w:w="2400" w:type="dxa"/>
            <w:vAlign w:val="bottom"/>
            <w:gridSpan w:val="8"/>
          </w:tcPr>
          <w:p>
            <w:pPr>
              <w:spacing w:after="0"/>
              <w:rPr>
                <w:sz w:val="20"/>
                <w:szCs w:val="20"/>
                <w:color w:val="auto"/>
              </w:rPr>
            </w:pPr>
            <w:r>
              <w:rPr>
                <w:rFonts w:ascii="Arial" w:cs="Arial" w:eastAsia="Arial" w:hAnsi="Arial"/>
                <w:sz w:val="11"/>
                <w:szCs w:val="11"/>
                <w:b w:val="1"/>
                <w:bCs w:val="1"/>
                <w:color w:val="auto"/>
              </w:rPr>
              <w:t>Overhead ratio - managed</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61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53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53</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54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58</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5259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auto"/>
        </w:rPr>
        <w:t>(a) Predominantly recognized in CIB, CB and Corporate.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7</w:t>
      </w:r>
    </w:p>
    <w:p>
      <w:pPr>
        <w:sectPr>
          <w:pgSz w:w="11900" w:h="16838" w:orient="portrait"/>
          <w:cols w:equalWidth="0" w:num="1">
            <w:col w:w="11240"/>
          </w:cols>
          <w:pgMar w:left="320" w:top="936"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13970</wp:posOffset>
            </wp:positionV>
            <wp:extent cx="237426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SEGMENT RESULTS -</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MANAGED BASIS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6"/>
          </w:tcPr>
          <w:p>
            <w:pPr>
              <w:jc w:val="center"/>
              <w:ind w:left="266"/>
              <w:spacing w:after="0"/>
              <w:rPr>
                <w:sz w:val="20"/>
                <w:szCs w:val="20"/>
                <w:color w:val="auto"/>
              </w:rPr>
            </w:pPr>
            <w:r>
              <w:rPr>
                <w:rFonts w:ascii="Arial" w:cs="Arial" w:eastAsia="Arial" w:hAnsi="Arial"/>
                <w:sz w:val="11"/>
                <w:szCs w:val="11"/>
                <w:b w:val="1"/>
                <w:bCs w:val="1"/>
                <w:color w:val="auto"/>
                <w:w w:val="97"/>
              </w:rPr>
              <w:t>QUARTERLY TRENDS</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FULL YEAR</w:t>
            </w:r>
          </w:p>
        </w:tc>
        <w:tc>
          <w:tcPr>
            <w:tcW w:w="740" w:type="dxa"/>
            <w:vAlign w:val="bottom"/>
            <w:tcBorders>
              <w:bottom w:val="single" w:sz="8" w:color="auto"/>
            </w:tcBorders>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1"/>
                <w:szCs w:val="11"/>
                <w:b w:val="1"/>
                <w:bCs w:val="1"/>
                <w:color w:val="auto"/>
              </w:rPr>
              <w:t>4Q23 Change</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 Change</w:t>
            </w:r>
          </w:p>
        </w:tc>
      </w:tr>
      <w:tr>
        <w:trPr>
          <w:trHeight w:val="155"/>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4Q23</w:t>
            </w: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3Q23</w:t>
            </w: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2Q23</w:t>
            </w:r>
          </w:p>
        </w:tc>
        <w:tc>
          <w:tcPr>
            <w:tcW w:w="120" w:type="dxa"/>
            <w:vAlign w:val="bottom"/>
          </w:tcPr>
          <w:p>
            <w:pPr>
              <w:spacing w:after="0"/>
              <w:rPr>
                <w:sz w:val="13"/>
                <w:szCs w:val="13"/>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6"/>
              </w:rPr>
              <w:t>1Q23</w:t>
            </w: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4Q22</w:t>
            </w:r>
          </w:p>
        </w:tc>
        <w:tc>
          <w:tcPr>
            <w:tcW w:w="24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3Q23</w:t>
            </w:r>
          </w:p>
        </w:tc>
        <w:tc>
          <w:tcPr>
            <w:tcW w:w="100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4Q22</w:t>
            </w:r>
          </w:p>
        </w:tc>
        <w:tc>
          <w:tcPr>
            <w:tcW w:w="12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4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3"/>
                <w:szCs w:val="13"/>
                <w:color w:val="auto"/>
              </w:rPr>
            </w:pPr>
          </w:p>
        </w:tc>
        <w:tc>
          <w:tcPr>
            <w:tcW w:w="740" w:type="dxa"/>
            <w:vAlign w:val="bottom"/>
          </w:tcPr>
          <w:p>
            <w:pPr>
              <w:jc w:val="right"/>
              <w:ind w:right="206"/>
              <w:spacing w:after="0"/>
              <w:rPr>
                <w:sz w:val="20"/>
                <w:szCs w:val="20"/>
                <w:color w:val="auto"/>
              </w:rPr>
            </w:pPr>
            <w:r>
              <w:rPr>
                <w:rFonts w:ascii="Arial" w:cs="Arial" w:eastAsia="Arial" w:hAnsi="Arial"/>
                <w:sz w:val="11"/>
                <w:szCs w:val="11"/>
                <w:b w:val="1"/>
                <w:bCs w:val="1"/>
                <w:color w:val="auto"/>
              </w:rPr>
              <w:t>2022</w:t>
            </w:r>
          </w:p>
        </w:tc>
      </w:tr>
      <w:tr>
        <w:trPr>
          <w:trHeight w:val="108"/>
        </w:trPr>
        <w:tc>
          <w:tcPr>
            <w:tcW w:w="2300" w:type="dxa"/>
            <w:vAlign w:val="bottom"/>
            <w:gridSpan w:val="7"/>
          </w:tcPr>
          <w:p>
            <w:pPr>
              <w:spacing w:after="0" w:line="108" w:lineRule="exact"/>
              <w:rPr>
                <w:sz w:val="20"/>
                <w:szCs w:val="20"/>
                <w:color w:val="auto"/>
              </w:rPr>
            </w:pPr>
            <w:r>
              <w:rPr>
                <w:rFonts w:ascii="Arial" w:cs="Arial" w:eastAsia="Arial" w:hAnsi="Arial"/>
                <w:sz w:val="11"/>
                <w:szCs w:val="11"/>
                <w:b w:val="1"/>
                <w:bCs w:val="1"/>
                <w:color w:val="auto"/>
              </w:rPr>
              <w:t>TOTAL NET REVENUE (fully taxable-</w:t>
            </w: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r>
      <w:tr>
        <w:trPr>
          <w:trHeight w:val="88"/>
        </w:trPr>
        <w:tc>
          <w:tcPr>
            <w:tcW w:w="100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equivalent (“FTE”))</w:t>
            </w:r>
          </w:p>
        </w:tc>
        <w:tc>
          <w:tcPr>
            <w:tcW w:w="880" w:type="dxa"/>
            <w:vAlign w:val="bottom"/>
            <w:tcBorders>
              <w:top w:val="single" w:sz="8" w:color="auto"/>
            </w:tcBorders>
            <w:gridSpan w:val="5"/>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163"/>
        </w:trPr>
        <w:tc>
          <w:tcPr>
            <w:tcW w:w="2300" w:type="dxa"/>
            <w:vAlign w:val="bottom"/>
            <w:gridSpan w:val="7"/>
          </w:tcPr>
          <w:p>
            <w:pPr>
              <w:spacing w:after="0"/>
              <w:rPr>
                <w:sz w:val="20"/>
                <w:szCs w:val="20"/>
                <w:color w:val="auto"/>
              </w:rPr>
            </w:pPr>
            <w:r>
              <w:rPr>
                <w:rFonts w:ascii="Arial" w:cs="Arial" w:eastAsia="Arial" w:hAnsi="Arial"/>
                <w:sz w:val="11"/>
                <w:szCs w:val="11"/>
                <w:color w:val="auto"/>
              </w:rPr>
              <w:t>Consumer &amp; Community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18,097</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18,362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17,233</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16,456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15,793</w:t>
            </w:r>
          </w:p>
        </w:tc>
        <w:tc>
          <w:tcPr>
            <w:tcW w:w="240" w:type="dxa"/>
            <w:vAlign w:val="bottom"/>
          </w:tcPr>
          <w:p>
            <w:pPr>
              <w:spacing w:after="0"/>
              <w:rPr>
                <w:sz w:val="20"/>
                <w:szCs w:val="20"/>
                <w:color w:val="auto"/>
              </w:rPr>
            </w:pPr>
            <w:r>
              <w:rPr>
                <w:rFonts w:ascii="Arial" w:cs="Arial" w:eastAsia="Arial" w:hAnsi="Arial"/>
                <w:sz w:val="11"/>
                <w:szCs w:val="11"/>
                <w:color w:val="auto"/>
              </w:rPr>
              <w:t>(a)</w:t>
            </w: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15 %</w:t>
            </w:r>
          </w:p>
        </w:tc>
        <w:tc>
          <w:tcPr>
            <w:tcW w:w="4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70,148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54,814</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740" w:type="dxa"/>
            <w:vAlign w:val="bottom"/>
          </w:tcPr>
          <w:p>
            <w:pPr>
              <w:jc w:val="right"/>
              <w:spacing w:after="0"/>
              <w:rPr>
                <w:sz w:val="20"/>
                <w:szCs w:val="20"/>
                <w:color w:val="auto"/>
              </w:rPr>
            </w:pPr>
            <w:r>
              <w:rPr>
                <w:rFonts w:ascii="Arial" w:cs="Arial" w:eastAsia="Arial" w:hAnsi="Arial"/>
                <w:sz w:val="11"/>
                <w:szCs w:val="11"/>
                <w:color w:val="auto"/>
              </w:rPr>
              <w:t>28 %</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Corporate &amp; Investment Bank</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10,958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11,730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12,519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13,600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10,598</w:t>
            </w:r>
          </w:p>
        </w:tc>
        <w:tc>
          <w:tcPr>
            <w:tcW w:w="240" w:type="dxa"/>
            <w:vAlign w:val="bottom"/>
          </w:tcPr>
          <w:p>
            <w:pPr>
              <w:spacing w:after="0"/>
              <w:rPr>
                <w:sz w:val="20"/>
                <w:szCs w:val="20"/>
                <w:color w:val="auto"/>
              </w:rPr>
            </w:pPr>
            <w:r>
              <w:rPr>
                <w:rFonts w:ascii="Arial" w:cs="Arial" w:eastAsia="Arial" w:hAnsi="Arial"/>
                <w:sz w:val="11"/>
                <w:szCs w:val="11"/>
                <w:color w:val="auto"/>
              </w:rPr>
              <w:t>(a)</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48,807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48,102</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Commercial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4,016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4,031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3,988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3,511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3,404</w:t>
            </w:r>
          </w:p>
        </w:tc>
        <w:tc>
          <w:tcPr>
            <w:tcW w:w="24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15,546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11,533</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35</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5,095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5,005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4,943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4,784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4,588</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19,827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17,748</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12</w:t>
            </w:r>
          </w:p>
        </w:tc>
      </w:tr>
      <w:tr>
        <w:trPr>
          <w:trHeight w:val="175"/>
        </w:trPr>
        <w:tc>
          <w:tcPr>
            <w:tcW w:w="230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1,777</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1,558</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3,718</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985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1,183</w:t>
            </w:r>
          </w:p>
        </w:tc>
        <w:tc>
          <w:tcPr>
            <w:tcW w:w="240" w:type="dxa"/>
            <w:vAlign w:val="bottom"/>
          </w:tcPr>
          <w:p>
            <w:pPr>
              <w:spacing w:after="0"/>
              <w:rPr>
                <w:sz w:val="15"/>
                <w:szCs w:val="15"/>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15"/>
                <w:szCs w:val="15"/>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50</w:t>
            </w: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8,038</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80</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69"/>
        </w:trPr>
        <w:tc>
          <w:tcPr>
            <w:tcW w:w="2300" w:type="dxa"/>
            <w:vAlign w:val="bottom"/>
            <w:gridSpan w:val="7"/>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39,943</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40,686</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42,401</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39,336</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35,566</w:t>
            </w:r>
          </w:p>
        </w:tc>
        <w:tc>
          <w:tcPr>
            <w:tcW w:w="2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4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162,366</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132,277</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23</w:t>
            </w:r>
          </w:p>
        </w:tc>
      </w:tr>
      <w:tr>
        <w:trPr>
          <w:trHeight w:val="270"/>
        </w:trPr>
        <w:tc>
          <w:tcPr>
            <w:tcW w:w="2300" w:type="dxa"/>
            <w:vAlign w:val="bottom"/>
            <w:gridSpan w:val="7"/>
          </w:tcPr>
          <w:p>
            <w:pPr>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3"/>
        </w:trPr>
        <w:tc>
          <w:tcPr>
            <w:tcW w:w="170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Consumer &amp; Community Banking</w:t>
            </w:r>
          </w:p>
        </w:tc>
        <w:tc>
          <w:tcPr>
            <w:tcW w:w="600" w:type="dxa"/>
            <w:vAlign w:val="bottom"/>
            <w:gridSpan w:val="3"/>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9,336</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9,105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8,313</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8,065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7,912</w:t>
            </w:r>
          </w:p>
        </w:tc>
        <w:tc>
          <w:tcPr>
            <w:tcW w:w="240" w:type="dxa"/>
            <w:vAlign w:val="bottom"/>
          </w:tcPr>
          <w:p>
            <w:pPr>
              <w:spacing w:after="0"/>
              <w:rPr>
                <w:sz w:val="20"/>
                <w:szCs w:val="20"/>
                <w:color w:val="auto"/>
              </w:rPr>
            </w:pPr>
            <w:r>
              <w:rPr>
                <w:rFonts w:ascii="Arial" w:cs="Arial" w:eastAsia="Arial" w:hAnsi="Arial"/>
                <w:sz w:val="11"/>
                <w:szCs w:val="11"/>
                <w:color w:val="auto"/>
              </w:rPr>
              <w:t>(a)</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4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34,819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31,208</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12</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Corporate &amp; Investment Bank</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6,774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7,443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6,894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7,483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6,495</w:t>
            </w:r>
          </w:p>
        </w:tc>
        <w:tc>
          <w:tcPr>
            <w:tcW w:w="240" w:type="dxa"/>
            <w:vAlign w:val="bottom"/>
          </w:tcPr>
          <w:p>
            <w:pPr>
              <w:spacing w:after="0"/>
              <w:rPr>
                <w:sz w:val="20"/>
                <w:szCs w:val="20"/>
                <w:color w:val="auto"/>
              </w:rPr>
            </w:pPr>
            <w:r>
              <w:rPr>
                <w:rFonts w:ascii="Arial" w:cs="Arial" w:eastAsia="Arial" w:hAnsi="Arial"/>
                <w:sz w:val="11"/>
                <w:szCs w:val="11"/>
                <w:color w:val="auto"/>
              </w:rPr>
              <w:t>(a)</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28,594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27,350</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5</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Commercial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1,395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1,375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1,308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1,254</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5,378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4,719</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14</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3,388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3,138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3,163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3,091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3,022</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12,780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11,829</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8</w:t>
            </w:r>
          </w:p>
        </w:tc>
      </w:tr>
      <w:tr>
        <w:trPr>
          <w:trHeight w:val="176"/>
        </w:trPr>
        <w:tc>
          <w:tcPr>
            <w:tcW w:w="230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3,593</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696</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1,152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339</w:t>
            </w:r>
          </w:p>
        </w:tc>
        <w:tc>
          <w:tcPr>
            <w:tcW w:w="240" w:type="dxa"/>
            <w:vAlign w:val="bottom"/>
          </w:tcPr>
          <w:p>
            <w:pPr>
              <w:spacing w:after="0"/>
              <w:rPr>
                <w:sz w:val="15"/>
                <w:szCs w:val="15"/>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416</w:t>
            </w:r>
          </w:p>
        </w:tc>
        <w:tc>
          <w:tcPr>
            <w:tcW w:w="220" w:type="dxa"/>
            <w:vAlign w:val="bottom"/>
          </w:tcPr>
          <w:p>
            <w:pPr>
              <w:spacing w:after="0"/>
              <w:rPr>
                <w:sz w:val="15"/>
                <w:szCs w:val="15"/>
                <w:color w:val="auto"/>
              </w:rPr>
            </w:pPr>
          </w:p>
        </w:tc>
        <w:tc>
          <w:tcPr>
            <w:tcW w:w="100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5,601</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1,034</w:t>
            </w:r>
          </w:p>
        </w:tc>
        <w:tc>
          <w:tcPr>
            <w:tcW w:w="2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442</w:t>
            </w:r>
          </w:p>
        </w:tc>
      </w:tr>
      <w:tr>
        <w:trPr>
          <w:trHeight w:val="169"/>
        </w:trPr>
        <w:tc>
          <w:tcPr>
            <w:tcW w:w="2300" w:type="dxa"/>
            <w:vAlign w:val="bottom"/>
            <w:gridSpan w:val="7"/>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24,486</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21,757</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20,822</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20,107</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19,022</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w:t>
            </w:r>
          </w:p>
        </w:tc>
        <w:tc>
          <w:tcPr>
            <w:tcW w:w="4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87,172</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76,140</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14</w:t>
            </w:r>
          </w:p>
        </w:tc>
      </w:tr>
      <w:tr>
        <w:trPr>
          <w:trHeight w:val="270"/>
        </w:trPr>
        <w:tc>
          <w:tcPr>
            <w:tcW w:w="2300" w:type="dxa"/>
            <w:vAlign w:val="bottom"/>
            <w:gridSpan w:val="7"/>
          </w:tcPr>
          <w:p>
            <w:pPr>
              <w:spacing w:after="0"/>
              <w:rPr>
                <w:sz w:val="20"/>
                <w:szCs w:val="20"/>
                <w:color w:val="auto"/>
              </w:rPr>
            </w:pPr>
            <w:r>
              <w:rPr>
                <w:rFonts w:ascii="Arial" w:cs="Arial" w:eastAsia="Arial" w:hAnsi="Arial"/>
                <w:sz w:val="11"/>
                <w:szCs w:val="11"/>
                <w:b w:val="1"/>
                <w:bCs w:val="1"/>
                <w:color w:val="auto"/>
              </w:rPr>
              <w:t>PRE-PROVISION PROFIT/(LOSS)</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3"/>
        </w:trPr>
        <w:tc>
          <w:tcPr>
            <w:tcW w:w="168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Consumer &amp; Community Banking</w:t>
            </w:r>
          </w:p>
        </w:tc>
        <w:tc>
          <w:tcPr>
            <w:tcW w:w="620" w:type="dxa"/>
            <w:vAlign w:val="bottom"/>
            <w:gridSpan w:val="4"/>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8,761</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9,257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8,920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8,391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7,881</w:t>
            </w:r>
          </w:p>
        </w:tc>
        <w:tc>
          <w:tcPr>
            <w:tcW w:w="2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4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35,329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23,606</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50</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Corporate &amp; Investment Bank</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4,184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4,287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5,625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6,117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4,103</w:t>
            </w:r>
          </w:p>
        </w:tc>
        <w:tc>
          <w:tcPr>
            <w:tcW w:w="2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20,213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20,752</w:t>
            </w:r>
          </w:p>
        </w:tc>
        <w:tc>
          <w:tcPr>
            <w:tcW w:w="24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Commercial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2,656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2,688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2,203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2,150</w:t>
            </w:r>
          </w:p>
        </w:tc>
        <w:tc>
          <w:tcPr>
            <w:tcW w:w="2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22</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10,168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6,814</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49</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1,707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1,867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1,780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1,693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1,566</w:t>
            </w:r>
          </w:p>
        </w:tc>
        <w:tc>
          <w:tcPr>
            <w:tcW w:w="2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7,047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5,919</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19</w:t>
            </w:r>
          </w:p>
        </w:tc>
      </w:tr>
      <w:tr>
        <w:trPr>
          <w:trHeight w:val="175"/>
        </w:trPr>
        <w:tc>
          <w:tcPr>
            <w:tcW w:w="230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(1,816)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862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2,566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825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844</w:t>
            </w:r>
          </w:p>
        </w:tc>
        <w:tc>
          <w:tcPr>
            <w:tcW w:w="240" w:type="dxa"/>
            <w:vAlign w:val="bottom"/>
          </w:tcPr>
          <w:p>
            <w:pPr>
              <w:spacing w:after="0"/>
              <w:rPr>
                <w:sz w:val="15"/>
                <w:szCs w:val="15"/>
                <w:color w:val="auto"/>
              </w:rPr>
            </w:pP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00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2,437</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(954)</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69"/>
        </w:trPr>
        <w:tc>
          <w:tcPr>
            <w:tcW w:w="2300" w:type="dxa"/>
            <w:vAlign w:val="bottom"/>
            <w:gridSpan w:val="7"/>
          </w:tcPr>
          <w:p>
            <w:pPr>
              <w:ind w:left="120"/>
              <w:spacing w:after="0"/>
              <w:rPr>
                <w:sz w:val="20"/>
                <w:szCs w:val="20"/>
                <w:color w:val="auto"/>
              </w:rPr>
            </w:pPr>
            <w:r>
              <w:rPr>
                <w:rFonts w:ascii="Arial" w:cs="Arial" w:eastAsia="Arial" w:hAnsi="Arial"/>
                <w:sz w:val="11"/>
                <w:szCs w:val="11"/>
                <w:b w:val="1"/>
                <w:bCs w:val="1"/>
                <w:color w:val="auto"/>
              </w:rPr>
              <w:t>PRE-PROVISION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15,457</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18,929</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21,579</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19,229</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16,544</w:t>
            </w:r>
          </w:p>
        </w:tc>
        <w:tc>
          <w:tcPr>
            <w:tcW w:w="2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22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4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75,194</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56,137</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34</w:t>
            </w:r>
          </w:p>
        </w:tc>
      </w:tr>
      <w:tr>
        <w:trPr>
          <w:trHeight w:val="270"/>
        </w:trPr>
        <w:tc>
          <w:tcPr>
            <w:tcW w:w="2300" w:type="dxa"/>
            <w:vAlign w:val="bottom"/>
            <w:gridSpan w:val="7"/>
          </w:tcPr>
          <w:p>
            <w:pPr>
              <w:spacing w:after="0"/>
              <w:rPr>
                <w:sz w:val="20"/>
                <w:szCs w:val="20"/>
                <w:color w:val="auto"/>
              </w:rPr>
            </w:pPr>
            <w:r>
              <w:rPr>
                <w:rFonts w:ascii="Arial" w:cs="Arial" w:eastAsia="Arial" w:hAnsi="Arial"/>
                <w:sz w:val="11"/>
                <w:szCs w:val="11"/>
                <w:b w:val="1"/>
                <w:bCs w:val="1"/>
                <w:color w:val="auto"/>
              </w:rPr>
              <w:t>PROVISION FOR CREDIT LOSSES</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3"/>
        </w:trPr>
        <w:tc>
          <w:tcPr>
            <w:tcW w:w="1760" w:type="dxa"/>
            <w:vAlign w:val="bottom"/>
            <w:tcBorders>
              <w:top w:val="single" w:sz="8" w:color="auto"/>
            </w:tcBorders>
            <w:gridSpan w:val="5"/>
          </w:tcPr>
          <w:p>
            <w:pPr>
              <w:spacing w:after="0"/>
              <w:rPr>
                <w:sz w:val="20"/>
                <w:szCs w:val="20"/>
                <w:color w:val="auto"/>
              </w:rPr>
            </w:pPr>
            <w:r>
              <w:rPr>
                <w:rFonts w:ascii="Arial" w:cs="Arial" w:eastAsia="Arial" w:hAnsi="Arial"/>
                <w:sz w:val="11"/>
                <w:szCs w:val="11"/>
                <w:color w:val="auto"/>
              </w:rPr>
              <w:t>Consumer &amp; Community Banking</w:t>
            </w:r>
          </w:p>
        </w:tc>
        <w:tc>
          <w:tcPr>
            <w:tcW w:w="540" w:type="dxa"/>
            <w:vAlign w:val="bottom"/>
            <w:gridSpan w:val="2"/>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2,189</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1,446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1,862</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1,402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1,845</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51</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4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6,899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3,813</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81</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Corporate &amp; Investment Bank</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141</w:t>
            </w:r>
          </w:p>
        </w:tc>
        <w:tc>
          <w:tcPr>
            <w:tcW w:w="24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49</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1,158</w:t>
            </w:r>
          </w:p>
        </w:tc>
        <w:tc>
          <w:tcPr>
            <w:tcW w:w="24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(90)</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Commercial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366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1,097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284</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307</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1,970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1,268</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55</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92</w:t>
            </w:r>
          </w:p>
        </w:tc>
        <w:tc>
          <w:tcPr>
            <w:tcW w:w="220" w:type="dxa"/>
            <w:vAlign w:val="bottom"/>
          </w:tcPr>
          <w:p>
            <w:pPr>
              <w:spacing w:after="0"/>
              <w:rPr>
                <w:sz w:val="14"/>
                <w:szCs w:val="14"/>
                <w:color w:val="auto"/>
              </w:rPr>
            </w:pPr>
          </w:p>
        </w:tc>
        <w:tc>
          <w:tcPr>
            <w:tcW w:w="100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159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128</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24</w:t>
            </w:r>
          </w:p>
        </w:tc>
      </w:tr>
      <w:tr>
        <w:trPr>
          <w:trHeight w:val="175"/>
        </w:trPr>
        <w:tc>
          <w:tcPr>
            <w:tcW w:w="230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46</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(243)</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370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240" w:type="dxa"/>
            <w:vAlign w:val="bottom"/>
          </w:tcPr>
          <w:p>
            <w:pPr>
              <w:spacing w:after="0"/>
              <w:rPr>
                <w:sz w:val="15"/>
                <w:szCs w:val="15"/>
                <w:color w:val="auto"/>
              </w:rPr>
            </w:pP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86</w:t>
            </w: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171</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69"/>
        </w:trPr>
        <w:tc>
          <w:tcPr>
            <w:tcW w:w="2300" w:type="dxa"/>
            <w:vAlign w:val="bottom"/>
            <w:gridSpan w:val="7"/>
          </w:tcPr>
          <w:p>
            <w:pPr>
              <w:ind w:left="120"/>
              <w:spacing w:after="0"/>
              <w:rPr>
                <w:sz w:val="20"/>
                <w:szCs w:val="20"/>
                <w:color w:val="auto"/>
              </w:rPr>
            </w:pPr>
            <w:r>
              <w:rPr>
                <w:rFonts w:ascii="Arial" w:cs="Arial" w:eastAsia="Arial" w:hAnsi="Arial"/>
                <w:sz w:val="11"/>
                <w:szCs w:val="11"/>
                <w:b w:val="1"/>
                <w:bCs w:val="1"/>
                <w:color w:val="auto"/>
              </w:rPr>
              <w:t>PROVISION FOR CREDIT LOSSES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2,762</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1,384</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2,899</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2,275</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2,288</w:t>
            </w:r>
          </w:p>
        </w:tc>
        <w:tc>
          <w:tcPr>
            <w:tcW w:w="24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100</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4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9,320</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6,389</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46</w:t>
            </w:r>
          </w:p>
        </w:tc>
      </w:tr>
      <w:tr>
        <w:trPr>
          <w:trHeight w:val="270"/>
        </w:trPr>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6"/>
              </w:rPr>
              <w:t>NET INCOME/(LOSS)</w:t>
            </w:r>
          </w:p>
        </w:tc>
        <w:tc>
          <w:tcPr>
            <w:tcW w:w="1220" w:type="dxa"/>
            <w:vAlign w:val="bottom"/>
            <w:gridSpan w:val="5"/>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3"/>
        </w:trPr>
        <w:tc>
          <w:tcPr>
            <w:tcW w:w="2300" w:type="dxa"/>
            <w:vAlign w:val="bottom"/>
            <w:gridSpan w:val="7"/>
          </w:tcPr>
          <w:p>
            <w:pPr>
              <w:spacing w:after="0"/>
              <w:rPr>
                <w:sz w:val="20"/>
                <w:szCs w:val="20"/>
                <w:color w:val="auto"/>
              </w:rPr>
            </w:pPr>
            <w:r>
              <w:rPr>
                <w:rFonts w:ascii="Arial" w:cs="Arial" w:eastAsia="Arial" w:hAnsi="Arial"/>
                <w:sz w:val="11"/>
                <w:szCs w:val="11"/>
                <w:color w:val="auto"/>
              </w:rPr>
              <w:t>Consumer &amp; Community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4,788</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5,895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5,306</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5,243</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4,556</w:t>
            </w:r>
          </w:p>
        </w:tc>
        <w:tc>
          <w:tcPr>
            <w:tcW w:w="2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4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21,232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14,916</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42</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Corporate &amp; Investment Bank</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2,524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3,092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4,092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4,421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3,314</w:t>
            </w:r>
          </w:p>
        </w:tc>
        <w:tc>
          <w:tcPr>
            <w:tcW w:w="2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22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14,129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14,925</w:t>
            </w:r>
          </w:p>
        </w:tc>
        <w:tc>
          <w:tcPr>
            <w:tcW w:w="24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(5)</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Commercial Banking</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1,653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1,935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1,208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1,347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1,423</w:t>
            </w:r>
          </w:p>
        </w:tc>
        <w:tc>
          <w:tcPr>
            <w:tcW w:w="2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6,143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4,213</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46</w:t>
            </w:r>
          </w:p>
        </w:tc>
      </w:tr>
      <w:tr>
        <w:trPr>
          <w:trHeight w:val="162"/>
        </w:trPr>
        <w:tc>
          <w:tcPr>
            <w:tcW w:w="230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1,217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1,226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1,367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1,134</w:t>
            </w:r>
          </w:p>
        </w:tc>
        <w:tc>
          <w:tcPr>
            <w:tcW w:w="2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5,227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4,365</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20</w:t>
            </w:r>
          </w:p>
        </w:tc>
      </w:tr>
      <w:tr>
        <w:trPr>
          <w:trHeight w:val="175"/>
        </w:trPr>
        <w:tc>
          <w:tcPr>
            <w:tcW w:w="230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(875)</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812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2,640</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581</w:t>
            </w:r>
          </w:p>
        </w:tc>
        <w:tc>
          <w:tcPr>
            <w:tcW w:w="240" w:type="dxa"/>
            <w:vAlign w:val="bottom"/>
          </w:tcPr>
          <w:p>
            <w:pPr>
              <w:spacing w:after="0"/>
              <w:rPr>
                <w:sz w:val="15"/>
                <w:szCs w:val="15"/>
                <w:color w:val="auto"/>
              </w:rPr>
            </w:pP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00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2,821</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(743)</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69"/>
        </w:trPr>
        <w:tc>
          <w:tcPr>
            <w:tcW w:w="2300" w:type="dxa"/>
            <w:vAlign w:val="bottom"/>
            <w:gridSpan w:val="7"/>
          </w:tcPr>
          <w:p>
            <w:pPr>
              <w:ind w:left="120"/>
              <w:spacing w:after="0"/>
              <w:rPr>
                <w:sz w:val="20"/>
                <w:szCs w:val="20"/>
                <w:color w:val="auto"/>
              </w:rPr>
            </w:pPr>
            <w:r>
              <w:rPr>
                <w:rFonts w:ascii="Arial" w:cs="Arial" w:eastAsia="Arial" w:hAnsi="Arial"/>
                <w:sz w:val="11"/>
                <w:szCs w:val="11"/>
                <w:b w:val="1"/>
                <w:bCs w:val="1"/>
                <w:color w:val="auto"/>
              </w:rPr>
              <w:t>TOTAL 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9,307</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13,151</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14,472</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12,622</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11,008</w:t>
            </w:r>
          </w:p>
        </w:tc>
        <w:tc>
          <w:tcPr>
            <w:tcW w:w="24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(29)</w:t>
            </w:r>
          </w:p>
        </w:tc>
        <w:tc>
          <w:tcPr>
            <w:tcW w:w="22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4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49,552</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37,676</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65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385" w:lineRule="exact"/>
        <w:rPr>
          <w:sz w:val="20"/>
          <w:szCs w:val="20"/>
          <w:color w:val="auto"/>
        </w:rPr>
      </w:pPr>
    </w:p>
    <w:p>
      <w:pPr>
        <w:ind w:left="180" w:right="160" w:hanging="172"/>
        <w:spacing w:after="0" w:line="259" w:lineRule="auto"/>
        <w:tabs>
          <w:tab w:leader="none" w:pos="180" w:val="left"/>
        </w:tabs>
        <w:numPr>
          <w:ilvl w:val="0"/>
          <w:numId w:val="14"/>
        </w:numPr>
        <w:rPr>
          <w:rFonts w:ascii="Arial" w:cs="Arial" w:eastAsia="Arial" w:hAnsi="Arial"/>
          <w:sz w:val="11"/>
          <w:szCs w:val="11"/>
          <w:color w:val="auto"/>
        </w:rPr>
      </w:pPr>
      <w:r>
        <w:rPr>
          <w:rFonts w:ascii="Arial" w:cs="Arial" w:eastAsia="Arial" w:hAnsi="Arial"/>
          <w:sz w:val="11"/>
          <w:szCs w:val="11"/>
          <w:color w:val="auto"/>
        </w:rPr>
        <w:t>In the first quarter of 2023, the allocations of revenue and expense to CCB associated with a Merchant Services revenue sharing agreement were discontinued and are now retained in Payments in CIB. Prior-period amounts have been revised to conform with the current presentation.</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8</w:t>
      </w:r>
    </w:p>
    <w:p>
      <w:pPr>
        <w:sectPr>
          <w:pgSz w:w="11900" w:h="16838" w:orient="portrait"/>
          <w:cols w:equalWidth="0" w:num="1">
            <w:col w:w="11240"/>
          </w:cols>
          <w:pgMar w:left="320" w:top="572"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13970</wp:posOffset>
            </wp:positionV>
            <wp:extent cx="237426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right="7640"/>
        <w:spacing w:after="0" w:line="256" w:lineRule="auto"/>
        <w:rPr>
          <w:sz w:val="20"/>
          <w:szCs w:val="20"/>
          <w:color w:val="auto"/>
        </w:rPr>
      </w:pPr>
      <w:r>
        <w:rPr>
          <w:rFonts w:ascii="Arial" w:cs="Arial" w:eastAsia="Arial" w:hAnsi="Arial"/>
          <w:sz w:val="14"/>
          <w:szCs w:val="14"/>
          <w:b w:val="1"/>
          <w:bCs w:val="1"/>
          <w:color w:val="auto"/>
        </w:rPr>
        <w:t>CAPITAL AND OTHER SELECTED BALANCE SHEET ITEMS</w:t>
      </w: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6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5"/>
          </w:tcPr>
          <w:p>
            <w:pPr>
              <w:ind w:left="220"/>
              <w:spacing w:after="0"/>
              <w:rPr>
                <w:sz w:val="20"/>
                <w:szCs w:val="20"/>
                <w:color w:val="auto"/>
              </w:rPr>
            </w:pPr>
            <w:r>
              <w:rPr>
                <w:rFonts w:ascii="Arial" w:cs="Arial" w:eastAsia="Arial" w:hAnsi="Arial"/>
                <w:sz w:val="11"/>
                <w:szCs w:val="11"/>
                <w:b w:val="1"/>
                <w:bCs w:val="1"/>
                <w:color w:val="auto"/>
              </w:rPr>
              <w:t>Dec 31, 2023</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gridSpan w:val="3"/>
          </w:tcPr>
          <w:p>
            <w:pPr>
              <w:ind w:left="340"/>
              <w:spacing w:after="0"/>
              <w:rPr>
                <w:sz w:val="20"/>
                <w:szCs w:val="20"/>
                <w:color w:val="auto"/>
              </w:rPr>
            </w:pPr>
            <w:r>
              <w:rPr>
                <w:rFonts w:ascii="Arial" w:cs="Arial" w:eastAsia="Arial" w:hAnsi="Arial"/>
                <w:sz w:val="11"/>
                <w:szCs w:val="11"/>
                <w:b w:val="1"/>
                <w:bCs w:val="1"/>
                <w:color w:val="auto"/>
                <w:w w:val="94"/>
              </w:rPr>
              <w:t>Change</w:t>
            </w:r>
          </w:p>
        </w:tc>
        <w:tc>
          <w:tcPr>
            <w:tcW w:w="3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FULL YEAR</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Dec 31,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Jun 30,</w:t>
            </w:r>
          </w:p>
        </w:tc>
        <w:tc>
          <w:tcPr>
            <w:tcW w:w="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 31,</w:t>
            </w:r>
          </w:p>
        </w:tc>
        <w:tc>
          <w:tcPr>
            <w:tcW w:w="100" w:type="dxa"/>
            <w:vAlign w:val="bottom"/>
          </w:tcPr>
          <w:p>
            <w:pPr>
              <w:spacing w:after="0"/>
              <w:rPr>
                <w:sz w:val="13"/>
                <w:szCs w:val="13"/>
                <w:color w:val="auto"/>
              </w:rPr>
            </w:pPr>
          </w:p>
        </w:tc>
        <w:tc>
          <w:tcPr>
            <w:tcW w:w="640" w:type="dxa"/>
            <w:vAlign w:val="bottom"/>
          </w:tcPr>
          <w:p>
            <w:pPr>
              <w:jc w:val="right"/>
              <w:ind w:right="126"/>
              <w:spacing w:after="0"/>
              <w:rPr>
                <w:sz w:val="20"/>
                <w:szCs w:val="20"/>
                <w:color w:val="auto"/>
              </w:rPr>
            </w:pPr>
            <w:r>
              <w:rPr>
                <w:rFonts w:ascii="Arial" w:cs="Arial" w:eastAsia="Arial" w:hAnsi="Arial"/>
                <w:sz w:val="11"/>
                <w:szCs w:val="11"/>
                <w:b w:val="1"/>
                <w:bCs w:val="1"/>
                <w:color w:val="auto"/>
              </w:rPr>
              <w:t>Dec 31,</w:t>
            </w:r>
          </w:p>
        </w:tc>
        <w:tc>
          <w:tcPr>
            <w:tcW w:w="180" w:type="dxa"/>
            <w:vAlign w:val="bottom"/>
          </w:tcPr>
          <w:p>
            <w:pPr>
              <w:spacing w:after="0"/>
              <w:rPr>
                <w:sz w:val="13"/>
                <w:szCs w:val="13"/>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Sep 30,</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Dec 31,</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2023 Change</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2023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620" w:type="dxa"/>
            <w:vAlign w:val="bottom"/>
            <w:gridSpan w:val="2"/>
          </w:tcPr>
          <w:p>
            <w:pPr>
              <w:jc w:val="right"/>
              <w:ind w:right="46"/>
              <w:spacing w:after="0"/>
              <w:rPr>
                <w:sz w:val="20"/>
                <w:szCs w:val="20"/>
                <w:color w:val="auto"/>
              </w:rPr>
            </w:pPr>
            <w:r>
              <w:rPr>
                <w:rFonts w:ascii="Arial" w:cs="Arial" w:eastAsia="Arial" w:hAnsi="Arial"/>
                <w:sz w:val="11"/>
                <w:szCs w:val="11"/>
                <w:b w:val="1"/>
                <w:bCs w:val="1"/>
                <w:color w:val="auto"/>
              </w:rPr>
              <w:t>2023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b w:val="1"/>
                <w:bCs w:val="1"/>
                <w:color w:val="auto"/>
                <w:w w:val="89"/>
              </w:rPr>
              <w:t>2022</w:t>
            </w:r>
          </w:p>
        </w:tc>
        <w:tc>
          <w:tcPr>
            <w:tcW w:w="34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2023</w:t>
            </w:r>
          </w:p>
        </w:tc>
        <w:tc>
          <w:tcPr>
            <w:tcW w:w="2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3"/>
                <w:szCs w:val="13"/>
                <w:color w:val="auto"/>
              </w:rPr>
            </w:pPr>
          </w:p>
        </w:tc>
        <w:tc>
          <w:tcPr>
            <w:tcW w:w="700" w:type="dxa"/>
            <w:vAlign w:val="bottom"/>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CAPITAL (a)</w:t>
            </w: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80" w:type="dxa"/>
            <w:vAlign w:val="bottom"/>
            <w:gridSpan w:val="2"/>
          </w:tcPr>
          <w:p>
            <w:pPr>
              <w:spacing w:after="0"/>
              <w:rPr>
                <w:sz w:val="20"/>
                <w:szCs w:val="20"/>
                <w:color w:val="auto"/>
              </w:rPr>
            </w:pPr>
            <w:r>
              <w:rPr>
                <w:rFonts w:ascii="Arial" w:cs="Arial" w:eastAsia="Arial" w:hAnsi="Arial"/>
                <w:sz w:val="11"/>
                <w:szCs w:val="11"/>
                <w:b w:val="1"/>
                <w:bCs w:val="1"/>
                <w:color w:val="auto"/>
              </w:rPr>
              <w:t>Risk-based capital metrics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120"/>
              <w:spacing w:after="0"/>
              <w:rPr>
                <w:sz w:val="20"/>
                <w:szCs w:val="20"/>
                <w:color w:val="auto"/>
              </w:rPr>
            </w:pPr>
            <w:r>
              <w:rPr>
                <w:rFonts w:ascii="Arial" w:cs="Arial" w:eastAsia="Arial" w:hAnsi="Arial"/>
                <w:sz w:val="11"/>
                <w:szCs w:val="11"/>
                <w:b w:val="1"/>
                <w:bCs w:val="1"/>
                <w:color w:val="auto"/>
              </w:rPr>
              <w:t>Standardized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CET1 capital</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250,606</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(c)</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241,825</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235,827</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227,144</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218,934</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14 %</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Tier 1 capital</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277,354</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268,579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262,585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253,837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245,631</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Total capital</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308,558</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300,859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295,281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286,398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277,769</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Risk-weighted assets</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1,675,641</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1,692,219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1,706,927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1,647,363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1,653,538</w:t>
            </w:r>
          </w:p>
        </w:tc>
        <w:tc>
          <w:tcPr>
            <w:tcW w:w="62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CET1 capital ratio</w:t>
            </w:r>
          </w:p>
        </w:tc>
        <w:tc>
          <w:tcPr>
            <w:tcW w:w="80" w:type="dxa"/>
            <w:vAlign w:val="bottom"/>
          </w:tcPr>
          <w:p>
            <w:pPr>
              <w:spacing w:after="0"/>
              <w:rPr>
                <w:sz w:val="14"/>
                <w:szCs w:val="14"/>
                <w:color w:val="auto"/>
              </w:rPr>
            </w:pP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15.0 % (c)</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14.3 %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13.8 %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13.8 %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13.2 %</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Tier 1 capital ratio</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16.6</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15.9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15.4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15.4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14.9</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Total capital ratio</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18.4</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17.8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17.3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17.4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16.8</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80" w:type="dxa"/>
            <w:vAlign w:val="bottom"/>
            <w:gridSpan w:val="2"/>
          </w:tcPr>
          <w:p>
            <w:pPr>
              <w:ind w:left="120"/>
              <w:spacing w:after="0"/>
              <w:rPr>
                <w:sz w:val="20"/>
                <w:szCs w:val="20"/>
                <w:color w:val="auto"/>
              </w:rPr>
            </w:pPr>
            <w:r>
              <w:rPr>
                <w:rFonts w:ascii="Arial" w:cs="Arial" w:eastAsia="Arial" w:hAnsi="Arial"/>
                <w:sz w:val="11"/>
                <w:szCs w:val="11"/>
                <w:b w:val="1"/>
                <w:bCs w:val="1"/>
                <w:color w:val="auto"/>
              </w:rPr>
              <w:t>Advanced</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CET1 capital</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250,606</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(c)</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241,825</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235,827</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227,144</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218,934</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Tier 1 capital</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277,354</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268,579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262,585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253,837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245,631</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Total capital</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295,444</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287,560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281,953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273,122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264,583</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Risk-weighted assets</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1,672,649</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1,671,593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1,694,714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1,633,774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1,609,773</w:t>
            </w:r>
          </w:p>
        </w:tc>
        <w:tc>
          <w:tcPr>
            <w:tcW w:w="18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CET1 capital ratio</w:t>
            </w:r>
          </w:p>
        </w:tc>
        <w:tc>
          <w:tcPr>
            <w:tcW w:w="80" w:type="dxa"/>
            <w:vAlign w:val="bottom"/>
          </w:tcPr>
          <w:p>
            <w:pPr>
              <w:spacing w:after="0"/>
              <w:rPr>
                <w:sz w:val="14"/>
                <w:szCs w:val="14"/>
                <w:color w:val="auto"/>
              </w:rPr>
            </w:pP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15.0 % (c)</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14.5 %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13.9 %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13.9 %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13.6 %</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Tier 1 capital ratio</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16.6</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16.1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15.5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15.5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15.3</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Total capital ratio</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17.7</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(c)</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17.2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16.6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16.7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16.4</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80" w:type="dxa"/>
            <w:vAlign w:val="bottom"/>
            <w:gridSpan w:val="2"/>
          </w:tcPr>
          <w:p>
            <w:pPr>
              <w:spacing w:after="0"/>
              <w:rPr>
                <w:sz w:val="20"/>
                <w:szCs w:val="20"/>
                <w:color w:val="auto"/>
              </w:rPr>
            </w:pPr>
            <w:r>
              <w:rPr>
                <w:rFonts w:ascii="Arial" w:cs="Arial" w:eastAsia="Arial" w:hAnsi="Arial"/>
                <w:sz w:val="11"/>
                <w:szCs w:val="11"/>
                <w:b w:val="1"/>
                <w:bCs w:val="1"/>
                <w:color w:val="auto"/>
              </w:rPr>
              <w:t>Leverage-based capital metrics</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80" w:type="dxa"/>
            <w:vAlign w:val="bottom"/>
            <w:gridSpan w:val="2"/>
          </w:tcPr>
          <w:p>
            <w:pPr>
              <w:ind w:left="120"/>
              <w:spacing w:after="0"/>
              <w:rPr>
                <w:sz w:val="20"/>
                <w:szCs w:val="20"/>
                <w:color w:val="auto"/>
              </w:rPr>
            </w:pPr>
            <w:r>
              <w:rPr>
                <w:rFonts w:ascii="Arial" w:cs="Arial" w:eastAsia="Arial" w:hAnsi="Arial"/>
                <w:sz w:val="11"/>
                <w:szCs w:val="11"/>
                <w:color w:val="auto"/>
              </w:rPr>
              <w:t>Adjusted average assets (b)</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3,831,248</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(c)</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3,785,641</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3,796,579</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3,656,598</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3,703,873</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120"/>
              <w:spacing w:after="0"/>
              <w:rPr>
                <w:sz w:val="20"/>
                <w:szCs w:val="20"/>
                <w:color w:val="auto"/>
              </w:rPr>
            </w:pPr>
            <w:r>
              <w:rPr>
                <w:rFonts w:ascii="Arial" w:cs="Arial" w:eastAsia="Arial" w:hAnsi="Arial"/>
                <w:sz w:val="11"/>
                <w:szCs w:val="11"/>
                <w:color w:val="auto"/>
              </w:rPr>
              <w:t>Tier 1 leverage ratio</w:t>
            </w:r>
          </w:p>
        </w:tc>
        <w:tc>
          <w:tcPr>
            <w:tcW w:w="80" w:type="dxa"/>
            <w:vAlign w:val="bottom"/>
          </w:tcPr>
          <w:p>
            <w:pPr>
              <w:spacing w:after="0"/>
              <w:rPr>
                <w:sz w:val="14"/>
                <w:szCs w:val="14"/>
                <w:color w:val="auto"/>
              </w:rPr>
            </w:pP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7.2 % (c)</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6.9 %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6.9 %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6.6 %</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80" w:type="dxa"/>
            <w:vAlign w:val="bottom"/>
            <w:gridSpan w:val="2"/>
          </w:tcPr>
          <w:p>
            <w:pPr>
              <w:ind w:left="120"/>
              <w:spacing w:after="0"/>
              <w:rPr>
                <w:sz w:val="20"/>
                <w:szCs w:val="20"/>
                <w:color w:val="auto"/>
              </w:rPr>
            </w:pPr>
            <w:r>
              <w:rPr>
                <w:rFonts w:ascii="Arial" w:cs="Arial" w:eastAsia="Arial" w:hAnsi="Arial"/>
                <w:sz w:val="11"/>
                <w:szCs w:val="11"/>
                <w:color w:val="auto"/>
              </w:rPr>
              <w:t>Total leverage exposure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4,540,849</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(c)</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4,500,253</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4,492,761</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4,327,863</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4,367,092</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120"/>
              <w:spacing w:after="0"/>
              <w:rPr>
                <w:sz w:val="20"/>
                <w:szCs w:val="20"/>
                <w:color w:val="auto"/>
              </w:rPr>
            </w:pPr>
            <w:r>
              <w:rPr>
                <w:rFonts w:ascii="Arial" w:cs="Arial" w:eastAsia="Arial" w:hAnsi="Arial"/>
                <w:sz w:val="11"/>
                <w:szCs w:val="11"/>
                <w:color w:val="auto"/>
              </w:rPr>
              <w:t>SLR</w:t>
            </w:r>
          </w:p>
        </w:tc>
        <w:tc>
          <w:tcPr>
            <w:tcW w:w="80" w:type="dxa"/>
            <w:vAlign w:val="bottom"/>
          </w:tcPr>
          <w:p>
            <w:pPr>
              <w:spacing w:after="0"/>
              <w:rPr>
                <w:sz w:val="14"/>
                <w:szCs w:val="14"/>
                <w:color w:val="auto"/>
              </w:rPr>
            </w:pP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6.1 % (c)</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6.0 %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5.8 %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5.9 %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5.6 %</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80" w:type="dxa"/>
            <w:vAlign w:val="bottom"/>
            <w:gridSpan w:val="2"/>
          </w:tcPr>
          <w:p>
            <w:pPr>
              <w:spacing w:after="0"/>
              <w:rPr>
                <w:sz w:val="20"/>
                <w:szCs w:val="20"/>
                <w:color w:val="auto"/>
              </w:rPr>
            </w:pPr>
            <w:r>
              <w:rPr>
                <w:rFonts w:ascii="Arial" w:cs="Arial" w:eastAsia="Arial" w:hAnsi="Arial"/>
                <w:sz w:val="11"/>
                <w:szCs w:val="11"/>
                <w:b w:val="1"/>
                <w:bCs w:val="1"/>
                <w:color w:val="auto"/>
              </w:rPr>
              <w:t>Total Loss-Absorbing Capacity</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80" w:type="dxa"/>
            <w:vAlign w:val="bottom"/>
            <w:gridSpan w:val="2"/>
          </w:tcPr>
          <w:p>
            <w:pPr>
              <w:spacing w:after="0"/>
              <w:rPr>
                <w:sz w:val="20"/>
                <w:szCs w:val="20"/>
                <w:color w:val="auto"/>
              </w:rPr>
            </w:pPr>
            <w:r>
              <w:rPr>
                <w:rFonts w:ascii="Arial" w:cs="Arial" w:eastAsia="Arial" w:hAnsi="Arial"/>
                <w:sz w:val="11"/>
                <w:szCs w:val="11"/>
                <w:b w:val="1"/>
                <w:bCs w:val="1"/>
                <w:color w:val="auto"/>
              </w:rPr>
              <w:t>(“TLAC”)</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80" w:type="dxa"/>
            <w:vAlign w:val="bottom"/>
            <w:gridSpan w:val="2"/>
          </w:tcPr>
          <w:p>
            <w:pPr>
              <w:ind w:left="120"/>
              <w:spacing w:after="0"/>
              <w:rPr>
                <w:sz w:val="20"/>
                <w:szCs w:val="20"/>
                <w:color w:val="auto"/>
              </w:rPr>
            </w:pPr>
            <w:r>
              <w:rPr>
                <w:rFonts w:ascii="Arial" w:cs="Arial" w:eastAsia="Arial" w:hAnsi="Arial"/>
                <w:sz w:val="11"/>
                <w:szCs w:val="11"/>
                <w:color w:val="auto"/>
              </w:rPr>
              <w:t>Eligible external TLAC</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514,180</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(c)</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496,183</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493,760</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488,245</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486,044</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80" w:type="dxa"/>
            <w:vAlign w:val="bottom"/>
            <w:gridSpan w:val="2"/>
          </w:tcPr>
          <w:p>
            <w:pPr>
              <w:spacing w:after="0"/>
              <w:rPr>
                <w:sz w:val="20"/>
                <w:szCs w:val="20"/>
                <w:color w:val="auto"/>
              </w:rPr>
            </w:pPr>
            <w:r>
              <w:rPr>
                <w:rFonts w:ascii="Arial" w:cs="Arial" w:eastAsia="Arial" w:hAnsi="Arial"/>
                <w:sz w:val="11"/>
                <w:szCs w:val="11"/>
                <w:b w:val="1"/>
                <w:bCs w:val="1"/>
                <w:color w:val="auto"/>
                <w:w w:val="97"/>
              </w:rPr>
              <w:t>MEMO: CET1 CAPITAL ROLLFORWARD</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08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Standardized/Advanced CET1 capital,</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241,825</w:t>
            </w:r>
          </w:p>
        </w:tc>
        <w:tc>
          <w:tcPr>
            <w:tcW w:w="3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235,827</w:t>
            </w:r>
          </w:p>
        </w:tc>
        <w:tc>
          <w:tcPr>
            <w:tcW w:w="1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227,144</w:t>
            </w:r>
          </w:p>
        </w:tc>
        <w:tc>
          <w:tcPr>
            <w:tcW w:w="1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218,934</w:t>
            </w:r>
          </w:p>
        </w:tc>
        <w:tc>
          <w:tcPr>
            <w:tcW w:w="16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209,661</w:t>
            </w:r>
          </w:p>
        </w:tc>
        <w:tc>
          <w:tcPr>
            <w:tcW w:w="6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vMerge w:val="restart"/>
          </w:tcPr>
          <w:p>
            <w:pPr>
              <w:jc w:val="right"/>
              <w:ind w:right="106"/>
              <w:spacing w:after="0"/>
              <w:rPr>
                <w:sz w:val="20"/>
                <w:szCs w:val="20"/>
                <w:color w:val="auto"/>
              </w:rPr>
            </w:pPr>
            <w:r>
              <w:rPr>
                <w:rFonts w:ascii="Arial" w:cs="Arial" w:eastAsia="Arial" w:hAnsi="Arial"/>
                <w:sz w:val="11"/>
                <w:szCs w:val="11"/>
                <w:color w:val="auto"/>
              </w:rPr>
              <w:t>15</w:t>
            </w:r>
          </w:p>
        </w:tc>
        <w:tc>
          <w:tcPr>
            <w:tcW w:w="3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$ 218,934</w:t>
            </w:r>
          </w:p>
        </w:tc>
        <w:tc>
          <w:tcPr>
            <w:tcW w:w="220" w:type="dxa"/>
            <w:vAlign w:val="bottom"/>
          </w:tcPr>
          <w:p>
            <w:pPr>
              <w:spacing w:after="0"/>
              <w:rPr>
                <w:sz w:val="10"/>
                <w:szCs w:val="10"/>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$ 213,942</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42"/>
        </w:trPr>
        <w:tc>
          <w:tcPr>
            <w:tcW w:w="2080" w:type="dxa"/>
            <w:vAlign w:val="bottom"/>
            <w:gridSpan w:val="2"/>
          </w:tcPr>
          <w:p>
            <w:pPr>
              <w:ind w:left="120"/>
              <w:spacing w:after="0"/>
              <w:rPr>
                <w:sz w:val="20"/>
                <w:szCs w:val="20"/>
                <w:color w:val="auto"/>
              </w:rPr>
            </w:pPr>
            <w:r>
              <w:rPr>
                <w:rFonts w:ascii="Arial" w:cs="Arial" w:eastAsia="Arial" w:hAnsi="Arial"/>
                <w:sz w:val="11"/>
                <w:szCs w:val="11"/>
                <w:color w:val="auto"/>
              </w:rPr>
              <w:t>beginning balance</w:t>
            </w:r>
          </w:p>
        </w:tc>
        <w:tc>
          <w:tcPr>
            <w:tcW w:w="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80" w:type="dxa"/>
            <w:vAlign w:val="bottom"/>
            <w:gridSpan w:val="2"/>
          </w:tcPr>
          <w:p>
            <w:pPr>
              <w:ind w:left="120"/>
              <w:spacing w:after="0"/>
              <w:rPr>
                <w:sz w:val="20"/>
                <w:szCs w:val="20"/>
                <w:color w:val="auto"/>
              </w:rPr>
            </w:pPr>
            <w:r>
              <w:rPr>
                <w:rFonts w:ascii="Arial" w:cs="Arial" w:eastAsia="Arial" w:hAnsi="Arial"/>
                <w:sz w:val="11"/>
                <w:szCs w:val="11"/>
                <w:color w:val="auto"/>
              </w:rPr>
              <w:t>Net income applicable to common</w:t>
            </w: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8,921</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12,765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14,099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12,266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10,652</w:t>
            </w:r>
          </w:p>
        </w:tc>
        <w:tc>
          <w:tcPr>
            <w:tcW w:w="6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(30)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vMerge w:val="restart"/>
          </w:tcPr>
          <w:p>
            <w:pPr>
              <w:jc w:val="right"/>
              <w:ind w:right="66"/>
              <w:spacing w:after="0"/>
              <w:rPr>
                <w:sz w:val="20"/>
                <w:szCs w:val="20"/>
                <w:color w:val="auto"/>
              </w:rPr>
            </w:pPr>
            <w:r>
              <w:rPr>
                <w:rFonts w:ascii="Arial" w:cs="Arial" w:eastAsia="Arial" w:hAnsi="Arial"/>
                <w:sz w:val="11"/>
                <w:szCs w:val="11"/>
                <w:color w:val="auto"/>
              </w:rPr>
              <w:t>(16)</w:t>
            </w:r>
          </w:p>
        </w:tc>
        <w:tc>
          <w:tcPr>
            <w:tcW w:w="3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48,051</w:t>
            </w:r>
          </w:p>
        </w:tc>
        <w:tc>
          <w:tcPr>
            <w:tcW w:w="2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36,081</w:t>
            </w:r>
          </w:p>
        </w:tc>
        <w:tc>
          <w:tcPr>
            <w:tcW w:w="200" w:type="dxa"/>
            <w:vAlign w:val="bottom"/>
          </w:tcPr>
          <w:p>
            <w:pPr>
              <w:spacing w:after="0"/>
              <w:rPr>
                <w:sz w:val="11"/>
                <w:szCs w:val="11"/>
                <w:color w:val="auto"/>
              </w:rPr>
            </w:pPr>
          </w:p>
        </w:tc>
        <w:tc>
          <w:tcPr>
            <w:tcW w:w="700" w:type="dxa"/>
            <w:vAlign w:val="bottom"/>
            <w:vMerge w:val="restart"/>
          </w:tcPr>
          <w:p>
            <w:pPr>
              <w:jc w:val="right"/>
              <w:ind w:right="10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42"/>
        </w:trPr>
        <w:tc>
          <w:tcPr>
            <w:tcW w:w="2080" w:type="dxa"/>
            <w:vAlign w:val="bottom"/>
            <w:gridSpan w:val="2"/>
          </w:tcPr>
          <w:p>
            <w:pPr>
              <w:ind w:left="120"/>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120"/>
              <w:spacing w:after="0"/>
              <w:rPr>
                <w:sz w:val="20"/>
                <w:szCs w:val="20"/>
                <w:color w:val="auto"/>
              </w:rPr>
            </w:pPr>
            <w:r>
              <w:rPr>
                <w:rFonts w:ascii="Arial" w:cs="Arial" w:eastAsia="Arial" w:hAnsi="Arial"/>
                <w:sz w:val="11"/>
                <w:szCs w:val="11"/>
                <w:color w:val="auto"/>
              </w:rPr>
              <w:t>Dividends declared on common stock</w:t>
            </w: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(3,064)</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(3,080)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(2,948)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(2,963)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(2,972)</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(12,055)</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(11,893)</w:t>
            </w:r>
          </w:p>
        </w:tc>
        <w:tc>
          <w:tcPr>
            <w:tcW w:w="20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2080" w:type="dxa"/>
            <w:vAlign w:val="bottom"/>
            <w:gridSpan w:val="2"/>
          </w:tcPr>
          <w:p>
            <w:pPr>
              <w:ind w:left="120"/>
              <w:spacing w:after="0"/>
              <w:rPr>
                <w:sz w:val="20"/>
                <w:szCs w:val="20"/>
                <w:color w:val="auto"/>
              </w:rPr>
            </w:pPr>
            <w:r>
              <w:rPr>
                <w:rFonts w:ascii="Arial" w:cs="Arial" w:eastAsia="Arial" w:hAnsi="Arial"/>
                <w:sz w:val="11"/>
                <w:szCs w:val="11"/>
                <w:color w:val="auto"/>
              </w:rPr>
              <w:t>Net purchase of treasury stock</w:t>
            </w: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(2,240)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(2,337)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(2,268)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(2,036)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96</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180"/>
              <w:spacing w:after="0"/>
              <w:rPr>
                <w:sz w:val="20"/>
                <w:szCs w:val="20"/>
                <w:color w:val="auto"/>
              </w:rPr>
            </w:pPr>
            <w:r>
              <w:rPr>
                <w:rFonts w:ascii="Arial" w:cs="Arial" w:eastAsia="Arial" w:hAnsi="Arial"/>
                <w:sz w:val="11"/>
                <w:szCs w:val="11"/>
                <w:color w:val="auto"/>
              </w:rPr>
              <w:t>NM</w:t>
            </w:r>
          </w:p>
        </w:tc>
        <w:tc>
          <w:tcPr>
            <w:tcW w:w="580" w:type="dxa"/>
            <w:vAlign w:val="bottom"/>
          </w:tcPr>
          <w:p>
            <w:pPr>
              <w:jc w:val="right"/>
              <w:spacing w:after="0"/>
              <w:rPr>
                <w:sz w:val="20"/>
                <w:szCs w:val="20"/>
                <w:color w:val="auto"/>
              </w:rPr>
            </w:pPr>
            <w:r>
              <w:rPr>
                <w:rFonts w:ascii="Arial" w:cs="Arial" w:eastAsia="Arial" w:hAnsi="Arial"/>
                <w:sz w:val="11"/>
                <w:szCs w:val="11"/>
                <w:color w:val="auto"/>
              </w:rPr>
              <w:t>(8,881)</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(1,921)</w:t>
            </w:r>
          </w:p>
        </w:tc>
        <w:tc>
          <w:tcPr>
            <w:tcW w:w="20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(362)</w:t>
            </w:r>
          </w:p>
        </w:tc>
        <w:tc>
          <w:tcPr>
            <w:tcW w:w="0" w:type="dxa"/>
            <w:vAlign w:val="bottom"/>
          </w:tcPr>
          <w:p>
            <w:pPr>
              <w:spacing w:after="0"/>
              <w:rPr>
                <w:sz w:val="1"/>
                <w:szCs w:val="1"/>
                <w:color w:val="auto"/>
              </w:rPr>
            </w:pPr>
          </w:p>
        </w:tc>
      </w:tr>
      <w:tr>
        <w:trPr>
          <w:trHeight w:val="162"/>
        </w:trPr>
        <w:tc>
          <w:tcPr>
            <w:tcW w:w="2080" w:type="dxa"/>
            <w:vAlign w:val="bottom"/>
            <w:gridSpan w:val="2"/>
          </w:tcPr>
          <w:p>
            <w:pPr>
              <w:ind w:left="120"/>
              <w:spacing w:after="0"/>
              <w:rPr>
                <w:sz w:val="20"/>
                <w:szCs w:val="20"/>
                <w:color w:val="auto"/>
              </w:rPr>
            </w:pPr>
            <w:r>
              <w:rPr>
                <w:rFonts w:ascii="Arial" w:cs="Arial" w:eastAsia="Arial" w:hAnsi="Arial"/>
                <w:sz w:val="11"/>
                <w:szCs w:val="11"/>
                <w:color w:val="auto"/>
              </w:rPr>
              <w:t>Changes in additional paid-in capital</w:t>
            </w: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229</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321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423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179</w:t>
            </w:r>
          </w:p>
        </w:tc>
        <w:tc>
          <w:tcPr>
            <w:tcW w:w="620" w:type="dxa"/>
            <w:vAlign w:val="bottom"/>
            <w:gridSpan w:val="2"/>
          </w:tcPr>
          <w:p>
            <w:pPr>
              <w:jc w:val="right"/>
              <w:ind w:right="66"/>
              <w:spacing w:after="0"/>
              <w:rPr>
                <w:sz w:val="20"/>
                <w:szCs w:val="20"/>
                <w:color w:val="auto"/>
              </w:rPr>
            </w:pPr>
            <w:r>
              <w:rPr>
                <w:rFonts w:ascii="Arial" w:cs="Arial" w:eastAsia="Arial" w:hAnsi="Arial"/>
                <w:sz w:val="11"/>
                <w:szCs w:val="11"/>
                <w:color w:val="auto"/>
              </w:rPr>
              <w:t>(29)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28</w:t>
            </w: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1,084</w:t>
            </w:r>
          </w:p>
        </w:tc>
        <w:tc>
          <w:tcPr>
            <w:tcW w:w="2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629</w:t>
            </w:r>
          </w:p>
        </w:tc>
        <w:tc>
          <w:tcPr>
            <w:tcW w:w="20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72</w:t>
            </w:r>
          </w:p>
        </w:tc>
        <w:tc>
          <w:tcPr>
            <w:tcW w:w="0" w:type="dxa"/>
            <w:vAlign w:val="bottom"/>
          </w:tcPr>
          <w:p>
            <w:pPr>
              <w:spacing w:after="0"/>
              <w:rPr>
                <w:sz w:val="1"/>
                <w:szCs w:val="1"/>
                <w:color w:val="auto"/>
              </w:rPr>
            </w:pPr>
          </w:p>
        </w:tc>
      </w:tr>
      <w:tr>
        <w:trPr>
          <w:trHeight w:val="128"/>
        </w:trPr>
        <w:tc>
          <w:tcPr>
            <w:tcW w:w="2080" w:type="dxa"/>
            <w:vAlign w:val="bottom"/>
            <w:gridSpan w:val="2"/>
          </w:tcPr>
          <w:p>
            <w:pPr>
              <w:ind w:left="120"/>
              <w:spacing w:after="0"/>
              <w:rPr>
                <w:sz w:val="20"/>
                <w:szCs w:val="20"/>
                <w:color w:val="auto"/>
              </w:rPr>
            </w:pPr>
            <w:r>
              <w:rPr>
                <w:rFonts w:ascii="Arial" w:cs="Arial" w:eastAsia="Arial" w:hAnsi="Arial"/>
                <w:sz w:val="11"/>
                <w:szCs w:val="11"/>
                <w:color w:val="auto"/>
              </w:rPr>
              <w:t>Changes related to AOCI applicable to</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80" w:type="dxa"/>
            <w:vAlign w:val="bottom"/>
            <w:gridSpan w:val="2"/>
          </w:tcPr>
          <w:p>
            <w:pPr>
              <w:ind w:left="120"/>
              <w:spacing w:after="0"/>
              <w:rPr>
                <w:sz w:val="20"/>
                <w:szCs w:val="20"/>
                <w:color w:val="auto"/>
              </w:rPr>
            </w:pPr>
            <w:r>
              <w:rPr>
                <w:rFonts w:ascii="Arial" w:cs="Arial" w:eastAsia="Arial" w:hAnsi="Arial"/>
                <w:sz w:val="11"/>
                <w:szCs w:val="11"/>
                <w:color w:val="auto"/>
              </w:rPr>
              <w:t>capital:</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Unrealized gains/(losses) on</w:t>
            </w: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4,362</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(1,950)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757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2,212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1,865</w:t>
            </w:r>
          </w:p>
        </w:tc>
        <w:tc>
          <w:tcPr>
            <w:tcW w:w="180" w:type="dxa"/>
            <w:vAlign w:val="bottom"/>
          </w:tcPr>
          <w:p>
            <w:pPr>
              <w:spacing w:after="0"/>
              <w:rPr>
                <w:sz w:val="11"/>
                <w:szCs w:val="11"/>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1"/>
                <w:szCs w:val="11"/>
                <w:color w:val="auto"/>
              </w:rPr>
            </w:pPr>
          </w:p>
        </w:tc>
        <w:tc>
          <w:tcPr>
            <w:tcW w:w="360" w:type="dxa"/>
            <w:vAlign w:val="bottom"/>
            <w:vMerge w:val="restart"/>
          </w:tcPr>
          <w:p>
            <w:pPr>
              <w:jc w:val="right"/>
              <w:ind w:right="106"/>
              <w:spacing w:after="0"/>
              <w:rPr>
                <w:sz w:val="20"/>
                <w:szCs w:val="20"/>
                <w:color w:val="auto"/>
              </w:rPr>
            </w:pPr>
            <w:r>
              <w:rPr>
                <w:rFonts w:ascii="Arial" w:cs="Arial" w:eastAsia="Arial" w:hAnsi="Arial"/>
                <w:sz w:val="11"/>
                <w:szCs w:val="11"/>
                <w:color w:val="auto"/>
                <w:w w:val="97"/>
              </w:rPr>
              <w:t>134</w:t>
            </w:r>
          </w:p>
        </w:tc>
        <w:tc>
          <w:tcPr>
            <w:tcW w:w="3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5,381</w:t>
            </w:r>
          </w:p>
        </w:tc>
        <w:tc>
          <w:tcPr>
            <w:tcW w:w="2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(11,764)</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2"/>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investment securities</w:t>
            </w: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Translation adjustments, net of</w:t>
            </w: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402</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(340)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70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197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711</w:t>
            </w:r>
          </w:p>
        </w:tc>
        <w:tc>
          <w:tcPr>
            <w:tcW w:w="180" w:type="dxa"/>
            <w:vAlign w:val="bottom"/>
          </w:tcPr>
          <w:p>
            <w:pPr>
              <w:spacing w:after="0"/>
              <w:rPr>
                <w:sz w:val="11"/>
                <w:szCs w:val="11"/>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1"/>
                <w:szCs w:val="11"/>
                <w:color w:val="auto"/>
              </w:rPr>
            </w:pPr>
          </w:p>
        </w:tc>
        <w:tc>
          <w:tcPr>
            <w:tcW w:w="360" w:type="dxa"/>
            <w:vAlign w:val="bottom"/>
            <w:vMerge w:val="restart"/>
          </w:tcPr>
          <w:p>
            <w:pPr>
              <w:jc w:val="right"/>
              <w:ind w:right="66"/>
              <w:spacing w:after="0"/>
              <w:rPr>
                <w:sz w:val="20"/>
                <w:szCs w:val="20"/>
                <w:color w:val="auto"/>
              </w:rPr>
            </w:pPr>
            <w:r>
              <w:rPr>
                <w:rFonts w:ascii="Arial" w:cs="Arial" w:eastAsia="Arial" w:hAnsi="Arial"/>
                <w:sz w:val="11"/>
                <w:szCs w:val="11"/>
                <w:color w:val="auto"/>
              </w:rPr>
              <w:t>(43)</w:t>
            </w:r>
          </w:p>
        </w:tc>
        <w:tc>
          <w:tcPr>
            <w:tcW w:w="3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329</w:t>
            </w:r>
          </w:p>
        </w:tc>
        <w:tc>
          <w:tcPr>
            <w:tcW w:w="2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(611)</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2"/>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hedges</w:t>
            </w: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Fair value hedges</w:t>
            </w: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(86)</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(101)</w:t>
            </w:r>
          </w:p>
        </w:tc>
        <w:tc>
          <w:tcPr>
            <w:tcW w:w="18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(101)</w:t>
            </w:r>
          </w:p>
        </w:tc>
        <w:tc>
          <w:tcPr>
            <w:tcW w:w="2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98</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28"/>
        </w:trPr>
        <w:tc>
          <w:tcPr>
            <w:tcW w:w="2080" w:type="dxa"/>
            <w:vAlign w:val="bottom"/>
            <w:gridSpan w:val="2"/>
          </w:tcPr>
          <w:p>
            <w:pPr>
              <w:ind w:left="200"/>
              <w:spacing w:after="0"/>
              <w:rPr>
                <w:sz w:val="20"/>
                <w:szCs w:val="20"/>
                <w:color w:val="auto"/>
              </w:rPr>
            </w:pPr>
            <w:r>
              <w:rPr>
                <w:rFonts w:ascii="Arial" w:cs="Arial" w:eastAsia="Arial" w:hAnsi="Arial"/>
                <w:sz w:val="11"/>
                <w:szCs w:val="11"/>
                <w:color w:val="auto"/>
              </w:rPr>
              <w:t>Defined benefit pension and other</w:t>
            </w: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455</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(21)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color w:val="auto"/>
              </w:rPr>
              <w:t>(55)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(324)</w:t>
            </w:r>
          </w:p>
        </w:tc>
        <w:tc>
          <w:tcPr>
            <w:tcW w:w="180" w:type="dxa"/>
            <w:vAlign w:val="bottom"/>
          </w:tcPr>
          <w:p>
            <w:pPr>
              <w:spacing w:after="0"/>
              <w:rPr>
                <w:sz w:val="11"/>
                <w:szCs w:val="11"/>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1"/>
                <w:szCs w:val="11"/>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1"/>
                <w:szCs w:val="11"/>
                <w:color w:val="auto"/>
              </w:rPr>
              <w:t>NM</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373</w:t>
            </w:r>
          </w:p>
        </w:tc>
        <w:tc>
          <w:tcPr>
            <w:tcW w:w="2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(1,241)</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2"/>
        </w:trPr>
        <w:tc>
          <w:tcPr>
            <w:tcW w:w="2080" w:type="dxa"/>
            <w:vAlign w:val="bottom"/>
            <w:gridSpan w:val="2"/>
          </w:tcPr>
          <w:p>
            <w:pPr>
              <w:ind w:left="200"/>
              <w:spacing w:after="0"/>
              <w:rPr>
                <w:sz w:val="20"/>
                <w:szCs w:val="20"/>
                <w:color w:val="auto"/>
              </w:rPr>
            </w:pPr>
            <w:r>
              <w:rPr>
                <w:rFonts w:ascii="Arial" w:cs="Arial" w:eastAsia="Arial" w:hAnsi="Arial"/>
                <w:sz w:val="11"/>
                <w:szCs w:val="11"/>
                <w:color w:val="auto"/>
                <w:w w:val="99"/>
              </w:rPr>
              <w:t>postretirement employee benefit plans</w:t>
            </w: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80" w:type="dxa"/>
            <w:vAlign w:val="bottom"/>
            <w:gridSpan w:val="2"/>
          </w:tcPr>
          <w:p>
            <w:pPr>
              <w:ind w:left="120"/>
              <w:spacing w:after="0"/>
              <w:rPr>
                <w:sz w:val="20"/>
                <w:szCs w:val="20"/>
                <w:color w:val="auto"/>
              </w:rPr>
            </w:pPr>
            <w:r>
              <w:rPr>
                <w:rFonts w:ascii="Arial" w:cs="Arial" w:eastAsia="Arial" w:hAnsi="Arial"/>
                <w:sz w:val="11"/>
                <w:szCs w:val="11"/>
                <w:color w:val="auto"/>
              </w:rPr>
              <w:t>Changes related to other CET1 capital</w:t>
            </w:r>
          </w:p>
        </w:tc>
        <w:tc>
          <w:tcPr>
            <w:tcW w:w="8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(198)</w:t>
            </w:r>
          </w:p>
        </w:tc>
        <w:tc>
          <w:tcPr>
            <w:tcW w:w="300" w:type="dxa"/>
            <w:vAlign w:val="bottom"/>
            <w:vMerge w:val="restart"/>
          </w:tcPr>
          <w:p>
            <w:pPr>
              <w:jc w:val="right"/>
              <w:ind w:right="86"/>
              <w:spacing w:after="0"/>
              <w:rPr>
                <w:sz w:val="20"/>
                <w:szCs w:val="20"/>
                <w:color w:val="auto"/>
              </w:rPr>
            </w:pPr>
            <w:r>
              <w:rPr>
                <w:rFonts w:ascii="Arial" w:cs="Arial" w:eastAsia="Arial" w:hAnsi="Arial"/>
                <w:sz w:val="11"/>
                <w:szCs w:val="11"/>
                <w:color w:val="auto"/>
              </w:rPr>
              <w:t>(c)</w:t>
            </w: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645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(1,455)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color w:val="auto"/>
              </w:rPr>
              <w:t>(1,501)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(833)</w:t>
            </w:r>
          </w:p>
        </w:tc>
        <w:tc>
          <w:tcPr>
            <w:tcW w:w="180" w:type="dxa"/>
            <w:vAlign w:val="bottom"/>
          </w:tcPr>
          <w:p>
            <w:pPr>
              <w:spacing w:after="0"/>
              <w:rPr>
                <w:sz w:val="11"/>
                <w:szCs w:val="11"/>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1"/>
                <w:szCs w:val="11"/>
                <w:color w:val="auto"/>
              </w:rPr>
            </w:pPr>
          </w:p>
        </w:tc>
        <w:tc>
          <w:tcPr>
            <w:tcW w:w="360" w:type="dxa"/>
            <w:vAlign w:val="bottom"/>
            <w:vMerge w:val="restart"/>
          </w:tcPr>
          <w:p>
            <w:pPr>
              <w:jc w:val="right"/>
              <w:ind w:right="106"/>
              <w:spacing w:after="0"/>
              <w:rPr>
                <w:sz w:val="20"/>
                <w:szCs w:val="20"/>
                <w:color w:val="auto"/>
              </w:rPr>
            </w:pPr>
            <w:r>
              <w:rPr>
                <w:rFonts w:ascii="Arial" w:cs="Arial" w:eastAsia="Arial" w:hAnsi="Arial"/>
                <w:sz w:val="11"/>
                <w:szCs w:val="11"/>
                <w:color w:val="auto"/>
              </w:rPr>
              <w:t>76</w:t>
            </w:r>
          </w:p>
        </w:tc>
        <w:tc>
          <w:tcPr>
            <w:tcW w:w="340" w:type="dxa"/>
            <w:vAlign w:val="bottom"/>
          </w:tcPr>
          <w:p>
            <w:pPr>
              <w:spacing w:after="0"/>
              <w:rPr>
                <w:sz w:val="11"/>
                <w:szCs w:val="11"/>
                <w:color w:val="auto"/>
              </w:rPr>
            </w:pPr>
          </w:p>
        </w:tc>
        <w:tc>
          <w:tcPr>
            <w:tcW w:w="80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(2,509) (c)</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(4,386)</w:t>
            </w:r>
          </w:p>
        </w:tc>
        <w:tc>
          <w:tcPr>
            <w:tcW w:w="200" w:type="dxa"/>
            <w:vAlign w:val="bottom"/>
          </w:tcPr>
          <w:p>
            <w:pPr>
              <w:spacing w:after="0"/>
              <w:rPr>
                <w:sz w:val="11"/>
                <w:szCs w:val="11"/>
                <w:color w:val="auto"/>
              </w:rPr>
            </w:pPr>
          </w:p>
        </w:tc>
        <w:tc>
          <w:tcPr>
            <w:tcW w:w="700" w:type="dxa"/>
            <w:vAlign w:val="bottom"/>
            <w:vMerge w:val="restart"/>
          </w:tcPr>
          <w:p>
            <w:pPr>
              <w:jc w:val="right"/>
              <w:ind w:right="106"/>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55"/>
        </w:trPr>
        <w:tc>
          <w:tcPr>
            <w:tcW w:w="2080" w:type="dxa"/>
            <w:vAlign w:val="bottom"/>
            <w:gridSpan w:val="2"/>
          </w:tcPr>
          <w:p>
            <w:pPr>
              <w:ind w:left="120"/>
              <w:spacing w:after="0"/>
              <w:rPr>
                <w:sz w:val="20"/>
                <w:szCs w:val="20"/>
                <w:color w:val="auto"/>
              </w:rPr>
            </w:pPr>
            <w:r>
              <w:rPr>
                <w:rFonts w:ascii="Arial" w:cs="Arial" w:eastAsia="Arial" w:hAnsi="Arial"/>
                <w:sz w:val="11"/>
                <w:szCs w:val="11"/>
                <w:color w:val="auto"/>
              </w:rPr>
              <w:t>adjustments</w:t>
            </w: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80" w:type="dxa"/>
            <w:vAlign w:val="bottom"/>
            <w:gridSpan w:val="2"/>
          </w:tcPr>
          <w:p>
            <w:pPr>
              <w:ind w:left="120"/>
              <w:spacing w:after="0" w:line="95" w:lineRule="exact"/>
              <w:rPr>
                <w:sz w:val="20"/>
                <w:szCs w:val="20"/>
                <w:color w:val="auto"/>
              </w:rPr>
            </w:pPr>
            <w:r>
              <w:rPr>
                <w:rFonts w:ascii="Arial" w:cs="Arial" w:eastAsia="Arial" w:hAnsi="Arial"/>
                <w:sz w:val="10"/>
                <w:szCs w:val="10"/>
                <w:color w:val="auto"/>
              </w:rPr>
              <w:t>Change in Standardized/Advanced</w:t>
            </w: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8,781</w:t>
            </w:r>
          </w:p>
        </w:tc>
        <w:tc>
          <w:tcPr>
            <w:tcW w:w="300" w:type="dxa"/>
            <w:vAlign w:val="bottom"/>
            <w:vMerge w:val="restart"/>
          </w:tcPr>
          <w:p>
            <w:pPr>
              <w:jc w:val="right"/>
              <w:ind w:right="86"/>
              <w:spacing w:after="0"/>
              <w:rPr>
                <w:sz w:val="20"/>
                <w:szCs w:val="20"/>
                <w:color w:val="auto"/>
              </w:rPr>
            </w:pPr>
            <w:r>
              <w:rPr>
                <w:rFonts w:ascii="Arial" w:cs="Arial" w:eastAsia="Arial" w:hAnsi="Arial"/>
                <w:sz w:val="11"/>
                <w:szCs w:val="11"/>
                <w:color w:val="auto"/>
              </w:rPr>
              <w:t>(c)</w:t>
            </w: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5,998</w:t>
            </w: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8,683</w:t>
            </w: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vMerge w:val="restart"/>
          </w:tcPr>
          <w:p>
            <w:pPr>
              <w:jc w:val="right"/>
              <w:ind w:right="106"/>
              <w:spacing w:after="0"/>
              <w:rPr>
                <w:sz w:val="20"/>
                <w:szCs w:val="20"/>
                <w:color w:val="auto"/>
              </w:rPr>
            </w:pPr>
            <w:r>
              <w:rPr>
                <w:rFonts w:ascii="Arial" w:cs="Arial" w:eastAsia="Arial" w:hAnsi="Arial"/>
                <w:sz w:val="11"/>
                <w:szCs w:val="11"/>
                <w:color w:val="auto"/>
              </w:rPr>
              <w:t>8,210</w:t>
            </w: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106"/>
              <w:spacing w:after="0"/>
              <w:rPr>
                <w:sz w:val="20"/>
                <w:szCs w:val="20"/>
                <w:color w:val="auto"/>
              </w:rPr>
            </w:pPr>
            <w:r>
              <w:rPr>
                <w:rFonts w:ascii="Arial" w:cs="Arial" w:eastAsia="Arial" w:hAnsi="Arial"/>
                <w:sz w:val="11"/>
                <w:szCs w:val="11"/>
                <w:color w:val="auto"/>
              </w:rPr>
              <w:t>9,273</w:t>
            </w:r>
          </w:p>
        </w:tc>
        <w:tc>
          <w:tcPr>
            <w:tcW w:w="6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46</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vMerge w:val="restart"/>
          </w:tcPr>
          <w:p>
            <w:pPr>
              <w:jc w:val="right"/>
              <w:ind w:right="66"/>
              <w:spacing w:after="0"/>
              <w:rPr>
                <w:sz w:val="20"/>
                <w:szCs w:val="20"/>
                <w:color w:val="auto"/>
              </w:rPr>
            </w:pPr>
            <w:r>
              <w:rPr>
                <w:rFonts w:ascii="Arial" w:cs="Arial" w:eastAsia="Arial" w:hAnsi="Arial"/>
                <w:sz w:val="11"/>
                <w:szCs w:val="11"/>
                <w:color w:val="auto"/>
              </w:rPr>
              <w:t>(5)</w:t>
            </w:r>
          </w:p>
        </w:tc>
        <w:tc>
          <w:tcPr>
            <w:tcW w:w="340" w:type="dxa"/>
            <w:vAlign w:val="bottom"/>
          </w:tcPr>
          <w:p>
            <w:pPr>
              <w:spacing w:after="0"/>
              <w:rPr>
                <w:sz w:val="8"/>
                <w:szCs w:val="8"/>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31,672</w:t>
            </w:r>
          </w:p>
        </w:tc>
        <w:tc>
          <w:tcPr>
            <w:tcW w:w="220" w:type="dxa"/>
            <w:vAlign w:val="bottom"/>
            <w:vMerge w:val="restart"/>
          </w:tcPr>
          <w:p>
            <w:pPr>
              <w:jc w:val="right"/>
              <w:ind w:right="6"/>
              <w:spacing w:after="0"/>
              <w:rPr>
                <w:sz w:val="20"/>
                <w:szCs w:val="20"/>
                <w:color w:val="auto"/>
              </w:rPr>
            </w:pPr>
            <w:r>
              <w:rPr>
                <w:rFonts w:ascii="Arial" w:cs="Arial" w:eastAsia="Arial" w:hAnsi="Arial"/>
                <w:sz w:val="11"/>
                <w:szCs w:val="11"/>
                <w:color w:val="auto"/>
              </w:rPr>
              <w:t>(c)</w:t>
            </w:r>
          </w:p>
        </w:tc>
        <w:tc>
          <w:tcPr>
            <w:tcW w:w="58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color w:val="auto"/>
              </w:rPr>
              <w:t>4,992</w:t>
            </w:r>
          </w:p>
        </w:tc>
        <w:tc>
          <w:tcPr>
            <w:tcW w:w="20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55"/>
        </w:trPr>
        <w:tc>
          <w:tcPr>
            <w:tcW w:w="2080" w:type="dxa"/>
            <w:vAlign w:val="bottom"/>
            <w:gridSpan w:val="2"/>
          </w:tcPr>
          <w:p>
            <w:pPr>
              <w:ind w:left="120"/>
              <w:spacing w:after="0"/>
              <w:rPr>
                <w:sz w:val="20"/>
                <w:szCs w:val="20"/>
                <w:color w:val="auto"/>
              </w:rPr>
            </w:pPr>
            <w:r>
              <w:rPr>
                <w:rFonts w:ascii="Arial" w:cs="Arial" w:eastAsia="Arial" w:hAnsi="Arial"/>
                <w:sz w:val="11"/>
                <w:szCs w:val="11"/>
                <w:color w:val="auto"/>
              </w:rPr>
              <w:t>CET1 capital</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80" w:type="dxa"/>
            <w:vAlign w:val="bottom"/>
            <w:gridSpan w:val="2"/>
          </w:tcPr>
          <w:p>
            <w:pPr>
              <w:ind w:left="120"/>
              <w:spacing w:after="0" w:line="95" w:lineRule="exact"/>
              <w:rPr>
                <w:sz w:val="20"/>
                <w:szCs w:val="20"/>
                <w:color w:val="auto"/>
              </w:rPr>
            </w:pPr>
            <w:r>
              <w:rPr>
                <w:rFonts w:ascii="Arial" w:cs="Arial" w:eastAsia="Arial" w:hAnsi="Arial"/>
                <w:sz w:val="10"/>
                <w:szCs w:val="10"/>
                <w:b w:val="1"/>
                <w:bCs w:val="1"/>
                <w:color w:val="auto"/>
              </w:rPr>
              <w:t>Standardized/Advanced CET1 capital,</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250,606</w:t>
            </w:r>
          </w:p>
        </w:tc>
        <w:tc>
          <w:tcPr>
            <w:tcW w:w="300" w:type="dxa"/>
            <w:vAlign w:val="bottom"/>
            <w:vMerge w:val="restart"/>
          </w:tcPr>
          <w:p>
            <w:pPr>
              <w:jc w:val="right"/>
              <w:ind w:right="86"/>
              <w:spacing w:after="0"/>
              <w:rPr>
                <w:sz w:val="20"/>
                <w:szCs w:val="20"/>
                <w:color w:val="auto"/>
              </w:rPr>
            </w:pPr>
            <w:r>
              <w:rPr>
                <w:rFonts w:ascii="Arial" w:cs="Arial" w:eastAsia="Arial" w:hAnsi="Arial"/>
                <w:sz w:val="11"/>
                <w:szCs w:val="11"/>
                <w:color w:val="auto"/>
              </w:rPr>
              <w:t>(c)</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241,825</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235,827</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227,144</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218,934</w:t>
            </w:r>
          </w:p>
        </w:tc>
        <w:tc>
          <w:tcPr>
            <w:tcW w:w="6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vMerge w:val="restart"/>
          </w:tcPr>
          <w:p>
            <w:pPr>
              <w:jc w:val="right"/>
              <w:ind w:right="106"/>
              <w:spacing w:after="0"/>
              <w:rPr>
                <w:sz w:val="20"/>
                <w:szCs w:val="20"/>
                <w:color w:val="auto"/>
              </w:rPr>
            </w:pPr>
            <w:r>
              <w:rPr>
                <w:rFonts w:ascii="Arial" w:cs="Arial" w:eastAsia="Arial" w:hAnsi="Arial"/>
                <w:sz w:val="11"/>
                <w:szCs w:val="11"/>
                <w:color w:val="auto"/>
              </w:rPr>
              <w:t>14</w:t>
            </w:r>
          </w:p>
        </w:tc>
        <w:tc>
          <w:tcPr>
            <w:tcW w:w="3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$ 250,606</w:t>
            </w:r>
          </w:p>
        </w:tc>
        <w:tc>
          <w:tcPr>
            <w:tcW w:w="220" w:type="dxa"/>
            <w:vAlign w:val="bottom"/>
            <w:vMerge w:val="restart"/>
          </w:tcPr>
          <w:p>
            <w:pPr>
              <w:jc w:val="right"/>
              <w:ind w:right="6"/>
              <w:spacing w:after="0"/>
              <w:rPr>
                <w:sz w:val="20"/>
                <w:szCs w:val="20"/>
                <w:color w:val="auto"/>
              </w:rPr>
            </w:pPr>
            <w:r>
              <w:rPr>
                <w:rFonts w:ascii="Arial" w:cs="Arial" w:eastAsia="Arial" w:hAnsi="Arial"/>
                <w:sz w:val="11"/>
                <w:szCs w:val="11"/>
                <w:color w:val="auto"/>
              </w:rPr>
              <w:t>(c)</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$ 218,934</w:t>
            </w:r>
          </w:p>
        </w:tc>
        <w:tc>
          <w:tcPr>
            <w:tcW w:w="200" w:type="dxa"/>
            <w:vAlign w:val="bottom"/>
          </w:tcPr>
          <w:p>
            <w:pPr>
              <w:spacing w:after="0"/>
              <w:rPr>
                <w:sz w:val="8"/>
                <w:szCs w:val="8"/>
                <w:color w:val="auto"/>
              </w:rPr>
            </w:pPr>
          </w:p>
        </w:tc>
        <w:tc>
          <w:tcPr>
            <w:tcW w:w="700" w:type="dxa"/>
            <w:vAlign w:val="bottom"/>
            <w:vMerge w:val="restart"/>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0"/>
        </w:trPr>
        <w:tc>
          <w:tcPr>
            <w:tcW w:w="2080" w:type="dxa"/>
            <w:vAlign w:val="bottom"/>
            <w:gridSpan w:val="2"/>
          </w:tcPr>
          <w:p>
            <w:pPr>
              <w:ind w:left="120"/>
              <w:spacing w:after="0"/>
              <w:rPr>
                <w:sz w:val="20"/>
                <w:szCs w:val="20"/>
                <w:color w:val="auto"/>
              </w:rPr>
            </w:pPr>
            <w:r>
              <w:rPr>
                <w:rFonts w:ascii="Arial" w:cs="Arial" w:eastAsia="Arial" w:hAnsi="Arial"/>
                <w:sz w:val="11"/>
                <w:szCs w:val="11"/>
                <w:b w:val="1"/>
                <w:bCs w:val="1"/>
                <w:color w:val="auto"/>
              </w:rPr>
              <w:t>ending balance</w:t>
            </w: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284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345" w:lineRule="exact"/>
        <w:rPr>
          <w:sz w:val="20"/>
          <w:szCs w:val="20"/>
          <w:color w:val="auto"/>
        </w:rPr>
      </w:pPr>
    </w:p>
    <w:p>
      <w:pPr>
        <w:ind w:left="180" w:right="20" w:hanging="172"/>
        <w:spacing w:after="0" w:line="228" w:lineRule="auto"/>
        <w:tabs>
          <w:tab w:leader="none" w:pos="177"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capital metrics reflect the CECL capital transition provisions. Beginning January 1, 2022, the $2.9 billion CECL capital benefit is being phased out at 25% per year over a three-year period. As of December 31, 2023, September 30, 2023, June 30, 2023 and March 31, 2023, CET1 capital reflected the remaining $1.4 billion CECL benefit; as of December 31, 2022, CET1 capital reflected a $2.2 billion benefit. Refer to Capital Risk Management on pages 48-53 of the Firm’s Quarterly Report on Form 10-Q for the quarterly period ended September 30, 2023 and pages 86-96 of the Firm’s 2022 Form 10-K for additional information.</w:t>
      </w:r>
    </w:p>
    <w:p>
      <w:pPr>
        <w:ind w:left="180" w:right="160" w:hanging="172"/>
        <w:spacing w:after="0" w:line="243" w:lineRule="auto"/>
        <w:tabs>
          <w:tab w:leader="none" w:pos="177" w:val="left"/>
        </w:tabs>
        <w:numPr>
          <w:ilvl w:val="0"/>
          <w:numId w:val="15"/>
        </w:numPr>
        <w:rPr>
          <w:rFonts w:ascii="Arial" w:cs="Arial" w:eastAsia="Arial" w:hAnsi="Arial"/>
          <w:sz w:val="11"/>
          <w:szCs w:val="11"/>
          <w:color w:val="auto"/>
        </w:rPr>
      </w:pPr>
      <w:r>
        <w:rPr>
          <w:rFonts w:ascii="Arial" w:cs="Arial" w:eastAsia="Arial" w:hAnsi="Arial"/>
          <w:sz w:val="11"/>
          <w:szCs w:val="11"/>
          <w:color w:val="auto"/>
        </w:rPr>
        <w:t>Adjusted average assets, for purposes of calculating the leverage ratios, includes quarterly average assets adjusted for on-balance sheet assets that are subject to deduction from Tier 1 capital, predominantly goodwill, inclusive of estimated equity method goodwill, and other intangible assets.</w:t>
      </w:r>
    </w:p>
    <w:p>
      <w:pPr>
        <w:ind w:left="160" w:hanging="152"/>
        <w:spacing w:after="0"/>
        <w:tabs>
          <w:tab w:leader="none" w:pos="1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9</w:t>
      </w:r>
    </w:p>
    <w:p>
      <w:pPr>
        <w:sectPr>
          <w:pgSz w:w="11900" w:h="16838" w:orient="portrait"/>
          <w:cols w:equalWidth="0" w:num="1">
            <w:col w:w="11240"/>
          </w:cols>
          <w:pgMar w:left="320" w:top="572"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13970</wp:posOffset>
            </wp:positionV>
            <wp:extent cx="237426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right="7120"/>
        <w:spacing w:after="0" w:line="256" w:lineRule="auto"/>
        <w:rPr>
          <w:sz w:val="20"/>
          <w:szCs w:val="20"/>
          <w:color w:val="auto"/>
        </w:rPr>
      </w:pPr>
      <w:r>
        <w:rPr>
          <w:rFonts w:ascii="Arial" w:cs="Arial" w:eastAsia="Arial" w:hAnsi="Arial"/>
          <w:sz w:val="14"/>
          <w:szCs w:val="14"/>
          <w:b w:val="1"/>
          <w:bCs w:val="1"/>
          <w:color w:val="auto"/>
        </w:rPr>
        <w:t>CAPITAL AND OTHER SELECTED BALANCE SHEET ITEMS, CONTINUED</w:t>
      </w: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5"/>
          </w:tcPr>
          <w:p>
            <w:pPr>
              <w:jc w:val="center"/>
              <w:ind w:right="420"/>
              <w:spacing w:after="0"/>
              <w:rPr>
                <w:sz w:val="20"/>
                <w:szCs w:val="20"/>
                <w:color w:val="auto"/>
              </w:rPr>
            </w:pPr>
            <w:r>
              <w:rPr>
                <w:rFonts w:ascii="Arial" w:cs="Arial" w:eastAsia="Arial" w:hAnsi="Arial"/>
                <w:sz w:val="11"/>
                <w:szCs w:val="11"/>
                <w:b w:val="1"/>
                <w:bCs w:val="1"/>
                <w:color w:val="auto"/>
                <w:w w:val="96"/>
              </w:rPr>
              <w:t>Dec 31, 2023</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9"/>
        </w:trPr>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gridSpan w:val="3"/>
          </w:tcPr>
          <w:p>
            <w:pPr>
              <w:jc w:val="center"/>
              <w:ind w:left="366"/>
              <w:spacing w:after="0"/>
              <w:rPr>
                <w:sz w:val="20"/>
                <w:szCs w:val="20"/>
                <w:color w:val="auto"/>
              </w:rPr>
            </w:pPr>
            <w:r>
              <w:rPr>
                <w:rFonts w:ascii="Arial" w:cs="Arial" w:eastAsia="Arial" w:hAnsi="Arial"/>
                <w:sz w:val="11"/>
                <w:szCs w:val="11"/>
                <w:b w:val="1"/>
                <w:bCs w:val="1"/>
                <w:color w:val="auto"/>
                <w:w w:val="99"/>
              </w:rPr>
              <w:t>Change</w:t>
            </w:r>
          </w:p>
        </w:tc>
        <w:tc>
          <w:tcPr>
            <w:tcW w:w="4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FULL YEAR</w:t>
            </w:r>
          </w:p>
        </w:tc>
        <w:tc>
          <w:tcPr>
            <w:tcW w:w="740" w:type="dxa"/>
            <w:vAlign w:val="bottom"/>
            <w:tcBorders>
              <w:bottom w:val="single" w:sz="8" w:color="auto"/>
            </w:tcBorders>
          </w:tcPr>
          <w:p>
            <w:pPr>
              <w:spacing w:after="0"/>
              <w:rPr>
                <w:sz w:val="14"/>
                <w:szCs w:val="14"/>
                <w:color w:val="auto"/>
              </w:rPr>
            </w:pPr>
          </w:p>
        </w:tc>
      </w:tr>
      <w:tr>
        <w:trPr>
          <w:trHeight w:val="156"/>
        </w:trPr>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Jun 30,</w:t>
            </w:r>
          </w:p>
        </w:tc>
        <w:tc>
          <w:tcPr>
            <w:tcW w:w="8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Mar 31,</w:t>
            </w:r>
          </w:p>
        </w:tc>
        <w:tc>
          <w:tcPr>
            <w:tcW w:w="100" w:type="dxa"/>
            <w:vAlign w:val="bottom"/>
          </w:tcPr>
          <w:p>
            <w:pPr>
              <w:spacing w:after="0"/>
              <w:rPr>
                <w:sz w:val="13"/>
                <w:szCs w:val="13"/>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b w:val="1"/>
                <w:bCs w:val="1"/>
                <w:color w:val="auto"/>
                <w:w w:val="93"/>
              </w:rPr>
              <w:t>Dec 31,</w:t>
            </w:r>
          </w:p>
        </w:tc>
        <w:tc>
          <w:tcPr>
            <w:tcW w:w="2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Sep 30,</w:t>
            </w:r>
          </w:p>
        </w:tc>
        <w:tc>
          <w:tcPr>
            <w:tcW w:w="960" w:type="dxa"/>
            <w:vAlign w:val="bottom"/>
            <w:gridSpan w:val="3"/>
          </w:tcPr>
          <w:p>
            <w:pPr>
              <w:ind w:left="80"/>
              <w:spacing w:after="0"/>
              <w:rPr>
                <w:sz w:val="20"/>
                <w:szCs w:val="20"/>
                <w:color w:val="auto"/>
              </w:rPr>
            </w:pPr>
            <w:r>
              <w:rPr>
                <w:rFonts w:ascii="Arial" w:cs="Arial" w:eastAsia="Arial" w:hAnsi="Arial"/>
                <w:sz w:val="11"/>
                <w:szCs w:val="11"/>
                <w:b w:val="1"/>
                <w:bCs w:val="1"/>
                <w:color w:val="auto"/>
              </w:rPr>
              <w:t>Dec 31,</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 Change</w:t>
            </w:r>
          </w:p>
        </w:tc>
      </w:tr>
      <w:tr>
        <w:trPr>
          <w:trHeight w:val="155"/>
        </w:trPr>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2023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b w:val="1"/>
                <w:bCs w:val="1"/>
                <w:color w:val="auto"/>
              </w:rPr>
              <w:t>2023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2022</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b w:val="1"/>
                <w:bCs w:val="1"/>
                <w:color w:val="auto"/>
              </w:rPr>
              <w:t>2023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86"/>
              <w:spacing w:after="0"/>
              <w:rPr>
                <w:sz w:val="20"/>
                <w:szCs w:val="20"/>
                <w:color w:val="auto"/>
              </w:rPr>
            </w:pPr>
            <w:r>
              <w:rPr>
                <w:rFonts w:ascii="Arial" w:cs="Arial" w:eastAsia="Arial" w:hAnsi="Arial"/>
                <w:sz w:val="11"/>
                <w:szCs w:val="11"/>
                <w:b w:val="1"/>
                <w:bCs w:val="1"/>
                <w:color w:val="auto"/>
              </w:rPr>
              <w:t>2022</w:t>
            </w:r>
          </w:p>
        </w:tc>
        <w:tc>
          <w:tcPr>
            <w:tcW w:w="4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2023</w:t>
            </w:r>
          </w:p>
        </w:tc>
        <w:tc>
          <w:tcPr>
            <w:tcW w:w="2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3"/>
                <w:szCs w:val="13"/>
                <w:color w:val="auto"/>
              </w:rPr>
            </w:pPr>
          </w:p>
        </w:tc>
        <w:tc>
          <w:tcPr>
            <w:tcW w:w="7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2022</w:t>
            </w:r>
          </w:p>
        </w:tc>
      </w:tr>
      <w:tr>
        <w:trPr>
          <w:trHeight w:val="108"/>
        </w:trPr>
        <w:tc>
          <w:tcPr>
            <w:tcW w:w="2320" w:type="dxa"/>
            <w:vAlign w:val="bottom"/>
            <w:gridSpan w:val="5"/>
          </w:tcPr>
          <w:p>
            <w:pPr>
              <w:spacing w:after="0" w:line="108" w:lineRule="exact"/>
              <w:rPr>
                <w:sz w:val="20"/>
                <w:szCs w:val="20"/>
                <w:color w:val="auto"/>
              </w:rPr>
            </w:pPr>
            <w:r>
              <w:rPr>
                <w:rFonts w:ascii="Arial" w:cs="Arial" w:eastAsia="Arial" w:hAnsi="Arial"/>
                <w:sz w:val="11"/>
                <w:szCs w:val="11"/>
                <w:b w:val="1"/>
                <w:bCs w:val="1"/>
                <w:color w:val="auto"/>
              </w:rPr>
              <w:t>TANGIBLE COMMON EQUITY (period-end)</w:t>
            </w: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r>
      <w:tr>
        <w:trPr>
          <w:trHeight w:val="88"/>
        </w:trPr>
        <w:tc>
          <w:tcPr>
            <w:tcW w:w="1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w w:val="97"/>
              </w:rPr>
              <w:t>(a)</w:t>
            </w:r>
          </w:p>
        </w:tc>
        <w:tc>
          <w:tcPr>
            <w:tcW w:w="2040" w:type="dxa"/>
            <w:vAlign w:val="bottom"/>
            <w:tcBorders>
              <w:top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163"/>
        </w:trPr>
        <w:tc>
          <w:tcPr>
            <w:tcW w:w="2320" w:type="dxa"/>
            <w:vAlign w:val="bottom"/>
            <w:gridSpan w:val="5"/>
          </w:tcPr>
          <w:p>
            <w:pPr>
              <w:spacing w:after="0"/>
              <w:rPr>
                <w:sz w:val="20"/>
                <w:szCs w:val="20"/>
                <w:color w:val="auto"/>
              </w:rPr>
            </w:pPr>
            <w:r>
              <w:rPr>
                <w:rFonts w:ascii="Arial" w:cs="Arial" w:eastAsia="Arial" w:hAnsi="Arial"/>
                <w:sz w:val="11"/>
                <w:szCs w:val="11"/>
                <w:color w:val="auto"/>
              </w:rPr>
              <w:t>Common stockholders’ equity</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300,474</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289,967</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285,112</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275,678</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264,928</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13 %</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320" w:type="dxa"/>
            <w:vAlign w:val="bottom"/>
            <w:gridSpan w:val="5"/>
          </w:tcPr>
          <w:p>
            <w:pPr>
              <w:spacing w:after="0"/>
              <w:rPr>
                <w:sz w:val="20"/>
                <w:szCs w:val="20"/>
                <w:color w:val="auto"/>
              </w:rPr>
            </w:pPr>
            <w:r>
              <w:rPr>
                <w:rFonts w:ascii="Arial" w:cs="Arial" w:eastAsia="Arial" w:hAnsi="Arial"/>
                <w:sz w:val="11"/>
                <w:szCs w:val="11"/>
                <w:color w:val="auto"/>
              </w:rPr>
              <w:t>Less: Goodwill</w:t>
            </w: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52,634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52,492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52,380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52,144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51,662</w:t>
            </w:r>
          </w:p>
        </w:tc>
        <w:tc>
          <w:tcPr>
            <w:tcW w:w="22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2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320" w:type="dxa"/>
            <w:vAlign w:val="bottom"/>
            <w:gridSpan w:val="5"/>
          </w:tcPr>
          <w:p>
            <w:pPr>
              <w:spacing w:after="0"/>
              <w:rPr>
                <w:sz w:val="20"/>
                <w:szCs w:val="20"/>
                <w:color w:val="auto"/>
              </w:rPr>
            </w:pPr>
            <w:r>
              <w:rPr>
                <w:rFonts w:ascii="Arial" w:cs="Arial" w:eastAsia="Arial" w:hAnsi="Arial"/>
                <w:sz w:val="11"/>
                <w:szCs w:val="11"/>
                <w:color w:val="auto"/>
              </w:rPr>
              <w:t>Less: Other intangible assets</w:t>
            </w: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3,225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3,309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3,629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2,191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1,224</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06"/>
              <w:spacing w:after="0"/>
              <w:rPr>
                <w:sz w:val="20"/>
                <w:szCs w:val="20"/>
                <w:color w:val="auto"/>
              </w:rPr>
            </w:pPr>
            <w:r>
              <w:rPr>
                <w:rFonts w:ascii="Arial" w:cs="Arial" w:eastAsia="Arial" w:hAnsi="Arial"/>
                <w:sz w:val="11"/>
                <w:szCs w:val="11"/>
                <w:color w:val="auto"/>
              </w:rPr>
              <w:t>163</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2320" w:type="dxa"/>
            <w:vAlign w:val="bottom"/>
            <w:gridSpan w:val="5"/>
          </w:tcPr>
          <w:p>
            <w:pPr>
              <w:spacing w:after="0"/>
              <w:rPr>
                <w:sz w:val="20"/>
                <w:szCs w:val="20"/>
                <w:color w:val="auto"/>
              </w:rPr>
            </w:pPr>
            <w:r>
              <w:rPr>
                <w:rFonts w:ascii="Arial" w:cs="Arial" w:eastAsia="Arial" w:hAnsi="Arial"/>
                <w:sz w:val="11"/>
                <w:szCs w:val="11"/>
                <w:color w:val="auto"/>
              </w:rPr>
              <w:t>Add: Certain deferred tax liabilities (b)</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2,996</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3,025</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3,097</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2,754</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2,510</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69"/>
        </w:trPr>
        <w:tc>
          <w:tcPr>
            <w:tcW w:w="232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tangible common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247,611</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237,191</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232,200</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224,097</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214,552</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20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7"/>
              </w:rPr>
              <w:t>TANGIBLE COMMON EQUITY (average) (a)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3"/>
        </w:trPr>
        <w:tc>
          <w:tcPr>
            <w:tcW w:w="2320" w:type="dxa"/>
            <w:vAlign w:val="bottom"/>
            <w:gridSpan w:val="5"/>
          </w:tcPr>
          <w:p>
            <w:pPr>
              <w:spacing w:after="0"/>
              <w:rPr>
                <w:sz w:val="20"/>
                <w:szCs w:val="20"/>
                <w:color w:val="auto"/>
              </w:rPr>
            </w:pPr>
            <w:r>
              <w:rPr>
                <w:rFonts w:ascii="Arial" w:cs="Arial" w:eastAsia="Arial" w:hAnsi="Arial"/>
                <w:sz w:val="11"/>
                <w:szCs w:val="11"/>
                <w:color w:val="auto"/>
              </w:rPr>
              <w:t>Common stockholders’ equity</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294,062</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284,798</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277,885</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271,197</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258,770</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$ 282,056</w:t>
            </w:r>
          </w:p>
        </w:tc>
        <w:tc>
          <w:tcPr>
            <w:tcW w:w="2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$ 253,068</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11 %</w:t>
            </w:r>
          </w:p>
        </w:tc>
      </w:tr>
      <w:tr>
        <w:trPr>
          <w:trHeight w:val="162"/>
        </w:trPr>
        <w:tc>
          <w:tcPr>
            <w:tcW w:w="2320" w:type="dxa"/>
            <w:vAlign w:val="bottom"/>
            <w:gridSpan w:val="5"/>
          </w:tcPr>
          <w:p>
            <w:pPr>
              <w:spacing w:after="0"/>
              <w:rPr>
                <w:sz w:val="20"/>
                <w:szCs w:val="20"/>
                <w:color w:val="auto"/>
              </w:rPr>
            </w:pPr>
            <w:r>
              <w:rPr>
                <w:rFonts w:ascii="Arial" w:cs="Arial" w:eastAsia="Arial" w:hAnsi="Arial"/>
                <w:sz w:val="11"/>
                <w:szCs w:val="11"/>
                <w:color w:val="auto"/>
              </w:rPr>
              <w:t>Less: Goodwill</w:t>
            </w: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52,538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52,427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52,342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51,716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51,586</w:t>
            </w:r>
          </w:p>
        </w:tc>
        <w:tc>
          <w:tcPr>
            <w:tcW w:w="22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2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52,258</w:t>
            </w:r>
          </w:p>
        </w:tc>
        <w:tc>
          <w:tcPr>
            <w:tcW w:w="2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50,952</w:t>
            </w: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3</w:t>
            </w:r>
          </w:p>
        </w:tc>
      </w:tr>
      <w:tr>
        <w:trPr>
          <w:trHeight w:val="162"/>
        </w:trPr>
        <w:tc>
          <w:tcPr>
            <w:tcW w:w="2320" w:type="dxa"/>
            <w:vAlign w:val="bottom"/>
            <w:gridSpan w:val="5"/>
          </w:tcPr>
          <w:p>
            <w:pPr>
              <w:spacing w:after="0"/>
              <w:rPr>
                <w:sz w:val="20"/>
                <w:szCs w:val="20"/>
                <w:color w:val="auto"/>
              </w:rPr>
            </w:pPr>
            <w:r>
              <w:rPr>
                <w:rFonts w:ascii="Arial" w:cs="Arial" w:eastAsia="Arial" w:hAnsi="Arial"/>
                <w:sz w:val="11"/>
                <w:szCs w:val="11"/>
                <w:color w:val="auto"/>
              </w:rPr>
              <w:t>Less: Other intangible assets</w:t>
            </w: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3,254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3,511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2,191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1,296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1,217</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06"/>
              <w:spacing w:after="0"/>
              <w:rPr>
                <w:sz w:val="20"/>
                <w:szCs w:val="20"/>
                <w:color w:val="auto"/>
              </w:rPr>
            </w:pPr>
            <w:r>
              <w:rPr>
                <w:rFonts w:ascii="Arial" w:cs="Arial" w:eastAsia="Arial" w:hAnsi="Arial"/>
                <w:sz w:val="11"/>
                <w:szCs w:val="11"/>
                <w:color w:val="auto"/>
              </w:rPr>
              <w:t>167</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2,572</w:t>
            </w:r>
          </w:p>
        </w:tc>
        <w:tc>
          <w:tcPr>
            <w:tcW w:w="2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1,112</w:t>
            </w: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131</w:t>
            </w:r>
          </w:p>
        </w:tc>
      </w:tr>
      <w:tr>
        <w:trPr>
          <w:trHeight w:val="175"/>
        </w:trPr>
        <w:tc>
          <w:tcPr>
            <w:tcW w:w="2320" w:type="dxa"/>
            <w:vAlign w:val="bottom"/>
            <w:gridSpan w:val="5"/>
          </w:tcPr>
          <w:p>
            <w:pPr>
              <w:spacing w:after="0"/>
              <w:rPr>
                <w:sz w:val="20"/>
                <w:szCs w:val="20"/>
                <w:color w:val="auto"/>
              </w:rPr>
            </w:pPr>
            <w:r>
              <w:rPr>
                <w:rFonts w:ascii="Arial" w:cs="Arial" w:eastAsia="Arial" w:hAnsi="Arial"/>
                <w:sz w:val="11"/>
                <w:szCs w:val="11"/>
                <w:color w:val="auto"/>
              </w:rPr>
              <w:t>Add: Certain deferred tax liabilities (b)</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2,992</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3,080</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2,902</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2,549</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2,508</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42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2,883</w:t>
            </w:r>
          </w:p>
        </w:tc>
        <w:tc>
          <w:tcPr>
            <w:tcW w:w="220" w:type="dxa"/>
            <w:vAlign w:val="bottom"/>
          </w:tcPr>
          <w:p>
            <w:pPr>
              <w:spacing w:after="0"/>
              <w:rPr>
                <w:sz w:val="15"/>
                <w:szCs w:val="15"/>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2,505</w:t>
            </w:r>
          </w:p>
        </w:tc>
        <w:tc>
          <w:tcPr>
            <w:tcW w:w="220" w:type="dxa"/>
            <w:vAlign w:val="bottom"/>
          </w:tcPr>
          <w:p>
            <w:pPr>
              <w:spacing w:after="0"/>
              <w:rPr>
                <w:sz w:val="15"/>
                <w:szCs w:val="15"/>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15</w:t>
            </w:r>
          </w:p>
        </w:tc>
      </w:tr>
      <w:tr>
        <w:trPr>
          <w:trHeight w:val="169"/>
        </w:trPr>
        <w:tc>
          <w:tcPr>
            <w:tcW w:w="232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tangible common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241,262</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231,940</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226,254</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220,734</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208,475</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4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$ 230,109</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$ 203,509</w:t>
            </w: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13</w:t>
            </w:r>
          </w:p>
        </w:tc>
      </w:tr>
      <w:tr>
        <w:trPr>
          <w:trHeight w:val="162"/>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6"/>
              </w:rPr>
              <w:t>INTANGIBLE ASSETS (period-end)</w:t>
            </w:r>
          </w:p>
        </w:tc>
        <w:tc>
          <w:tcPr>
            <w:tcW w:w="54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3"/>
        </w:trPr>
        <w:tc>
          <w:tcPr>
            <w:tcW w:w="2320" w:type="dxa"/>
            <w:vAlign w:val="bottom"/>
            <w:gridSpan w:val="5"/>
          </w:tcPr>
          <w:p>
            <w:pPr>
              <w:spacing w:after="0"/>
              <w:rPr>
                <w:sz w:val="20"/>
                <w:szCs w:val="20"/>
                <w:color w:val="auto"/>
              </w:rPr>
            </w:pPr>
            <w:r>
              <w:rPr>
                <w:rFonts w:ascii="Arial" w:cs="Arial" w:eastAsia="Arial" w:hAnsi="Arial"/>
                <w:sz w:val="11"/>
                <w:szCs w:val="11"/>
                <w:color w:val="auto"/>
              </w:rPr>
              <w:t>Goodwill</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52,634</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52,492</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52,380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52,144</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51,662</w:t>
            </w:r>
          </w:p>
        </w:tc>
        <w:tc>
          <w:tcPr>
            <w:tcW w:w="22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2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320" w:type="dxa"/>
            <w:vAlign w:val="bottom"/>
            <w:gridSpan w:val="5"/>
          </w:tcPr>
          <w:p>
            <w:pPr>
              <w:spacing w:after="0"/>
              <w:rPr>
                <w:sz w:val="20"/>
                <w:szCs w:val="20"/>
                <w:color w:val="auto"/>
              </w:rPr>
            </w:pPr>
            <w:r>
              <w:rPr>
                <w:rFonts w:ascii="Arial" w:cs="Arial" w:eastAsia="Arial" w:hAnsi="Arial"/>
                <w:sz w:val="11"/>
                <w:szCs w:val="11"/>
                <w:color w:val="auto"/>
              </w:rPr>
              <w:t>Mortgage servicing rights</w:t>
            </w: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8,522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9,109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8,229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7,755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7,973</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5"/>
        </w:trPr>
        <w:tc>
          <w:tcPr>
            <w:tcW w:w="2320" w:type="dxa"/>
            <w:vAlign w:val="bottom"/>
            <w:gridSpan w:val="5"/>
          </w:tcPr>
          <w:p>
            <w:pPr>
              <w:spacing w:after="0"/>
              <w:rPr>
                <w:sz w:val="20"/>
                <w:szCs w:val="20"/>
                <w:color w:val="auto"/>
              </w:rPr>
            </w:pPr>
            <w:r>
              <w:rPr>
                <w:rFonts w:ascii="Arial" w:cs="Arial" w:eastAsia="Arial" w:hAnsi="Arial"/>
                <w:sz w:val="11"/>
                <w:szCs w:val="11"/>
                <w:color w:val="auto"/>
              </w:rPr>
              <w:t>Other intangible assets</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3,225</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3,309</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3,629</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2,191</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1,224</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106"/>
              <w:spacing w:after="0"/>
              <w:rPr>
                <w:sz w:val="20"/>
                <w:szCs w:val="20"/>
                <w:color w:val="auto"/>
              </w:rPr>
            </w:pPr>
            <w:r>
              <w:rPr>
                <w:rFonts w:ascii="Arial" w:cs="Arial" w:eastAsia="Arial" w:hAnsi="Arial"/>
                <w:sz w:val="11"/>
                <w:szCs w:val="11"/>
                <w:color w:val="auto"/>
              </w:rPr>
              <w:t>163</w:t>
            </w: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69"/>
        </w:trPr>
        <w:tc>
          <w:tcPr>
            <w:tcW w:w="232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intangible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64,381</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64,910</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64,238</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62,090</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60,859</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82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399"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Refer to page 29 for further discussion of TCE.</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Represents deferred tax liabilities related to tax-deductible goodwill and to identifiable intangibles created in nontaxable transactions, which are netted against goodwill and other intangibles when calculating TCE.</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10</w:t>
      </w:r>
    </w:p>
    <w:p>
      <w:pPr>
        <w:sectPr>
          <w:pgSz w:w="11900" w:h="16838" w:orient="portrait"/>
          <w:cols w:equalWidth="0" w:num="1">
            <w:col w:w="11240"/>
          </w:cols>
          <w:pgMar w:left="320" w:top="572"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EARNINGS PER SHARE AND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-78740</wp:posOffset>
            </wp:positionV>
            <wp:extent cx="237426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INFORMATION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per share and ratio</w:t>
      </w:r>
    </w:p>
    <w:p>
      <w:pPr>
        <w:ind w:left="20"/>
        <w:spacing w:after="0"/>
        <w:rPr>
          <w:sz w:val="20"/>
          <w:szCs w:val="20"/>
          <w:color w:val="auto"/>
        </w:rPr>
      </w:pPr>
      <w:r>
        <w:rPr>
          <w:rFonts w:ascii="Arial" w:cs="Arial" w:eastAsia="Arial" w:hAnsi="Arial"/>
          <w:sz w:val="11"/>
          <w:szCs w:val="11"/>
          <w:b w:val="1"/>
          <w:bCs w:val="1"/>
          <w:color w:val="auto"/>
        </w:rPr>
        <w:t>data)</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ind w:left="380"/>
              <w:spacing w:after="0"/>
              <w:rPr>
                <w:sz w:val="20"/>
                <w:szCs w:val="20"/>
                <w:color w:val="auto"/>
              </w:rPr>
            </w:pPr>
            <w:r>
              <w:rPr>
                <w:rFonts w:ascii="Arial" w:cs="Arial" w:eastAsia="Arial" w:hAnsi="Arial"/>
                <w:sz w:val="11"/>
                <w:szCs w:val="11"/>
                <w:b w:val="1"/>
                <w:bCs w:val="1"/>
                <w:color w:val="auto"/>
              </w:rPr>
              <w:t>QUARTERLY TRENDS</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FULL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1"/>
                <w:szCs w:val="11"/>
                <w:b w:val="1"/>
                <w:bCs w:val="1"/>
                <w:color w:val="auto"/>
              </w:rPr>
              <w:t>4Q23 Change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 Change</w:t>
            </w: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4Q23</w:t>
            </w:r>
          </w:p>
        </w:tc>
        <w:tc>
          <w:tcPr>
            <w:tcW w:w="12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3Q23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2Q23</w:t>
            </w:r>
          </w:p>
        </w:tc>
        <w:tc>
          <w:tcPr>
            <w:tcW w:w="12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1Q23</w:t>
            </w:r>
          </w:p>
        </w:tc>
        <w:tc>
          <w:tcPr>
            <w:tcW w:w="12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4Q22</w:t>
            </w:r>
          </w:p>
        </w:tc>
        <w:tc>
          <w:tcPr>
            <w:tcW w:w="20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3Q23</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4Q22</w:t>
            </w:r>
          </w:p>
        </w:tc>
        <w:tc>
          <w:tcPr>
            <w:tcW w:w="120" w:type="dxa"/>
            <w:vAlign w:val="bottom"/>
          </w:tcPr>
          <w:p>
            <w:pPr>
              <w:spacing w:after="0"/>
              <w:rPr>
                <w:sz w:val="13"/>
                <w:szCs w:val="13"/>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2022</w:t>
            </w:r>
          </w:p>
        </w:tc>
        <w:tc>
          <w:tcPr>
            <w:tcW w:w="92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8"/>
        </w:trPr>
        <w:tc>
          <w:tcPr>
            <w:tcW w:w="1240" w:type="dxa"/>
            <w:vAlign w:val="bottom"/>
            <w:tcBorders>
              <w:bottom w:val="single" w:sz="8" w:color="auto"/>
            </w:tcBorders>
            <w:gridSpan w:val="4"/>
          </w:tcPr>
          <w:p>
            <w:pPr>
              <w:spacing w:after="0" w:line="108" w:lineRule="exact"/>
              <w:rPr>
                <w:sz w:val="20"/>
                <w:szCs w:val="20"/>
                <w:color w:val="auto"/>
              </w:rPr>
            </w:pPr>
            <w:r>
              <w:rPr>
                <w:rFonts w:ascii="Arial" w:cs="Arial" w:eastAsia="Arial" w:hAnsi="Arial"/>
                <w:sz w:val="11"/>
                <w:szCs w:val="11"/>
                <w:b w:val="1"/>
                <w:bCs w:val="1"/>
                <w:color w:val="auto"/>
                <w:w w:val="97"/>
              </w:rPr>
              <w:t>EARNINGS PER SHARE</w:t>
            </w:r>
          </w:p>
        </w:tc>
        <w:tc>
          <w:tcPr>
            <w:tcW w:w="820" w:type="dxa"/>
            <w:vAlign w:val="bottom"/>
            <w:gridSpan w:val="2"/>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60" w:type="dxa"/>
            <w:vAlign w:val="bottom"/>
            <w:gridSpan w:val="6"/>
          </w:tcPr>
          <w:p>
            <w:pPr>
              <w:spacing w:after="0"/>
              <w:rPr>
                <w:sz w:val="20"/>
                <w:szCs w:val="20"/>
                <w:color w:val="auto"/>
              </w:rPr>
            </w:pPr>
            <w:r>
              <w:rPr>
                <w:rFonts w:ascii="Arial" w:cs="Arial" w:eastAsia="Arial" w:hAnsi="Arial"/>
                <w:sz w:val="11"/>
                <w:szCs w:val="11"/>
                <w:b w:val="1"/>
                <w:bCs w:val="1"/>
                <w:color w:val="auto"/>
              </w:rPr>
              <w:t>Basic earnings per share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60" w:type="dxa"/>
            <w:vAlign w:val="bottom"/>
            <w:gridSpan w:val="6"/>
          </w:tcPr>
          <w:p>
            <w:pPr>
              <w:ind w:left="120"/>
              <w:spacing w:after="0"/>
              <w:rPr>
                <w:sz w:val="20"/>
                <w:szCs w:val="20"/>
                <w:color w:val="auto"/>
              </w:rPr>
            </w:pPr>
            <w:r>
              <w:rPr>
                <w:rFonts w:ascii="Arial" w:cs="Arial" w:eastAsia="Arial" w:hAnsi="Arial"/>
                <w:sz w:val="11"/>
                <w:szCs w:val="11"/>
                <w:color w:val="auto"/>
              </w:rPr>
              <w:t>Net income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9,307</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13,151</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14,472</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12,622</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11,008</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(29)%</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49,552</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37,676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75"/>
        </w:trPr>
        <w:tc>
          <w:tcPr>
            <w:tcW w:w="2060" w:type="dxa"/>
            <w:vAlign w:val="bottom"/>
            <w:gridSpan w:val="6"/>
          </w:tcPr>
          <w:p>
            <w:pPr>
              <w:ind w:left="120"/>
              <w:spacing w:after="0"/>
              <w:rPr>
                <w:sz w:val="20"/>
                <w:szCs w:val="20"/>
                <w:color w:val="auto"/>
              </w:rPr>
            </w:pPr>
            <w:r>
              <w:rPr>
                <w:rFonts w:ascii="Arial" w:cs="Arial" w:eastAsia="Arial" w:hAnsi="Arial"/>
                <w:sz w:val="11"/>
                <w:szCs w:val="11"/>
                <w:color w:val="auto"/>
              </w:rPr>
              <w:t>Less: Preferred stock dividends</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386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386</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373</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356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356</w:t>
            </w:r>
          </w:p>
        </w:tc>
        <w:tc>
          <w:tcPr>
            <w:tcW w:w="200" w:type="dxa"/>
            <w:vAlign w:val="bottom"/>
          </w:tcPr>
          <w:p>
            <w:pPr>
              <w:spacing w:after="0"/>
              <w:rPr>
                <w:sz w:val="15"/>
                <w:szCs w:val="15"/>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1,501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1,595</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95"/>
        </w:trPr>
        <w:tc>
          <w:tcPr>
            <w:tcW w:w="2060" w:type="dxa"/>
            <w:vAlign w:val="bottom"/>
            <w:gridSpan w:val="6"/>
          </w:tcPr>
          <w:p>
            <w:pPr>
              <w:ind w:left="200"/>
              <w:spacing w:after="0" w:line="95" w:lineRule="exact"/>
              <w:rPr>
                <w:sz w:val="20"/>
                <w:szCs w:val="20"/>
                <w:color w:val="auto"/>
              </w:rPr>
            </w:pPr>
            <w:r>
              <w:rPr>
                <w:rFonts w:ascii="Arial" w:cs="Arial" w:eastAsia="Arial" w:hAnsi="Arial"/>
                <w:sz w:val="10"/>
                <w:szCs w:val="10"/>
                <w:b w:val="1"/>
                <w:bCs w:val="1"/>
                <w:color w:val="auto"/>
              </w:rPr>
              <w:t>Net income applicable to common</w:t>
            </w:r>
          </w:p>
        </w:tc>
        <w:tc>
          <w:tcPr>
            <w:tcW w:w="120" w:type="dxa"/>
            <w:vAlign w:val="bottom"/>
          </w:tcPr>
          <w:p>
            <w:pPr>
              <w:spacing w:after="0"/>
              <w:rPr>
                <w:sz w:val="8"/>
                <w:szCs w:val="8"/>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8,921</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12,765</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14,099</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12,266</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10,652</w:t>
            </w:r>
          </w:p>
        </w:tc>
        <w:tc>
          <w:tcPr>
            <w:tcW w:w="7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(30)</w:t>
            </w:r>
          </w:p>
        </w:tc>
        <w:tc>
          <w:tcPr>
            <w:tcW w:w="220" w:type="dxa"/>
            <w:vAlign w:val="bottom"/>
          </w:tcPr>
          <w:p>
            <w:pPr>
              <w:spacing w:after="0"/>
              <w:rPr>
                <w:sz w:val="8"/>
                <w:szCs w:val="8"/>
                <w:color w:val="auto"/>
              </w:rPr>
            </w:pPr>
          </w:p>
        </w:tc>
        <w:tc>
          <w:tcPr>
            <w:tcW w:w="520" w:type="dxa"/>
            <w:vAlign w:val="bottom"/>
            <w:vMerge w:val="restart"/>
          </w:tcPr>
          <w:p>
            <w:pPr>
              <w:jc w:val="right"/>
              <w:ind w:right="66"/>
              <w:spacing w:after="0"/>
              <w:rPr>
                <w:sz w:val="20"/>
                <w:szCs w:val="20"/>
                <w:color w:val="auto"/>
              </w:rPr>
            </w:pPr>
            <w:r>
              <w:rPr>
                <w:rFonts w:ascii="Arial" w:cs="Arial" w:eastAsia="Arial" w:hAnsi="Arial"/>
                <w:sz w:val="11"/>
                <w:szCs w:val="11"/>
                <w:color w:val="auto"/>
              </w:rPr>
              <w:t>(16)</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48,051</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36,081</w:t>
            </w:r>
          </w:p>
        </w:tc>
        <w:tc>
          <w:tcPr>
            <w:tcW w:w="9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48"/>
        </w:trPr>
        <w:tc>
          <w:tcPr>
            <w:tcW w:w="2060" w:type="dxa"/>
            <w:vAlign w:val="bottom"/>
            <w:gridSpan w:val="6"/>
          </w:tcPr>
          <w:p>
            <w:pPr>
              <w:ind w:left="200"/>
              <w:spacing w:after="0"/>
              <w:rPr>
                <w:sz w:val="20"/>
                <w:szCs w:val="20"/>
                <w:color w:val="auto"/>
              </w:rPr>
            </w:pPr>
            <w:r>
              <w:rPr>
                <w:rFonts w:ascii="Arial" w:cs="Arial" w:eastAsia="Arial" w:hAnsi="Arial"/>
                <w:sz w:val="11"/>
                <w:szCs w:val="11"/>
                <w:b w:val="1"/>
                <w:bCs w:val="1"/>
                <w:color w:val="auto"/>
              </w:rPr>
              <w:t>equity</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60" w:type="dxa"/>
            <w:vAlign w:val="bottom"/>
            <w:gridSpan w:val="6"/>
          </w:tcPr>
          <w:p>
            <w:pPr>
              <w:ind w:left="120"/>
              <w:spacing w:after="0" w:line="122" w:lineRule="exact"/>
              <w:rPr>
                <w:sz w:val="20"/>
                <w:szCs w:val="20"/>
                <w:color w:val="auto"/>
              </w:rPr>
            </w:pPr>
            <w:r>
              <w:rPr>
                <w:rFonts w:ascii="Arial" w:cs="Arial" w:eastAsia="Arial" w:hAnsi="Arial"/>
                <w:sz w:val="11"/>
                <w:szCs w:val="11"/>
                <w:color w:val="auto"/>
              </w:rPr>
              <w:t>Less: Dividends and undistributed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60" w:type="dxa"/>
            <w:vAlign w:val="bottom"/>
            <w:gridSpan w:val="6"/>
          </w:tcPr>
          <w:p>
            <w:pPr>
              <w:ind w:left="120"/>
              <w:spacing w:after="0"/>
              <w:rPr>
                <w:sz w:val="20"/>
                <w:szCs w:val="20"/>
                <w:color w:val="auto"/>
              </w:rPr>
            </w:pPr>
            <w:r>
              <w:rPr>
                <w:rFonts w:ascii="Arial" w:cs="Arial" w:eastAsia="Arial" w:hAnsi="Arial"/>
                <w:sz w:val="11"/>
                <w:szCs w:val="11"/>
                <w:color w:val="auto"/>
              </w:rPr>
              <w:t>earnings allocated to</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60" w:type="dxa"/>
            <w:vAlign w:val="bottom"/>
            <w:gridSpan w:val="6"/>
          </w:tcPr>
          <w:p>
            <w:pPr>
              <w:ind w:left="200"/>
              <w:spacing w:after="0"/>
              <w:rPr>
                <w:sz w:val="20"/>
                <w:szCs w:val="20"/>
                <w:color w:val="auto"/>
              </w:rPr>
            </w:pPr>
            <w:r>
              <w:rPr>
                <w:rFonts w:ascii="Arial" w:cs="Arial" w:eastAsia="Arial" w:hAnsi="Arial"/>
                <w:sz w:val="11"/>
                <w:szCs w:val="11"/>
                <w:color w:val="auto"/>
              </w:rPr>
              <w:t>participating securities</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88</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73</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54</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(36)</w:t>
            </w:r>
          </w:p>
        </w:tc>
        <w:tc>
          <w:tcPr>
            <w:tcW w:w="220" w:type="dxa"/>
            <w:vAlign w:val="bottom"/>
          </w:tcPr>
          <w:p>
            <w:pPr>
              <w:spacing w:after="0"/>
              <w:rPr>
                <w:sz w:val="15"/>
                <w:szCs w:val="15"/>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291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189</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95"/>
        </w:trPr>
        <w:tc>
          <w:tcPr>
            <w:tcW w:w="2060" w:type="dxa"/>
            <w:vAlign w:val="bottom"/>
            <w:gridSpan w:val="6"/>
          </w:tcPr>
          <w:p>
            <w:pPr>
              <w:ind w:left="200"/>
              <w:spacing w:after="0" w:line="95" w:lineRule="exact"/>
              <w:rPr>
                <w:sz w:val="20"/>
                <w:szCs w:val="20"/>
                <w:color w:val="auto"/>
              </w:rPr>
            </w:pPr>
            <w:r>
              <w:rPr>
                <w:rFonts w:ascii="Arial" w:cs="Arial" w:eastAsia="Arial" w:hAnsi="Arial"/>
                <w:sz w:val="10"/>
                <w:szCs w:val="10"/>
                <w:b w:val="1"/>
                <w:bCs w:val="1"/>
                <w:color w:val="auto"/>
              </w:rPr>
              <w:t>Net income applicable to common</w:t>
            </w: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8,870</w:t>
            </w:r>
          </w:p>
        </w:tc>
        <w:tc>
          <w:tcPr>
            <w:tcW w:w="2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12,685</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auto"/>
              </w:rPr>
              <w:t>$</w:t>
            </w: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14,011</w:t>
            </w:r>
          </w:p>
        </w:tc>
        <w:tc>
          <w:tcPr>
            <w:tcW w:w="2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12,193</w:t>
            </w:r>
          </w:p>
        </w:tc>
        <w:tc>
          <w:tcPr>
            <w:tcW w:w="2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10,598</w:t>
            </w:r>
          </w:p>
        </w:tc>
        <w:tc>
          <w:tcPr>
            <w:tcW w:w="7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(30)</w:t>
            </w:r>
          </w:p>
        </w:tc>
        <w:tc>
          <w:tcPr>
            <w:tcW w:w="220" w:type="dxa"/>
            <w:vAlign w:val="bottom"/>
          </w:tcPr>
          <w:p>
            <w:pPr>
              <w:spacing w:after="0"/>
              <w:rPr>
                <w:sz w:val="8"/>
                <w:szCs w:val="8"/>
                <w:color w:val="auto"/>
              </w:rPr>
            </w:pPr>
          </w:p>
        </w:tc>
        <w:tc>
          <w:tcPr>
            <w:tcW w:w="520" w:type="dxa"/>
            <w:vAlign w:val="bottom"/>
            <w:vMerge w:val="restart"/>
          </w:tcPr>
          <w:p>
            <w:pPr>
              <w:jc w:val="right"/>
              <w:ind w:right="66"/>
              <w:spacing w:after="0"/>
              <w:rPr>
                <w:sz w:val="20"/>
                <w:szCs w:val="20"/>
                <w:color w:val="auto"/>
              </w:rPr>
            </w:pPr>
            <w:r>
              <w:rPr>
                <w:rFonts w:ascii="Arial" w:cs="Arial" w:eastAsia="Arial" w:hAnsi="Arial"/>
                <w:sz w:val="11"/>
                <w:szCs w:val="11"/>
                <w:color w:val="auto"/>
              </w:rPr>
              <w:t>(16)</w:t>
            </w:r>
          </w:p>
        </w:tc>
        <w:tc>
          <w:tcPr>
            <w:tcW w:w="4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47,760</w:t>
            </w:r>
          </w:p>
        </w:tc>
        <w:tc>
          <w:tcPr>
            <w:tcW w:w="2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35,892</w:t>
            </w:r>
          </w:p>
        </w:tc>
        <w:tc>
          <w:tcPr>
            <w:tcW w:w="9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55"/>
        </w:trPr>
        <w:tc>
          <w:tcPr>
            <w:tcW w:w="2060" w:type="dxa"/>
            <w:vAlign w:val="bottom"/>
            <w:gridSpan w:val="6"/>
          </w:tcPr>
          <w:p>
            <w:pPr>
              <w:ind w:left="200"/>
              <w:spacing w:after="0"/>
              <w:rPr>
                <w:sz w:val="20"/>
                <w:szCs w:val="20"/>
                <w:color w:val="auto"/>
              </w:rPr>
            </w:pPr>
            <w:r>
              <w:rPr>
                <w:rFonts w:ascii="Arial" w:cs="Arial" w:eastAsia="Arial" w:hAnsi="Arial"/>
                <w:sz w:val="11"/>
                <w:szCs w:val="11"/>
                <w:b w:val="1"/>
                <w:bCs w:val="1"/>
                <w:color w:val="auto"/>
              </w:rPr>
              <w:t>stockholders</w:t>
            </w:r>
          </w:p>
        </w:tc>
        <w:tc>
          <w:tcPr>
            <w:tcW w:w="1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60" w:type="dxa"/>
            <w:vAlign w:val="bottom"/>
            <w:gridSpan w:val="6"/>
          </w:tcPr>
          <w:p>
            <w:pPr>
              <w:ind w:left="120"/>
              <w:spacing w:after="0"/>
              <w:rPr>
                <w:sz w:val="20"/>
                <w:szCs w:val="20"/>
                <w:color w:val="auto"/>
              </w:rPr>
            </w:pPr>
            <w:r>
              <w:rPr>
                <w:rFonts w:ascii="Arial" w:cs="Arial" w:eastAsia="Arial" w:hAnsi="Arial"/>
                <w:sz w:val="11"/>
                <w:szCs w:val="11"/>
                <w:color w:val="auto"/>
              </w:rPr>
              <w:t>Total weighted-average basic shares</w:t>
            </w: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2,914.4</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vMerge w:val="restart"/>
          </w:tcPr>
          <w:p>
            <w:pPr>
              <w:jc w:val="right"/>
              <w:ind w:right="106"/>
              <w:spacing w:after="0"/>
              <w:rPr>
                <w:sz w:val="20"/>
                <w:szCs w:val="20"/>
                <w:color w:val="auto"/>
              </w:rPr>
            </w:pPr>
            <w:r>
              <w:rPr>
                <w:rFonts w:ascii="Arial" w:cs="Arial" w:eastAsia="Arial" w:hAnsi="Arial"/>
                <w:sz w:val="11"/>
                <w:szCs w:val="11"/>
                <w:color w:val="auto"/>
              </w:rPr>
              <w:t>2,927.5</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2,943.8</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2,968.5</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vMerge w:val="restart"/>
          </w:tcPr>
          <w:p>
            <w:pPr>
              <w:jc w:val="right"/>
              <w:ind w:right="106"/>
              <w:spacing w:after="0"/>
              <w:rPr>
                <w:sz w:val="20"/>
                <w:szCs w:val="20"/>
                <w:color w:val="auto"/>
              </w:rPr>
            </w:pPr>
            <w:r>
              <w:rPr>
                <w:rFonts w:ascii="Arial" w:cs="Arial" w:eastAsia="Arial" w:hAnsi="Arial"/>
                <w:sz w:val="11"/>
                <w:szCs w:val="11"/>
                <w:color w:val="auto"/>
              </w:rPr>
              <w:t>2,962.9</w:t>
            </w:r>
          </w:p>
        </w:tc>
        <w:tc>
          <w:tcPr>
            <w:tcW w:w="200" w:type="dxa"/>
            <w:vAlign w:val="bottom"/>
          </w:tcPr>
          <w:p>
            <w:pPr>
              <w:spacing w:after="0"/>
              <w:rPr>
                <w:sz w:val="17"/>
                <w:szCs w:val="17"/>
                <w:color w:val="auto"/>
              </w:rPr>
            </w:pP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ind w:right="66"/>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vMerge w:val="restart"/>
          </w:tcPr>
          <w:p>
            <w:pPr>
              <w:jc w:val="right"/>
              <w:ind w:right="106"/>
              <w:spacing w:after="0"/>
              <w:rPr>
                <w:sz w:val="20"/>
                <w:szCs w:val="20"/>
                <w:color w:val="auto"/>
              </w:rPr>
            </w:pPr>
            <w:r>
              <w:rPr>
                <w:rFonts w:ascii="Arial" w:cs="Arial" w:eastAsia="Arial" w:hAnsi="Arial"/>
                <w:sz w:val="11"/>
                <w:szCs w:val="11"/>
                <w:color w:val="auto"/>
              </w:rPr>
              <w:t>2,938.6</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vMerge w:val="restart"/>
          </w:tcPr>
          <w:p>
            <w:pPr>
              <w:jc w:val="right"/>
              <w:ind w:right="106"/>
              <w:spacing w:after="0"/>
              <w:rPr>
                <w:sz w:val="20"/>
                <w:szCs w:val="20"/>
                <w:color w:val="auto"/>
              </w:rPr>
            </w:pPr>
            <w:r>
              <w:rPr>
                <w:rFonts w:ascii="Arial" w:cs="Arial" w:eastAsia="Arial" w:hAnsi="Arial"/>
                <w:sz w:val="11"/>
                <w:szCs w:val="11"/>
                <w:color w:val="auto"/>
              </w:rPr>
              <w:t>2,965.8</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5"/>
        </w:trPr>
        <w:tc>
          <w:tcPr>
            <w:tcW w:w="2060" w:type="dxa"/>
            <w:vAlign w:val="bottom"/>
            <w:gridSpan w:val="6"/>
          </w:tcPr>
          <w:p>
            <w:pPr>
              <w:ind w:left="120"/>
              <w:spacing w:after="0"/>
              <w:rPr>
                <w:sz w:val="20"/>
                <w:szCs w:val="20"/>
                <w:color w:val="auto"/>
              </w:rPr>
            </w:pPr>
            <w:r>
              <w:rPr>
                <w:rFonts w:ascii="Arial" w:cs="Arial" w:eastAsia="Arial" w:hAnsi="Arial"/>
                <w:sz w:val="11"/>
                <w:szCs w:val="11"/>
                <w:color w:val="auto"/>
              </w:rPr>
              <w:t>outstanding</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60" w:type="dxa"/>
            <w:vAlign w:val="bottom"/>
            <w:gridSpan w:val="6"/>
          </w:tcPr>
          <w:p>
            <w:pPr>
              <w:ind w:left="120"/>
              <w:spacing w:after="0"/>
              <w:rPr>
                <w:sz w:val="20"/>
                <w:szCs w:val="20"/>
                <w:color w:val="auto"/>
              </w:rPr>
            </w:pPr>
            <w:r>
              <w:rPr>
                <w:rFonts w:ascii="Arial" w:cs="Arial" w:eastAsia="Arial" w:hAnsi="Arial"/>
                <w:sz w:val="11"/>
                <w:szCs w:val="11"/>
                <w:b w:val="1"/>
                <w:bCs w:val="1"/>
                <w:color w:val="auto"/>
              </w:rPr>
              <w:t>Net income per share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3.04</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4.33</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4.76</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4.11</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3.58</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(30)</w:t>
            </w:r>
          </w:p>
        </w:tc>
        <w:tc>
          <w:tcPr>
            <w:tcW w:w="22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16.25</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12.10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297"/>
        </w:trPr>
        <w:tc>
          <w:tcPr>
            <w:tcW w:w="2060" w:type="dxa"/>
            <w:vAlign w:val="bottom"/>
            <w:gridSpan w:val="6"/>
          </w:tcPr>
          <w:p>
            <w:pPr>
              <w:spacing w:after="0"/>
              <w:rPr>
                <w:sz w:val="20"/>
                <w:szCs w:val="20"/>
                <w:color w:val="auto"/>
              </w:rPr>
            </w:pPr>
            <w:r>
              <w:rPr>
                <w:rFonts w:ascii="Arial" w:cs="Arial" w:eastAsia="Arial" w:hAnsi="Arial"/>
                <w:sz w:val="11"/>
                <w:szCs w:val="11"/>
                <w:b w:val="1"/>
                <w:bCs w:val="1"/>
                <w:color w:val="auto"/>
              </w:rPr>
              <w:t>Diluted earnings per share</w:t>
            </w: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60" w:type="dxa"/>
            <w:vAlign w:val="bottom"/>
            <w:gridSpan w:val="6"/>
          </w:tcPr>
          <w:p>
            <w:pPr>
              <w:ind w:left="120"/>
              <w:spacing w:after="0" w:line="122" w:lineRule="exact"/>
              <w:rPr>
                <w:sz w:val="20"/>
                <w:szCs w:val="20"/>
                <w:color w:val="auto"/>
              </w:rPr>
            </w:pPr>
            <w:r>
              <w:rPr>
                <w:rFonts w:ascii="Arial" w:cs="Arial" w:eastAsia="Arial" w:hAnsi="Arial"/>
                <w:sz w:val="11"/>
                <w:szCs w:val="11"/>
                <w:b w:val="1"/>
                <w:bCs w:val="1"/>
                <w:color w:val="auto"/>
              </w:rPr>
              <w:t>Net income applicable to common</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8,870</w:t>
            </w:r>
          </w:p>
        </w:tc>
        <w:tc>
          <w:tcPr>
            <w:tcW w:w="2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12,685</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14,011</w:t>
            </w:r>
          </w:p>
        </w:tc>
        <w:tc>
          <w:tcPr>
            <w:tcW w:w="2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12,193</w:t>
            </w:r>
          </w:p>
        </w:tc>
        <w:tc>
          <w:tcPr>
            <w:tcW w:w="2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10,598</w:t>
            </w:r>
          </w:p>
        </w:tc>
        <w:tc>
          <w:tcPr>
            <w:tcW w:w="7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(30)</w:t>
            </w:r>
          </w:p>
        </w:tc>
        <w:tc>
          <w:tcPr>
            <w:tcW w:w="220" w:type="dxa"/>
            <w:vAlign w:val="bottom"/>
          </w:tcPr>
          <w:p>
            <w:pPr>
              <w:spacing w:after="0"/>
              <w:rPr>
                <w:sz w:val="10"/>
                <w:szCs w:val="10"/>
                <w:color w:val="auto"/>
              </w:rPr>
            </w:pPr>
          </w:p>
        </w:tc>
        <w:tc>
          <w:tcPr>
            <w:tcW w:w="520" w:type="dxa"/>
            <w:vAlign w:val="bottom"/>
            <w:vMerge w:val="restart"/>
          </w:tcPr>
          <w:p>
            <w:pPr>
              <w:jc w:val="right"/>
              <w:ind w:right="66"/>
              <w:spacing w:after="0"/>
              <w:rPr>
                <w:sz w:val="20"/>
                <w:szCs w:val="20"/>
                <w:color w:val="auto"/>
              </w:rPr>
            </w:pPr>
            <w:r>
              <w:rPr>
                <w:rFonts w:ascii="Arial" w:cs="Arial" w:eastAsia="Arial" w:hAnsi="Arial"/>
                <w:sz w:val="11"/>
                <w:szCs w:val="11"/>
                <w:color w:val="auto"/>
              </w:rPr>
              <w:t>(16)</w:t>
            </w:r>
          </w:p>
        </w:tc>
        <w:tc>
          <w:tcPr>
            <w:tcW w:w="4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47,760</w:t>
            </w:r>
          </w:p>
        </w:tc>
        <w:tc>
          <w:tcPr>
            <w:tcW w:w="2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35,892</w:t>
            </w:r>
          </w:p>
        </w:tc>
        <w:tc>
          <w:tcPr>
            <w:tcW w:w="9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48"/>
        </w:trPr>
        <w:tc>
          <w:tcPr>
            <w:tcW w:w="2060" w:type="dxa"/>
            <w:vAlign w:val="bottom"/>
            <w:gridSpan w:val="6"/>
          </w:tcPr>
          <w:p>
            <w:pPr>
              <w:ind w:left="120"/>
              <w:spacing w:after="0"/>
              <w:rPr>
                <w:sz w:val="20"/>
                <w:szCs w:val="20"/>
                <w:color w:val="auto"/>
              </w:rPr>
            </w:pPr>
            <w:r>
              <w:rPr>
                <w:rFonts w:ascii="Arial" w:cs="Arial" w:eastAsia="Arial" w:hAnsi="Arial"/>
                <w:sz w:val="11"/>
                <w:szCs w:val="11"/>
                <w:b w:val="1"/>
                <w:bCs w:val="1"/>
                <w:color w:val="auto"/>
              </w:rPr>
              <w:t>stockholders</w:t>
            </w: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60" w:type="dxa"/>
            <w:vAlign w:val="bottom"/>
            <w:gridSpan w:val="6"/>
          </w:tcPr>
          <w:p>
            <w:pPr>
              <w:ind w:left="120"/>
              <w:spacing w:after="0" w:line="122" w:lineRule="exact"/>
              <w:rPr>
                <w:sz w:val="20"/>
                <w:szCs w:val="20"/>
                <w:color w:val="auto"/>
              </w:rPr>
            </w:pPr>
            <w:r>
              <w:rPr>
                <w:rFonts w:ascii="Arial" w:cs="Arial" w:eastAsia="Arial" w:hAnsi="Arial"/>
                <w:sz w:val="11"/>
                <w:szCs w:val="11"/>
                <w:color w:val="auto"/>
              </w:rPr>
              <w:t>Total weighted-average basic shares</w:t>
            </w:r>
          </w:p>
        </w:tc>
        <w:tc>
          <w:tcPr>
            <w:tcW w:w="120" w:type="dxa"/>
            <w:vAlign w:val="bottom"/>
          </w:tcPr>
          <w:p>
            <w:pPr>
              <w:spacing w:after="0"/>
              <w:rPr>
                <w:sz w:val="10"/>
                <w:szCs w:val="10"/>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2,914.4</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2,927.5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2,943.8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2,968.5</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2,962.9</w:t>
            </w:r>
          </w:p>
        </w:tc>
        <w:tc>
          <w:tcPr>
            <w:tcW w:w="200" w:type="dxa"/>
            <w:vAlign w:val="bottom"/>
          </w:tcPr>
          <w:p>
            <w:pPr>
              <w:spacing w:after="0"/>
              <w:rPr>
                <w:sz w:val="10"/>
                <w:szCs w:val="10"/>
                <w:color w:val="auto"/>
              </w:rPr>
            </w:pP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ind w:right="66"/>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2,938.6</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2,965.8</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2"/>
        </w:trPr>
        <w:tc>
          <w:tcPr>
            <w:tcW w:w="2060" w:type="dxa"/>
            <w:vAlign w:val="bottom"/>
            <w:gridSpan w:val="6"/>
          </w:tcPr>
          <w:p>
            <w:pPr>
              <w:ind w:left="120"/>
              <w:spacing w:after="0"/>
              <w:rPr>
                <w:sz w:val="20"/>
                <w:szCs w:val="20"/>
                <w:color w:val="auto"/>
              </w:rPr>
            </w:pPr>
            <w:r>
              <w:rPr>
                <w:rFonts w:ascii="Arial" w:cs="Arial" w:eastAsia="Arial" w:hAnsi="Arial"/>
                <w:sz w:val="11"/>
                <w:szCs w:val="11"/>
                <w:color w:val="auto"/>
              </w:rPr>
              <w:t>outstanding</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60" w:type="dxa"/>
            <w:vAlign w:val="bottom"/>
            <w:gridSpan w:val="6"/>
          </w:tcPr>
          <w:p>
            <w:pPr>
              <w:ind w:left="120"/>
              <w:spacing w:after="0"/>
              <w:rPr>
                <w:sz w:val="20"/>
                <w:szCs w:val="20"/>
                <w:color w:val="auto"/>
              </w:rPr>
            </w:pPr>
            <w:r>
              <w:rPr>
                <w:rFonts w:ascii="Arial" w:cs="Arial" w:eastAsia="Arial" w:hAnsi="Arial"/>
                <w:sz w:val="11"/>
                <w:szCs w:val="11"/>
                <w:color w:val="auto"/>
              </w:rPr>
              <w:t>Add: Dilutive impact of unvested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60" w:type="dxa"/>
            <w:vAlign w:val="bottom"/>
            <w:gridSpan w:val="6"/>
          </w:tcPr>
          <w:p>
            <w:pPr>
              <w:ind w:left="120"/>
              <w:spacing w:after="0" w:line="108" w:lineRule="exact"/>
              <w:rPr>
                <w:sz w:val="20"/>
                <w:szCs w:val="20"/>
                <w:color w:val="auto"/>
              </w:rPr>
            </w:pPr>
            <w:r>
              <w:rPr>
                <w:rFonts w:ascii="Arial" w:cs="Arial" w:eastAsia="Arial" w:hAnsi="Arial"/>
                <w:sz w:val="11"/>
                <w:szCs w:val="11"/>
                <w:color w:val="auto"/>
              </w:rPr>
              <w:t>performance share units</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gridSpan w:val="6"/>
          </w:tcPr>
          <w:p>
            <w:pPr>
              <w:ind w:left="240"/>
              <w:spacing w:after="0" w:line="108" w:lineRule="exact"/>
              <w:rPr>
                <w:sz w:val="20"/>
                <w:szCs w:val="20"/>
                <w:color w:val="auto"/>
              </w:rPr>
            </w:pPr>
            <w:r>
              <w:rPr>
                <w:rFonts w:ascii="Arial" w:cs="Arial" w:eastAsia="Arial" w:hAnsi="Arial"/>
                <w:sz w:val="11"/>
                <w:szCs w:val="11"/>
                <w:color w:val="auto"/>
              </w:rPr>
              <w:t>(“PSUs”), nondividend-earning</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gridSpan w:val="6"/>
          </w:tcPr>
          <w:p>
            <w:pPr>
              <w:ind w:left="120"/>
              <w:spacing w:after="0" w:line="108" w:lineRule="exact"/>
              <w:rPr>
                <w:sz w:val="20"/>
                <w:szCs w:val="20"/>
                <w:color w:val="auto"/>
              </w:rPr>
            </w:pPr>
            <w:r>
              <w:rPr>
                <w:rFonts w:ascii="Arial" w:cs="Arial" w:eastAsia="Arial" w:hAnsi="Arial"/>
                <w:sz w:val="11"/>
                <w:szCs w:val="11"/>
                <w:color w:val="auto"/>
              </w:rPr>
              <w:t>restricted stock units</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gridSpan w:val="6"/>
          </w:tcPr>
          <w:p>
            <w:pPr>
              <w:ind w:left="240"/>
              <w:spacing w:after="0" w:line="108" w:lineRule="exact"/>
              <w:rPr>
                <w:sz w:val="20"/>
                <w:szCs w:val="20"/>
                <w:color w:val="auto"/>
              </w:rPr>
            </w:pPr>
            <w:r>
              <w:rPr>
                <w:rFonts w:ascii="Arial" w:cs="Arial" w:eastAsia="Arial" w:hAnsi="Arial"/>
                <w:sz w:val="11"/>
                <w:szCs w:val="11"/>
                <w:color w:val="auto"/>
              </w:rPr>
              <w:t>(“RSUs”) and stock appreciation</w:t>
            </w:r>
          </w:p>
        </w:tc>
        <w:tc>
          <w:tcPr>
            <w:tcW w:w="120" w:type="dxa"/>
            <w:vAlign w:val="bottom"/>
          </w:tcPr>
          <w:p>
            <w:pPr>
              <w:spacing w:after="0"/>
              <w:rPr>
                <w:sz w:val="9"/>
                <w:szCs w:val="9"/>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4.7</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4.6</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4.5</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4.2</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4.2</w:t>
            </w:r>
          </w:p>
        </w:tc>
        <w:tc>
          <w:tcPr>
            <w:tcW w:w="7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9"/>
                <w:szCs w:val="9"/>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12</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4.5</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4.2</w:t>
            </w:r>
          </w:p>
        </w:tc>
        <w:tc>
          <w:tcPr>
            <w:tcW w:w="9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5"/>
        </w:trPr>
        <w:tc>
          <w:tcPr>
            <w:tcW w:w="2060" w:type="dxa"/>
            <w:vAlign w:val="bottom"/>
            <w:gridSpan w:val="6"/>
          </w:tcPr>
          <w:p>
            <w:pPr>
              <w:ind w:left="120"/>
              <w:spacing w:after="0"/>
              <w:rPr>
                <w:sz w:val="20"/>
                <w:szCs w:val="20"/>
                <w:color w:val="auto"/>
              </w:rPr>
            </w:pPr>
            <w:r>
              <w:rPr>
                <w:rFonts w:ascii="Arial" w:cs="Arial" w:eastAsia="Arial" w:hAnsi="Arial"/>
                <w:sz w:val="11"/>
                <w:szCs w:val="11"/>
                <w:color w:val="auto"/>
              </w:rPr>
              <w:t>rights (“SARs”)</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60" w:type="dxa"/>
            <w:vAlign w:val="bottom"/>
            <w:gridSpan w:val="6"/>
          </w:tcPr>
          <w:p>
            <w:pPr>
              <w:ind w:left="200"/>
              <w:spacing w:after="0" w:line="95" w:lineRule="exact"/>
              <w:rPr>
                <w:sz w:val="20"/>
                <w:szCs w:val="20"/>
                <w:color w:val="auto"/>
              </w:rPr>
            </w:pPr>
            <w:r>
              <w:rPr>
                <w:rFonts w:ascii="Arial" w:cs="Arial" w:eastAsia="Arial" w:hAnsi="Arial"/>
                <w:sz w:val="10"/>
                <w:szCs w:val="10"/>
                <w:b w:val="1"/>
                <w:bCs w:val="1"/>
                <w:color w:val="auto"/>
              </w:rPr>
              <w:t>Total weighted-average diluted</w:t>
            </w:r>
          </w:p>
        </w:tc>
        <w:tc>
          <w:tcPr>
            <w:tcW w:w="120" w:type="dxa"/>
            <w:vAlign w:val="bottom"/>
          </w:tcPr>
          <w:p>
            <w:pPr>
              <w:spacing w:after="0"/>
              <w:rPr>
                <w:sz w:val="8"/>
                <w:szCs w:val="8"/>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2,919.1</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2,932.1</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2,948.3</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2,972.7</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2,967.1</w:t>
            </w:r>
          </w:p>
        </w:tc>
        <w:tc>
          <w:tcPr>
            <w:tcW w:w="200" w:type="dxa"/>
            <w:vAlign w:val="bottom"/>
          </w:tcPr>
          <w:p>
            <w:pPr>
              <w:spacing w:after="0"/>
              <w:rPr>
                <w:sz w:val="8"/>
                <w:szCs w:val="8"/>
                <w:color w:val="auto"/>
              </w:rPr>
            </w:pP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ind w:right="66"/>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2,943.1</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2,970.0</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5"/>
        </w:trPr>
        <w:tc>
          <w:tcPr>
            <w:tcW w:w="2060" w:type="dxa"/>
            <w:vAlign w:val="bottom"/>
            <w:gridSpan w:val="6"/>
          </w:tcPr>
          <w:p>
            <w:pPr>
              <w:ind w:left="200"/>
              <w:spacing w:after="0"/>
              <w:rPr>
                <w:sz w:val="20"/>
                <w:szCs w:val="20"/>
                <w:color w:val="auto"/>
              </w:rPr>
            </w:pPr>
            <w:r>
              <w:rPr>
                <w:rFonts w:ascii="Arial" w:cs="Arial" w:eastAsia="Arial" w:hAnsi="Arial"/>
                <w:sz w:val="11"/>
                <w:szCs w:val="11"/>
                <w:b w:val="1"/>
                <w:bCs w:val="1"/>
                <w:color w:val="auto"/>
              </w:rPr>
              <w:t>shares outstanding</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60" w:type="dxa"/>
            <w:vAlign w:val="bottom"/>
            <w:gridSpan w:val="6"/>
          </w:tcPr>
          <w:p>
            <w:pPr>
              <w:ind w:left="200"/>
              <w:spacing w:after="0"/>
              <w:rPr>
                <w:sz w:val="20"/>
                <w:szCs w:val="20"/>
                <w:color w:val="auto"/>
              </w:rPr>
            </w:pPr>
            <w:r>
              <w:rPr>
                <w:rFonts w:ascii="Arial" w:cs="Arial" w:eastAsia="Arial" w:hAnsi="Arial"/>
                <w:sz w:val="11"/>
                <w:szCs w:val="11"/>
                <w:b w:val="1"/>
                <w:bCs w:val="1"/>
                <w:color w:val="auto"/>
              </w:rPr>
              <w:t>Net income per share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3.04</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4.33</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4.75</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4.10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3.57</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(30)</w:t>
            </w:r>
          </w:p>
        </w:tc>
        <w:tc>
          <w:tcPr>
            <w:tcW w:w="22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16.23</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12.09</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270"/>
        </w:trPr>
        <w:tc>
          <w:tcPr>
            <w:tcW w:w="2060" w:type="dxa"/>
            <w:vAlign w:val="bottom"/>
            <w:gridSpan w:val="6"/>
          </w:tcPr>
          <w:p>
            <w:pPr>
              <w:spacing w:after="0"/>
              <w:rPr>
                <w:sz w:val="20"/>
                <w:szCs w:val="20"/>
                <w:color w:val="auto"/>
              </w:rPr>
            </w:pPr>
            <w:r>
              <w:rPr>
                <w:rFonts w:ascii="Arial" w:cs="Arial" w:eastAsia="Arial" w:hAnsi="Arial"/>
                <w:sz w:val="11"/>
                <w:szCs w:val="11"/>
                <w:b w:val="1"/>
                <w:bCs w:val="1"/>
                <w:color w:val="auto"/>
              </w:rPr>
              <w:t>COMMON DIVIDENDS</w:t>
            </w:r>
          </w:p>
        </w:tc>
        <w:tc>
          <w:tcPr>
            <w:tcW w:w="1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60" w:type="dxa"/>
            <w:vAlign w:val="bottom"/>
            <w:gridSpan w:val="6"/>
          </w:tcPr>
          <w:p>
            <w:pPr>
              <w:spacing w:after="0"/>
              <w:rPr>
                <w:sz w:val="20"/>
                <w:szCs w:val="20"/>
                <w:color w:val="auto"/>
              </w:rPr>
            </w:pPr>
            <w:r>
              <w:rPr>
                <w:rFonts w:ascii="Arial" w:cs="Arial" w:eastAsia="Arial" w:hAnsi="Arial"/>
                <w:sz w:val="11"/>
                <w:szCs w:val="11"/>
                <w:color w:val="auto"/>
              </w:rPr>
              <w:t>Cash dividends declared per share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1.05</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1.05</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(c)  $</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4.10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4.00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060" w:type="dxa"/>
            <w:vAlign w:val="bottom"/>
            <w:gridSpan w:val="6"/>
          </w:tcPr>
          <w:p>
            <w:pPr>
              <w:spacing w:after="0"/>
              <w:rPr>
                <w:sz w:val="20"/>
                <w:szCs w:val="20"/>
                <w:color w:val="auto"/>
              </w:rPr>
            </w:pPr>
            <w:r>
              <w:rPr>
                <w:rFonts w:ascii="Arial" w:cs="Arial" w:eastAsia="Arial" w:hAnsi="Arial"/>
                <w:sz w:val="11"/>
                <w:szCs w:val="11"/>
                <w:color w:val="auto"/>
              </w:rPr>
              <w:t>Dividend payout ratio</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24 %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24 %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28 %</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33 %</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60" w:type="dxa"/>
            <w:vAlign w:val="bottom"/>
            <w:gridSpan w:val="6"/>
          </w:tcPr>
          <w:p>
            <w:pPr>
              <w:spacing w:after="0"/>
              <w:rPr>
                <w:sz w:val="20"/>
                <w:szCs w:val="20"/>
                <w:color w:val="auto"/>
              </w:rPr>
            </w:pPr>
            <w:r>
              <w:rPr>
                <w:rFonts w:ascii="Arial" w:cs="Arial" w:eastAsia="Arial" w:hAnsi="Arial"/>
                <w:sz w:val="11"/>
                <w:szCs w:val="11"/>
                <w:b w:val="1"/>
                <w:bCs w:val="1"/>
                <w:color w:val="auto"/>
              </w:rPr>
              <w:t>COMMON SHARE REPURCHASE</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7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PROGRAM (a)</w:t>
            </w:r>
          </w:p>
        </w:tc>
        <w:tc>
          <w:tcPr>
            <w:tcW w:w="960" w:type="dxa"/>
            <w:vAlign w:val="bottom"/>
            <w:tcBorders>
              <w:top w:val="single" w:sz="8" w:color="auto"/>
            </w:tcBorders>
            <w:gridSpan w:val="4"/>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60" w:type="dxa"/>
            <w:vAlign w:val="bottom"/>
            <w:gridSpan w:val="6"/>
          </w:tcPr>
          <w:p>
            <w:pPr>
              <w:spacing w:after="0"/>
              <w:rPr>
                <w:sz w:val="20"/>
                <w:szCs w:val="20"/>
                <w:color w:val="auto"/>
              </w:rPr>
            </w:pPr>
            <w:r>
              <w:rPr>
                <w:rFonts w:ascii="Arial" w:cs="Arial" w:eastAsia="Arial" w:hAnsi="Arial"/>
                <w:sz w:val="11"/>
                <w:szCs w:val="11"/>
                <w:color w:val="auto"/>
              </w:rPr>
              <w:t>Total shares of common stock</w:t>
            </w:r>
          </w:p>
        </w:tc>
        <w:tc>
          <w:tcPr>
            <w:tcW w:w="12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15.2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15.6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16.7</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22.0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1"/>
                <w:szCs w:val="11"/>
                <w:color w:val="auto"/>
              </w:rPr>
            </w:pPr>
          </w:p>
        </w:tc>
        <w:tc>
          <w:tcPr>
            <w:tcW w:w="920" w:type="dxa"/>
            <w:vAlign w:val="bottom"/>
            <w:gridSpan w:val="2"/>
            <w:vMerge w:val="restart"/>
          </w:tcPr>
          <w:p>
            <w:pPr>
              <w:ind w:left="34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69.5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23.1</w:t>
            </w:r>
          </w:p>
        </w:tc>
        <w:tc>
          <w:tcPr>
            <w:tcW w:w="9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201</w:t>
            </w:r>
          </w:p>
        </w:tc>
        <w:tc>
          <w:tcPr>
            <w:tcW w:w="0" w:type="dxa"/>
            <w:vAlign w:val="bottom"/>
          </w:tcPr>
          <w:p>
            <w:pPr>
              <w:spacing w:after="0"/>
              <w:rPr>
                <w:sz w:val="1"/>
                <w:szCs w:val="1"/>
                <w:color w:val="auto"/>
              </w:rPr>
            </w:pPr>
          </w:p>
        </w:tc>
      </w:tr>
      <w:tr>
        <w:trPr>
          <w:trHeight w:val="142"/>
        </w:trPr>
        <w:tc>
          <w:tcPr>
            <w:tcW w:w="2060" w:type="dxa"/>
            <w:vAlign w:val="bottom"/>
            <w:gridSpan w:val="6"/>
          </w:tcPr>
          <w:p>
            <w:pPr>
              <w:spacing w:after="0"/>
              <w:rPr>
                <w:sz w:val="20"/>
                <w:szCs w:val="20"/>
                <w:color w:val="auto"/>
              </w:rPr>
            </w:pPr>
            <w:r>
              <w:rPr>
                <w:rFonts w:ascii="Arial" w:cs="Arial" w:eastAsia="Arial" w:hAnsi="Arial"/>
                <w:sz w:val="11"/>
                <w:szCs w:val="11"/>
                <w:color w:val="auto"/>
              </w:rPr>
              <w:t>repurchased</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60" w:type="dxa"/>
            <w:vAlign w:val="bottom"/>
            <w:gridSpan w:val="6"/>
          </w:tcPr>
          <w:p>
            <w:pPr>
              <w:spacing w:after="0"/>
              <w:rPr>
                <w:sz w:val="20"/>
                <w:szCs w:val="20"/>
                <w:color w:val="auto"/>
              </w:rPr>
            </w:pPr>
            <w:r>
              <w:rPr>
                <w:rFonts w:ascii="Arial" w:cs="Arial" w:eastAsia="Arial" w:hAnsi="Arial"/>
                <w:sz w:val="11"/>
                <w:szCs w:val="11"/>
                <w:color w:val="auto"/>
              </w:rPr>
              <w:t>Average price paid per share of common</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151.02</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151.46</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137.20</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133.67</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auto"/>
              </w:rPr>
              <w:t>—</w:t>
            </w:r>
          </w:p>
        </w:tc>
        <w:tc>
          <w:tcPr>
            <w:tcW w:w="920" w:type="dxa"/>
            <w:vAlign w:val="bottom"/>
            <w:gridSpan w:val="2"/>
            <w:vMerge w:val="restart"/>
          </w:tcPr>
          <w:p>
            <w:pPr>
              <w:ind w:left="340"/>
              <w:spacing w:after="0"/>
              <w:rPr>
                <w:sz w:val="20"/>
                <w:szCs w:val="20"/>
                <w:color w:val="auto"/>
              </w:rPr>
            </w:pPr>
            <w:r>
              <w:rPr>
                <w:rFonts w:ascii="Arial" w:cs="Arial" w:eastAsia="Arial" w:hAnsi="Arial"/>
                <w:sz w:val="11"/>
                <w:szCs w:val="11"/>
                <w:color w:val="auto"/>
              </w:rPr>
              <w:t>NM</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142.31</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135.20</w:t>
            </w:r>
          </w:p>
        </w:tc>
        <w:tc>
          <w:tcPr>
            <w:tcW w:w="9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2"/>
        </w:trPr>
        <w:tc>
          <w:tcPr>
            <w:tcW w:w="2060" w:type="dxa"/>
            <w:vAlign w:val="bottom"/>
            <w:gridSpan w:val="6"/>
          </w:tcPr>
          <w:p>
            <w:pPr>
              <w:spacing w:after="0"/>
              <w:rPr>
                <w:sz w:val="20"/>
                <w:szCs w:val="20"/>
                <w:color w:val="auto"/>
              </w:rPr>
            </w:pPr>
            <w:r>
              <w:rPr>
                <w:rFonts w:ascii="Arial" w:cs="Arial" w:eastAsia="Arial" w:hAnsi="Arial"/>
                <w:sz w:val="11"/>
                <w:szCs w:val="11"/>
                <w:color w:val="auto"/>
              </w:rPr>
              <w:t>stock</w:t>
            </w: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gridSpan w:val="6"/>
          </w:tcPr>
          <w:p>
            <w:pPr>
              <w:spacing w:after="0"/>
              <w:rPr>
                <w:sz w:val="20"/>
                <w:szCs w:val="20"/>
                <w:color w:val="auto"/>
              </w:rPr>
            </w:pPr>
            <w:r>
              <w:rPr>
                <w:rFonts w:ascii="Arial" w:cs="Arial" w:eastAsia="Arial" w:hAnsi="Arial"/>
                <w:sz w:val="11"/>
                <w:szCs w:val="11"/>
                <w:color w:val="auto"/>
              </w:rPr>
              <w:t>Aggregate repurchases of common stock</w:t>
            </w: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2,301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2,364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2,293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2,940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920" w:type="dxa"/>
            <w:vAlign w:val="bottom"/>
            <w:gridSpan w:val="2"/>
          </w:tcPr>
          <w:p>
            <w:pPr>
              <w:ind w:left="34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9,898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3,122</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217</w:t>
            </w:r>
          </w:p>
        </w:tc>
        <w:tc>
          <w:tcPr>
            <w:tcW w:w="0" w:type="dxa"/>
            <w:vAlign w:val="bottom"/>
          </w:tcPr>
          <w:p>
            <w:pPr>
              <w:spacing w:after="0"/>
              <w:rPr>
                <w:sz w:val="1"/>
                <w:szCs w:val="1"/>
                <w:color w:val="auto"/>
              </w:rPr>
            </w:pPr>
          </w:p>
        </w:tc>
      </w:tr>
      <w:tr>
        <w:trPr>
          <w:trHeight w:val="303"/>
        </w:trPr>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EMPLOYEE ISSUANCE</w:t>
            </w:r>
          </w:p>
        </w:tc>
        <w:tc>
          <w:tcPr>
            <w:tcW w:w="8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60" w:type="dxa"/>
            <w:vAlign w:val="bottom"/>
            <w:gridSpan w:val="6"/>
          </w:tcPr>
          <w:p>
            <w:pPr>
              <w:spacing w:after="0"/>
              <w:rPr>
                <w:sz w:val="20"/>
                <w:szCs w:val="20"/>
                <w:color w:val="auto"/>
              </w:rPr>
            </w:pPr>
            <w:r>
              <w:rPr>
                <w:rFonts w:ascii="Arial" w:cs="Arial" w:eastAsia="Arial" w:hAnsi="Arial"/>
                <w:sz w:val="11"/>
                <w:szCs w:val="11"/>
                <w:color w:val="auto"/>
              </w:rPr>
              <w:t>Shares issued from treasury stock related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60" w:type="dxa"/>
            <w:vAlign w:val="bottom"/>
            <w:gridSpan w:val="6"/>
          </w:tcPr>
          <w:p>
            <w:pPr>
              <w:spacing w:after="0"/>
              <w:rPr>
                <w:sz w:val="20"/>
                <w:szCs w:val="20"/>
                <w:color w:val="auto"/>
              </w:rPr>
            </w:pPr>
            <w:r>
              <w:rPr>
                <w:rFonts w:ascii="Arial" w:cs="Arial" w:eastAsia="Arial" w:hAnsi="Arial"/>
                <w:sz w:val="11"/>
                <w:szCs w:val="11"/>
                <w:color w:val="auto"/>
              </w:rPr>
              <w:t>to employee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60" w:type="dxa"/>
            <w:vAlign w:val="bottom"/>
            <w:gridSpan w:val="6"/>
          </w:tcPr>
          <w:p>
            <w:pPr>
              <w:ind w:left="120"/>
              <w:spacing w:after="0"/>
              <w:rPr>
                <w:sz w:val="20"/>
                <w:szCs w:val="20"/>
                <w:color w:val="auto"/>
              </w:rPr>
            </w:pPr>
            <w:r>
              <w:rPr>
                <w:rFonts w:ascii="Arial" w:cs="Arial" w:eastAsia="Arial" w:hAnsi="Arial"/>
                <w:sz w:val="11"/>
                <w:szCs w:val="11"/>
                <w:color w:val="auto"/>
              </w:rPr>
              <w:t>stock-based compensation awards and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60" w:type="dxa"/>
            <w:vAlign w:val="bottom"/>
            <w:gridSpan w:val="6"/>
          </w:tcPr>
          <w:p>
            <w:pPr>
              <w:ind w:left="120"/>
              <w:spacing w:after="0"/>
              <w:rPr>
                <w:sz w:val="20"/>
                <w:szCs w:val="20"/>
                <w:color w:val="auto"/>
              </w:rPr>
            </w:pPr>
            <w:r>
              <w:rPr>
                <w:rFonts w:ascii="Arial" w:cs="Arial" w:eastAsia="Arial" w:hAnsi="Arial"/>
                <w:sz w:val="11"/>
                <w:szCs w:val="11"/>
                <w:color w:val="auto"/>
              </w:rPr>
              <w:t>employee stock</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gridSpan w:val="6"/>
          </w:tcPr>
          <w:p>
            <w:pPr>
              <w:ind w:left="120"/>
              <w:spacing w:after="0"/>
              <w:rPr>
                <w:sz w:val="20"/>
                <w:szCs w:val="20"/>
                <w:color w:val="auto"/>
              </w:rPr>
            </w:pPr>
            <w:r>
              <w:rPr>
                <w:rFonts w:ascii="Arial" w:cs="Arial" w:eastAsia="Arial" w:hAnsi="Arial"/>
                <w:sz w:val="11"/>
                <w:szCs w:val="11"/>
                <w:color w:val="auto"/>
              </w:rPr>
              <w:t>purchase plans</w:t>
            </w: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0.8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0.6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0.5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33</w:t>
            </w:r>
          </w:p>
        </w:tc>
        <w:tc>
          <w:tcPr>
            <w:tcW w:w="22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13.3</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28"/>
        </w:trPr>
        <w:tc>
          <w:tcPr>
            <w:tcW w:w="2060" w:type="dxa"/>
            <w:vAlign w:val="bottom"/>
            <w:gridSpan w:val="6"/>
          </w:tcPr>
          <w:p>
            <w:pPr>
              <w:spacing w:after="0"/>
              <w:rPr>
                <w:sz w:val="20"/>
                <w:szCs w:val="20"/>
                <w:color w:val="auto"/>
              </w:rPr>
            </w:pPr>
            <w:r>
              <w:rPr>
                <w:rFonts w:ascii="Arial" w:cs="Arial" w:eastAsia="Arial" w:hAnsi="Arial"/>
                <w:sz w:val="11"/>
                <w:szCs w:val="11"/>
                <w:color w:val="auto"/>
              </w:rPr>
              <w:t>Net impact of employee issuances on</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308</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368</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467</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86"/>
              <w:spacing w:after="0"/>
              <w:rPr>
                <w:sz w:val="20"/>
                <w:szCs w:val="20"/>
                <w:color w:val="auto"/>
              </w:rPr>
            </w:pPr>
            <w:r>
              <w:rPr>
                <w:rFonts w:ascii="Arial" w:cs="Arial" w:eastAsia="Arial" w:hAnsi="Arial"/>
                <w:sz w:val="11"/>
                <w:szCs w:val="11"/>
                <w:color w:val="auto"/>
              </w:rPr>
              <w:t>1,028</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273</w:t>
            </w:r>
          </w:p>
        </w:tc>
        <w:tc>
          <w:tcPr>
            <w:tcW w:w="7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1"/>
                <w:szCs w:val="11"/>
                <w:color w:val="auto"/>
              </w:rPr>
            </w:pP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13</w:t>
            </w:r>
          </w:p>
        </w:tc>
        <w:tc>
          <w:tcPr>
            <w:tcW w:w="4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2,171</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1,818</w:t>
            </w:r>
          </w:p>
        </w:tc>
        <w:tc>
          <w:tcPr>
            <w:tcW w:w="9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42"/>
        </w:trPr>
        <w:tc>
          <w:tcPr>
            <w:tcW w:w="2060" w:type="dxa"/>
            <w:vAlign w:val="bottom"/>
            <w:gridSpan w:val="6"/>
          </w:tcPr>
          <w:p>
            <w:pPr>
              <w:spacing w:after="0"/>
              <w:rPr>
                <w:sz w:val="20"/>
                <w:szCs w:val="20"/>
                <w:color w:val="auto"/>
              </w:rPr>
            </w:pPr>
            <w:r>
              <w:rPr>
                <w:rFonts w:ascii="Arial" w:cs="Arial" w:eastAsia="Arial" w:hAnsi="Arial"/>
                <w:sz w:val="11"/>
                <w:szCs w:val="11"/>
                <w:color w:val="auto"/>
              </w:rPr>
              <w:t>stockholders’ equity (b)</w:t>
            </w: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3201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80" w:right="120" w:hanging="172"/>
        <w:spacing w:after="0" w:line="249" w:lineRule="auto"/>
        <w:tabs>
          <w:tab w:leader="none" w:pos="177"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Firm is authorized to purchase up to $30 billion of common shares under its current repurchase program. In the second half of 2022, as a result of the expected increases in regulatory capital requirements, the Firm temporarily suspended share repurchases. In the first quarter of 2023, the Firm resumed repurchasing shares under its common share repurchase program.</w:t>
      </w:r>
    </w:p>
    <w:p>
      <w:pPr>
        <w:ind w:left="180" w:right="380" w:hanging="172"/>
        <w:spacing w:after="0" w:line="243" w:lineRule="auto"/>
        <w:tabs>
          <w:tab w:leader="none" w:pos="177"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net impact of employee issuances on stockholders’ equity is driven by the cost of equity compensation awards that is recognized over the applicable vesting periods. The cost is partially offset by tax impacts related to the distribution of shares and the exercise of SARs.</w:t>
      </w:r>
    </w:p>
    <w:p>
      <w:pPr>
        <w:ind w:left="160" w:hanging="152"/>
        <w:spacing w:after="0"/>
        <w:tabs>
          <w:tab w:leader="none" w:pos="1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On September 19, 2023, the Board of Directors declared a quarterly common stock dividend of $1.05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11</w:t>
      </w:r>
    </w:p>
    <w:p>
      <w:pPr>
        <w:sectPr>
          <w:pgSz w:w="11900" w:h="16838" w:orient="portrait"/>
          <w:cols w:equalWidth="0" w:num="1">
            <w:col w:w="11240"/>
          </w:cols>
          <w:pgMar w:left="320" w:top="572"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-61595</wp:posOffset>
            </wp:positionV>
            <wp:extent cx="237426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COMMUNITY BANKING</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ind w:left="300"/>
              <w:spacing w:after="0"/>
              <w:rPr>
                <w:sz w:val="20"/>
                <w:szCs w:val="20"/>
                <w:color w:val="auto"/>
              </w:rPr>
            </w:pPr>
            <w:r>
              <w:rPr>
                <w:rFonts w:ascii="Arial" w:cs="Arial" w:eastAsia="Arial" w:hAnsi="Arial"/>
                <w:sz w:val="11"/>
                <w:szCs w:val="11"/>
                <w:b w:val="1"/>
                <w:bCs w:val="1"/>
                <w:color w:val="auto"/>
              </w:rPr>
              <w:t>QUARTERLY TRENDS</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FULL YEAR</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vMerge w:val="restart"/>
          </w:tcPr>
          <w:p>
            <w:pPr>
              <w:jc w:val="right"/>
              <w:ind w:right="186"/>
              <w:spacing w:after="0"/>
              <w:rPr>
                <w:sz w:val="20"/>
                <w:szCs w:val="20"/>
                <w:color w:val="auto"/>
              </w:rPr>
            </w:pPr>
            <w:r>
              <w:rPr>
                <w:rFonts w:ascii="Arial" w:cs="Arial" w:eastAsia="Arial" w:hAnsi="Arial"/>
                <w:sz w:val="11"/>
                <w:szCs w:val="11"/>
                <w:b w:val="1"/>
                <w:bCs w:val="1"/>
                <w:color w:val="auto"/>
              </w:rPr>
              <w:t>4Q23 Change</w:t>
            </w:r>
          </w:p>
        </w:tc>
        <w:tc>
          <w:tcPr>
            <w:tcW w:w="36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jc w:val="right"/>
              <w:ind w:right="146"/>
              <w:spacing w:after="0" w:line="109" w:lineRule="exact"/>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26"/>
              <w:spacing w:after="0"/>
              <w:rPr>
                <w:sz w:val="20"/>
                <w:szCs w:val="20"/>
                <w:color w:val="auto"/>
              </w:rPr>
            </w:pPr>
            <w:r>
              <w:rPr>
                <w:rFonts w:ascii="Arial" w:cs="Arial" w:eastAsia="Arial" w:hAnsi="Arial"/>
                <w:sz w:val="11"/>
                <w:szCs w:val="11"/>
                <w:b w:val="1"/>
                <w:bCs w:val="1"/>
                <w:color w:val="auto"/>
              </w:rPr>
              <w:t>4Q23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3Q23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26"/>
              <w:spacing w:after="0"/>
              <w:rPr>
                <w:sz w:val="20"/>
                <w:szCs w:val="20"/>
                <w:color w:val="auto"/>
              </w:rPr>
            </w:pPr>
            <w:r>
              <w:rPr>
                <w:rFonts w:ascii="Arial" w:cs="Arial" w:eastAsia="Arial" w:hAnsi="Arial"/>
                <w:sz w:val="11"/>
                <w:szCs w:val="11"/>
                <w:b w:val="1"/>
                <w:bCs w:val="1"/>
                <w:color w:val="auto"/>
              </w:rPr>
              <w:t>2Q23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1Q23</w:t>
            </w:r>
          </w:p>
        </w:tc>
        <w:tc>
          <w:tcPr>
            <w:tcW w:w="12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4Q22</w:t>
            </w:r>
          </w:p>
        </w:tc>
        <w:tc>
          <w:tcPr>
            <w:tcW w:w="220" w:type="dxa"/>
            <w:vAlign w:val="bottom"/>
          </w:tcPr>
          <w:p>
            <w:pPr>
              <w:spacing w:after="0"/>
              <w:rPr>
                <w:sz w:val="13"/>
                <w:szCs w:val="13"/>
                <w:color w:val="auto"/>
              </w:rPr>
            </w:pP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3Q23</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4Q22</w:t>
            </w:r>
          </w:p>
        </w:tc>
        <w:tc>
          <w:tcPr>
            <w:tcW w:w="100" w:type="dxa"/>
            <w:vAlign w:val="bottom"/>
          </w:tcPr>
          <w:p>
            <w:pPr>
              <w:spacing w:after="0"/>
              <w:rPr>
                <w:sz w:val="13"/>
                <w:szCs w:val="13"/>
                <w:color w:val="auto"/>
              </w:rPr>
            </w:pPr>
          </w:p>
        </w:tc>
        <w:tc>
          <w:tcPr>
            <w:tcW w:w="440" w:type="dxa"/>
            <w:vAlign w:val="bottom"/>
          </w:tcPr>
          <w:p>
            <w:pPr>
              <w:jc w:val="right"/>
              <w:ind w:right="106"/>
              <w:spacing w:after="0"/>
              <w:rPr>
                <w:sz w:val="20"/>
                <w:szCs w:val="20"/>
                <w:color w:val="auto"/>
              </w:rPr>
            </w:pPr>
            <w:r>
              <w:rPr>
                <w:rFonts w:ascii="Arial" w:cs="Arial" w:eastAsia="Arial" w:hAnsi="Arial"/>
                <w:sz w:val="11"/>
                <w:szCs w:val="11"/>
                <w:b w:val="1"/>
                <w:bCs w:val="1"/>
                <w:color w:val="auto"/>
              </w:rPr>
              <w:t>2023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106"/>
              <w:spacing w:after="0"/>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3"/>
                <w:szCs w:val="13"/>
                <w:color w:val="auto"/>
              </w:rPr>
            </w:pP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8"/>
        </w:trPr>
        <w:tc>
          <w:tcPr>
            <w:tcW w:w="1120" w:type="dxa"/>
            <w:vAlign w:val="bottom"/>
            <w:tcBorders>
              <w:bottom w:val="single" w:sz="8" w:color="auto"/>
            </w:tcBorders>
            <w:gridSpan w:val="3"/>
          </w:tcPr>
          <w:p>
            <w:pPr>
              <w:spacing w:after="0" w:line="108" w:lineRule="exact"/>
              <w:rPr>
                <w:sz w:val="20"/>
                <w:szCs w:val="20"/>
                <w:color w:val="auto"/>
              </w:rPr>
            </w:pPr>
            <w:r>
              <w:rPr>
                <w:rFonts w:ascii="Arial" w:cs="Arial" w:eastAsia="Arial" w:hAnsi="Arial"/>
                <w:sz w:val="11"/>
                <w:szCs w:val="11"/>
                <w:b w:val="1"/>
                <w:bCs w:val="1"/>
                <w:color w:val="auto"/>
                <w:w w:val="96"/>
              </w:rPr>
              <w:t>INCOME STATEMENT</w:t>
            </w:r>
          </w:p>
        </w:tc>
        <w:tc>
          <w:tcPr>
            <w:tcW w:w="740" w:type="dxa"/>
            <w:vAlign w:val="bottom"/>
            <w:gridSpan w:val="2"/>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REVENUE</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60" w:type="dxa"/>
            <w:vAlign w:val="bottom"/>
            <w:gridSpan w:val="5"/>
          </w:tcPr>
          <w:p>
            <w:pPr>
              <w:spacing w:after="0"/>
              <w:rPr>
                <w:sz w:val="20"/>
                <w:szCs w:val="20"/>
                <w:color w:val="auto"/>
              </w:rPr>
            </w:pPr>
            <w:r>
              <w:rPr>
                <w:rFonts w:ascii="Arial" w:cs="Arial" w:eastAsia="Arial" w:hAnsi="Arial"/>
                <w:sz w:val="11"/>
                <w:szCs w:val="11"/>
                <w:color w:val="auto"/>
              </w:rPr>
              <w:t>Lending- and deposit-related fees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856</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836</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841</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823</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834</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2 %</w:t>
            </w: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3 %</w:t>
            </w:r>
          </w:p>
        </w:tc>
        <w:tc>
          <w:tcPr>
            <w:tcW w:w="3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3,356</w:t>
            </w:r>
          </w:p>
        </w:tc>
        <w:tc>
          <w:tcPr>
            <w:tcW w:w="2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3,316</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162"/>
        </w:trPr>
        <w:tc>
          <w:tcPr>
            <w:tcW w:w="1860" w:type="dxa"/>
            <w:vAlign w:val="bottom"/>
            <w:gridSpan w:val="5"/>
          </w:tcPr>
          <w:p>
            <w:pPr>
              <w:spacing w:after="0"/>
              <w:rPr>
                <w:sz w:val="20"/>
                <w:szCs w:val="20"/>
                <w:color w:val="auto"/>
              </w:rPr>
            </w:pPr>
            <w:r>
              <w:rPr>
                <w:rFonts w:ascii="Arial" w:cs="Arial" w:eastAsia="Arial" w:hAnsi="Arial"/>
                <w:sz w:val="11"/>
                <w:szCs w:val="11"/>
                <w:color w:val="auto"/>
              </w:rPr>
              <w:t>Asset management fees</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899</w:t>
            </w:r>
          </w:p>
        </w:tc>
        <w:tc>
          <w:tcPr>
            <w:tcW w:w="22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891</w:t>
            </w:r>
          </w:p>
        </w:tc>
        <w:tc>
          <w:tcPr>
            <w:tcW w:w="22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816</w:t>
            </w:r>
          </w:p>
        </w:tc>
        <w:tc>
          <w:tcPr>
            <w:tcW w:w="22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676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662</w:t>
            </w:r>
          </w:p>
        </w:tc>
        <w:tc>
          <w:tcPr>
            <w:tcW w:w="22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36</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3,282</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(d)</w:t>
            </w: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2,734</w:t>
            </w:r>
          </w:p>
        </w:tc>
        <w:tc>
          <w:tcPr>
            <w:tcW w:w="20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62"/>
        </w:trPr>
        <w:tc>
          <w:tcPr>
            <w:tcW w:w="1860" w:type="dxa"/>
            <w:vAlign w:val="bottom"/>
            <w:gridSpan w:val="5"/>
          </w:tcPr>
          <w:p>
            <w:pPr>
              <w:spacing w:after="0"/>
              <w:rPr>
                <w:sz w:val="20"/>
                <w:szCs w:val="20"/>
                <w:color w:val="auto"/>
              </w:rPr>
            </w:pPr>
            <w:r>
              <w:rPr>
                <w:rFonts w:ascii="Arial" w:cs="Arial" w:eastAsia="Arial" w:hAnsi="Arial"/>
                <w:sz w:val="11"/>
                <w:szCs w:val="11"/>
                <w:color w:val="auto"/>
              </w:rPr>
              <w:t>Mortgage fees and related income</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261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274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90</w:t>
            </w:r>
          </w:p>
        </w:tc>
        <w:tc>
          <w:tcPr>
            <w:tcW w:w="220" w:type="dxa"/>
            <w:vAlign w:val="bottom"/>
          </w:tcPr>
          <w:p>
            <w:pPr>
              <w:spacing w:after="0"/>
              <w:rPr>
                <w:sz w:val="14"/>
                <w:szCs w:val="1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(37)</w:t>
            </w:r>
          </w:p>
        </w:tc>
        <w:tc>
          <w:tcPr>
            <w:tcW w:w="18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190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1,175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1,236</w:t>
            </w:r>
          </w:p>
        </w:tc>
        <w:tc>
          <w:tcPr>
            <w:tcW w:w="20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1860" w:type="dxa"/>
            <w:vAlign w:val="bottom"/>
            <w:gridSpan w:val="5"/>
          </w:tcPr>
          <w:p>
            <w:pPr>
              <w:spacing w:after="0"/>
              <w:rPr>
                <w:sz w:val="20"/>
                <w:szCs w:val="20"/>
                <w:color w:val="auto"/>
              </w:rPr>
            </w:pPr>
            <w:r>
              <w:rPr>
                <w:rFonts w:ascii="Arial" w:cs="Arial" w:eastAsia="Arial" w:hAnsi="Arial"/>
                <w:sz w:val="11"/>
                <w:szCs w:val="11"/>
                <w:color w:val="auto"/>
              </w:rPr>
              <w:t>Card income</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684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626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483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739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694</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18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2,532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2,469</w:t>
            </w:r>
          </w:p>
        </w:tc>
        <w:tc>
          <w:tcPr>
            <w:tcW w:w="200" w:type="dxa"/>
            <w:vAlign w:val="bottom"/>
          </w:tcPr>
          <w:p>
            <w:pPr>
              <w:spacing w:after="0"/>
              <w:rPr>
                <w:sz w:val="20"/>
                <w:szCs w:val="20"/>
                <w:color w:val="auto"/>
              </w:rPr>
            </w:pPr>
            <w:r>
              <w:rPr>
                <w:rFonts w:ascii="Arial" w:cs="Arial" w:eastAsia="Arial" w:hAnsi="Arial"/>
                <w:sz w:val="11"/>
                <w:szCs w:val="11"/>
                <w:color w:val="auto"/>
              </w:rPr>
              <w:t>(f)</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5"/>
        </w:trPr>
        <w:tc>
          <w:tcPr>
            <w:tcW w:w="1860" w:type="dxa"/>
            <w:vAlign w:val="bottom"/>
            <w:gridSpan w:val="5"/>
          </w:tcPr>
          <w:p>
            <w:pPr>
              <w:spacing w:after="0"/>
              <w:rPr>
                <w:sz w:val="20"/>
                <w:szCs w:val="20"/>
                <w:color w:val="auto"/>
              </w:rPr>
            </w:pPr>
            <w:r>
              <w:rPr>
                <w:rFonts w:ascii="Arial" w:cs="Arial" w:eastAsia="Arial" w:hAnsi="Arial"/>
                <w:sz w:val="11"/>
                <w:szCs w:val="11"/>
                <w:color w:val="auto"/>
              </w:rPr>
              <w:t>All other income (a)</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1,270</w:t>
            </w:r>
          </w:p>
        </w:tc>
        <w:tc>
          <w:tcPr>
            <w:tcW w:w="22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1,212</w:t>
            </w:r>
          </w:p>
        </w:tc>
        <w:tc>
          <w:tcPr>
            <w:tcW w:w="22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1,129</w:t>
            </w:r>
          </w:p>
        </w:tc>
        <w:tc>
          <w:tcPr>
            <w:tcW w:w="22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1,162</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1,189</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5"/>
                <w:szCs w:val="15"/>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4,773</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(d)</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5,131</w:t>
            </w:r>
          </w:p>
        </w:tc>
        <w:tc>
          <w:tcPr>
            <w:tcW w:w="200" w:type="dxa"/>
            <w:vAlign w:val="bottom"/>
          </w:tcPr>
          <w:p>
            <w:pPr>
              <w:spacing w:after="0"/>
              <w:rPr>
                <w:sz w:val="20"/>
                <w:szCs w:val="20"/>
                <w:color w:val="auto"/>
              </w:rPr>
            </w:pPr>
            <w:r>
              <w:rPr>
                <w:rFonts w:ascii="Arial" w:cs="Arial" w:eastAsia="Arial" w:hAnsi="Arial"/>
                <w:sz w:val="11"/>
                <w:szCs w:val="11"/>
                <w:color w:val="auto"/>
              </w:rPr>
              <w:t>(f)</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8"/>
        </w:trPr>
        <w:tc>
          <w:tcPr>
            <w:tcW w:w="1860" w:type="dxa"/>
            <w:vAlign w:val="bottom"/>
            <w:gridSpan w:val="5"/>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2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3,970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3,982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3,543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3,623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3,469</w:t>
            </w:r>
          </w:p>
        </w:tc>
        <w:tc>
          <w:tcPr>
            <w:tcW w:w="220" w:type="dxa"/>
            <w:vAlign w:val="bottom"/>
          </w:tcPr>
          <w:p>
            <w:pPr>
              <w:spacing w:after="0"/>
              <w:rPr>
                <w:sz w:val="12"/>
                <w:szCs w:val="12"/>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15,118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14,886</w:t>
            </w:r>
          </w:p>
        </w:tc>
        <w:tc>
          <w:tcPr>
            <w:tcW w:w="20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9"/>
        </w:trPr>
        <w:tc>
          <w:tcPr>
            <w:tcW w:w="1860" w:type="dxa"/>
            <w:vAlign w:val="bottom"/>
            <w:gridSpan w:val="5"/>
          </w:tcPr>
          <w:p>
            <w:pPr>
              <w:spacing w:after="0"/>
              <w:rPr>
                <w:sz w:val="20"/>
                <w:szCs w:val="20"/>
                <w:color w:val="auto"/>
              </w:rPr>
            </w:pPr>
            <w:r>
              <w:rPr>
                <w:rFonts w:ascii="Arial" w:cs="Arial" w:eastAsia="Arial" w:hAnsi="Arial"/>
                <w:sz w:val="11"/>
                <w:szCs w:val="11"/>
                <w:color w:val="auto"/>
              </w:rPr>
              <w:t>Net interest income</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14,127</w:t>
            </w:r>
          </w:p>
        </w:tc>
        <w:tc>
          <w:tcPr>
            <w:tcW w:w="22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14,380</w:t>
            </w:r>
          </w:p>
        </w:tc>
        <w:tc>
          <w:tcPr>
            <w:tcW w:w="22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13,690</w:t>
            </w:r>
          </w:p>
        </w:tc>
        <w:tc>
          <w:tcPr>
            <w:tcW w:w="22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12,833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12,324</w:t>
            </w:r>
          </w:p>
        </w:tc>
        <w:tc>
          <w:tcPr>
            <w:tcW w:w="220" w:type="dxa"/>
            <w:vAlign w:val="bottom"/>
          </w:tcPr>
          <w:p>
            <w:pPr>
              <w:spacing w:after="0"/>
              <w:rPr>
                <w:sz w:val="14"/>
                <w:szCs w:val="1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55,030</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(d)</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39,928</w:t>
            </w:r>
          </w:p>
        </w:tc>
        <w:tc>
          <w:tcPr>
            <w:tcW w:w="20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48"/>
        </w:trPr>
        <w:tc>
          <w:tcPr>
            <w:tcW w:w="186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18,097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18,362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17,233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16,456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15,793</w:t>
            </w:r>
          </w:p>
        </w:tc>
        <w:tc>
          <w:tcPr>
            <w:tcW w:w="22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70,148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54,814</w:t>
            </w:r>
          </w:p>
        </w:tc>
        <w:tc>
          <w:tcPr>
            <w:tcW w:w="20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318"/>
        </w:trPr>
        <w:tc>
          <w:tcPr>
            <w:tcW w:w="1860" w:type="dxa"/>
            <w:vAlign w:val="bottom"/>
            <w:gridSpan w:val="5"/>
          </w:tcPr>
          <w:p>
            <w:pPr>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2,189</w:t>
            </w:r>
          </w:p>
        </w:tc>
        <w:tc>
          <w:tcPr>
            <w:tcW w:w="22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24"/>
                <w:szCs w:val="2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1,446</w:t>
            </w:r>
          </w:p>
        </w:tc>
        <w:tc>
          <w:tcPr>
            <w:tcW w:w="22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1,862</w:t>
            </w:r>
          </w:p>
        </w:tc>
        <w:tc>
          <w:tcPr>
            <w:tcW w:w="22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1,402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1,845</w:t>
            </w:r>
          </w:p>
        </w:tc>
        <w:tc>
          <w:tcPr>
            <w:tcW w:w="220" w:type="dxa"/>
            <w:vAlign w:val="bottom"/>
          </w:tcPr>
          <w:p>
            <w:pPr>
              <w:spacing w:after="0"/>
              <w:rPr>
                <w:sz w:val="24"/>
                <w:szCs w:val="2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51</w:t>
            </w:r>
          </w:p>
        </w:tc>
        <w:tc>
          <w:tcPr>
            <w:tcW w:w="180" w:type="dxa"/>
            <w:vAlign w:val="bottom"/>
          </w:tcPr>
          <w:p>
            <w:pPr>
              <w:spacing w:after="0"/>
              <w:rPr>
                <w:sz w:val="24"/>
                <w:szCs w:val="2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6,899</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(d)</w:t>
            </w:r>
          </w:p>
        </w:tc>
        <w:tc>
          <w:tcPr>
            <w:tcW w:w="100" w:type="dxa"/>
            <w:vAlign w:val="bottom"/>
          </w:tcPr>
          <w:p>
            <w:pPr>
              <w:spacing w:after="0"/>
              <w:rPr>
                <w:sz w:val="24"/>
                <w:szCs w:val="2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3,813</w:t>
            </w:r>
          </w:p>
        </w:tc>
        <w:tc>
          <w:tcPr>
            <w:tcW w:w="200" w:type="dxa"/>
            <w:vAlign w:val="bottom"/>
          </w:tcPr>
          <w:p>
            <w:pPr>
              <w:spacing w:after="0"/>
              <w:rPr>
                <w:sz w:val="24"/>
                <w:szCs w:val="2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81</w:t>
            </w:r>
          </w:p>
        </w:tc>
        <w:tc>
          <w:tcPr>
            <w:tcW w:w="0" w:type="dxa"/>
            <w:vAlign w:val="bottom"/>
          </w:tcPr>
          <w:p>
            <w:pPr>
              <w:spacing w:after="0"/>
              <w:rPr>
                <w:sz w:val="1"/>
                <w:szCs w:val="1"/>
                <w:color w:val="auto"/>
              </w:rPr>
            </w:pPr>
          </w:p>
        </w:tc>
      </w:tr>
      <w:tr>
        <w:trPr>
          <w:trHeight w:val="330"/>
        </w:trPr>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NONINTEREST EXPENSE</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860" w:type="dxa"/>
            <w:vAlign w:val="bottom"/>
            <w:gridSpan w:val="5"/>
          </w:tcPr>
          <w:p>
            <w:pPr>
              <w:spacing w:after="0"/>
              <w:rPr>
                <w:sz w:val="20"/>
                <w:szCs w:val="20"/>
                <w:color w:val="auto"/>
              </w:rPr>
            </w:pPr>
            <w:r>
              <w:rPr>
                <w:rFonts w:ascii="Arial" w:cs="Arial" w:eastAsia="Arial" w:hAnsi="Arial"/>
                <w:sz w:val="11"/>
                <w:szCs w:val="11"/>
                <w:color w:val="auto"/>
              </w:rPr>
              <w:t>Compensation expense</w:t>
            </w:r>
          </w:p>
        </w:tc>
        <w:tc>
          <w:tcPr>
            <w:tcW w:w="120" w:type="dxa"/>
            <w:vAlign w:val="bottom"/>
          </w:tcPr>
          <w:p>
            <w:pPr>
              <w:spacing w:after="0"/>
              <w:rPr>
                <w:sz w:val="13"/>
                <w:szCs w:val="1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4,023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3,975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3,628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3,545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3,339</w:t>
            </w:r>
          </w:p>
        </w:tc>
        <w:tc>
          <w:tcPr>
            <w:tcW w:w="22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15,171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13,092</w:t>
            </w:r>
          </w:p>
        </w:tc>
        <w:tc>
          <w:tcPr>
            <w:tcW w:w="20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75"/>
        </w:trPr>
        <w:tc>
          <w:tcPr>
            <w:tcW w:w="1860" w:type="dxa"/>
            <w:vAlign w:val="bottom"/>
            <w:gridSpan w:val="5"/>
          </w:tcPr>
          <w:p>
            <w:pPr>
              <w:spacing w:after="0"/>
              <w:rPr>
                <w:sz w:val="20"/>
                <w:szCs w:val="20"/>
                <w:color w:val="auto"/>
              </w:rPr>
            </w:pPr>
            <w:r>
              <w:rPr>
                <w:rFonts w:ascii="Arial" w:cs="Arial" w:eastAsia="Arial" w:hAnsi="Arial"/>
                <w:sz w:val="11"/>
                <w:szCs w:val="11"/>
                <w:color w:val="auto"/>
              </w:rPr>
              <w:t>Noncompensation expense (b)</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5,313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5,130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4,685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4,520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4,573</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5"/>
                <w:szCs w:val="15"/>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16</w:t>
            </w: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19,648</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18,116</w:t>
            </w:r>
          </w:p>
        </w:tc>
        <w:tc>
          <w:tcPr>
            <w:tcW w:w="200" w:type="dxa"/>
            <w:vAlign w:val="bottom"/>
          </w:tcPr>
          <w:p>
            <w:pPr>
              <w:spacing w:after="0"/>
              <w:rPr>
                <w:sz w:val="20"/>
                <w:szCs w:val="20"/>
                <w:color w:val="auto"/>
              </w:rPr>
            </w:pPr>
            <w:r>
              <w:rPr>
                <w:rFonts w:ascii="Arial" w:cs="Arial" w:eastAsia="Arial" w:hAnsi="Arial"/>
                <w:sz w:val="11"/>
                <w:szCs w:val="11"/>
                <w:color w:val="auto"/>
              </w:rPr>
              <w:t>(f)</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6"/>
        </w:trPr>
        <w:tc>
          <w:tcPr>
            <w:tcW w:w="1860" w:type="dxa"/>
            <w:vAlign w:val="bottom"/>
            <w:gridSpan w:val="5"/>
          </w:tcPr>
          <w:p>
            <w:pPr>
              <w:ind w:left="120"/>
              <w:spacing w:after="0"/>
              <w:rPr>
                <w:sz w:val="20"/>
                <w:szCs w:val="20"/>
                <w:color w:val="auto"/>
              </w:rPr>
            </w:pPr>
            <w:r>
              <w:rPr>
                <w:rFonts w:ascii="Arial" w:cs="Arial" w:eastAsia="Arial" w:hAnsi="Arial"/>
                <w:sz w:val="11"/>
                <w:szCs w:val="11"/>
                <w:b w:val="1"/>
                <w:bCs w:val="1"/>
                <w:color w:val="auto"/>
                <w:w w:val="99"/>
              </w:rPr>
              <w:t>TOTAL NONINTEREST EXPENSE</w:t>
            </w: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9,336</w:t>
            </w:r>
          </w:p>
        </w:tc>
        <w:tc>
          <w:tcPr>
            <w:tcW w:w="22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9,105</w:t>
            </w:r>
          </w:p>
        </w:tc>
        <w:tc>
          <w:tcPr>
            <w:tcW w:w="22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8,313</w:t>
            </w:r>
          </w:p>
        </w:tc>
        <w:tc>
          <w:tcPr>
            <w:tcW w:w="22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8,065</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7,912</w:t>
            </w:r>
          </w:p>
        </w:tc>
        <w:tc>
          <w:tcPr>
            <w:tcW w:w="22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34,819</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(d)</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31,208</w:t>
            </w:r>
          </w:p>
        </w:tc>
        <w:tc>
          <w:tcPr>
            <w:tcW w:w="20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97"/>
        </w:trPr>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12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6,572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7,811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7,058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6,989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6,036</w:t>
            </w:r>
          </w:p>
        </w:tc>
        <w:tc>
          <w:tcPr>
            <w:tcW w:w="220" w:type="dxa"/>
            <w:vAlign w:val="bottom"/>
          </w:tcPr>
          <w:p>
            <w:pPr>
              <w:spacing w:after="0"/>
              <w:rPr>
                <w:sz w:val="24"/>
                <w:szCs w:val="2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80" w:type="dxa"/>
            <w:vAlign w:val="bottom"/>
          </w:tcPr>
          <w:p>
            <w:pPr>
              <w:spacing w:after="0"/>
              <w:rPr>
                <w:sz w:val="24"/>
                <w:szCs w:val="2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28,430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19,793</w:t>
            </w:r>
          </w:p>
        </w:tc>
        <w:tc>
          <w:tcPr>
            <w:tcW w:w="200" w:type="dxa"/>
            <w:vAlign w:val="bottom"/>
          </w:tcPr>
          <w:p>
            <w:pPr>
              <w:spacing w:after="0"/>
              <w:rPr>
                <w:sz w:val="24"/>
                <w:szCs w:val="2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69"/>
        </w:trPr>
        <w:tc>
          <w:tcPr>
            <w:tcW w:w="1860" w:type="dxa"/>
            <w:vAlign w:val="bottom"/>
            <w:gridSpan w:val="5"/>
          </w:tcPr>
          <w:p>
            <w:pPr>
              <w:spacing w:after="0"/>
              <w:rPr>
                <w:sz w:val="20"/>
                <w:szCs w:val="20"/>
                <w:color w:val="auto"/>
              </w:rPr>
            </w:pPr>
            <w:r>
              <w:rPr>
                <w:rFonts w:ascii="Arial" w:cs="Arial" w:eastAsia="Arial" w:hAnsi="Arial"/>
                <w:sz w:val="11"/>
                <w:szCs w:val="11"/>
                <w:color w:val="auto"/>
              </w:rPr>
              <w:t>Income tax expense</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1,784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1,916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1,752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1,746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1,480</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8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7,198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4,877</w:t>
            </w:r>
          </w:p>
        </w:tc>
        <w:tc>
          <w:tcPr>
            <w:tcW w:w="200" w:type="dxa"/>
            <w:vAlign w:val="bottom"/>
          </w:tcPr>
          <w:p>
            <w:pPr>
              <w:spacing w:after="0"/>
              <w:rPr>
                <w:sz w:val="20"/>
                <w:szCs w:val="20"/>
                <w:color w:val="auto"/>
              </w:rPr>
            </w:pPr>
            <w:r>
              <w:rPr>
                <w:rFonts w:ascii="Arial" w:cs="Arial" w:eastAsia="Arial" w:hAnsi="Arial"/>
                <w:sz w:val="11"/>
                <w:szCs w:val="11"/>
                <w:color w:val="auto"/>
              </w:rPr>
              <w:t>(f)</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69"/>
        </w:trPr>
        <w:tc>
          <w:tcPr>
            <w:tcW w:w="1860" w:type="dxa"/>
            <w:vAlign w:val="bottom"/>
            <w:gridSpan w:val="5"/>
          </w:tcPr>
          <w:p>
            <w:pPr>
              <w:ind w:left="120"/>
              <w:spacing w:after="0"/>
              <w:rPr>
                <w:sz w:val="20"/>
                <w:szCs w:val="20"/>
                <w:color w:val="auto"/>
              </w:rPr>
            </w:pPr>
            <w:r>
              <w:rPr>
                <w:rFonts w:ascii="Arial" w:cs="Arial" w:eastAsia="Arial" w:hAnsi="Arial"/>
                <w:sz w:val="11"/>
                <w:szCs w:val="11"/>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4,788</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5,895</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5,306</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5,243</w:t>
            </w:r>
          </w:p>
        </w:tc>
        <w:tc>
          <w:tcPr>
            <w:tcW w:w="1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4,556</w:t>
            </w:r>
          </w:p>
        </w:tc>
        <w:tc>
          <w:tcPr>
            <w:tcW w:w="220" w:type="dxa"/>
            <w:vAlign w:val="bottom"/>
          </w:tcPr>
          <w:p>
            <w:pPr>
              <w:spacing w:after="0"/>
              <w:rPr>
                <w:sz w:val="14"/>
                <w:szCs w:val="1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8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3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21,232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14,916</w:t>
            </w:r>
          </w:p>
        </w:tc>
        <w:tc>
          <w:tcPr>
            <w:tcW w:w="20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270"/>
        </w:trPr>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REVENUE BY LINE OF BUSINESS</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74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10,877</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11,345</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10,936</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10,041</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9,582</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14</w:t>
            </w:r>
          </w:p>
        </w:tc>
        <w:tc>
          <w:tcPr>
            <w:tcW w:w="3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43,199</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(e)</w:t>
            </w: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30,059</w:t>
            </w:r>
          </w:p>
        </w:tc>
        <w:tc>
          <w:tcPr>
            <w:tcW w:w="200" w:type="dxa"/>
            <w:vAlign w:val="bottom"/>
          </w:tcPr>
          <w:p>
            <w:pPr>
              <w:spacing w:after="0"/>
              <w:rPr>
                <w:sz w:val="20"/>
                <w:szCs w:val="20"/>
                <w:color w:val="auto"/>
              </w:rPr>
            </w:pPr>
            <w:r>
              <w:rPr>
                <w:rFonts w:ascii="Arial" w:cs="Arial" w:eastAsia="Arial" w:hAnsi="Arial"/>
                <w:sz w:val="11"/>
                <w:szCs w:val="11"/>
                <w:color w:val="auto"/>
              </w:rPr>
              <w:t>(f)</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62"/>
        </w:trPr>
        <w:tc>
          <w:tcPr>
            <w:tcW w:w="1860" w:type="dxa"/>
            <w:vAlign w:val="bottom"/>
            <w:gridSpan w:val="5"/>
          </w:tcPr>
          <w:p>
            <w:pPr>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1,161</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1,252</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1,007</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720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584</w:t>
            </w:r>
          </w:p>
        </w:tc>
        <w:tc>
          <w:tcPr>
            <w:tcW w:w="220" w:type="dxa"/>
            <w:vAlign w:val="bottom"/>
          </w:tcPr>
          <w:p>
            <w:pPr>
              <w:spacing w:after="0"/>
              <w:rPr>
                <w:sz w:val="14"/>
                <w:szCs w:val="1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8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99</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4,140</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(e)</w:t>
            </w: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3,674</w:t>
            </w:r>
          </w:p>
        </w:tc>
        <w:tc>
          <w:tcPr>
            <w:tcW w:w="20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1860" w:type="dxa"/>
            <w:vAlign w:val="bottom"/>
            <w:gridSpan w:val="5"/>
          </w:tcPr>
          <w:p>
            <w:pPr>
              <w:spacing w:after="0"/>
              <w:rPr>
                <w:sz w:val="20"/>
                <w:szCs w:val="20"/>
                <w:color w:val="auto"/>
              </w:rPr>
            </w:pPr>
            <w:r>
              <w:rPr>
                <w:rFonts w:ascii="Arial" w:cs="Arial" w:eastAsia="Arial" w:hAnsi="Arial"/>
                <w:sz w:val="11"/>
                <w:szCs w:val="11"/>
                <w:color w:val="auto"/>
              </w:rPr>
              <w:t>Card Services &amp; Auto</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6,059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5,765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5,290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5,695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5,627</w:t>
            </w:r>
          </w:p>
        </w:tc>
        <w:tc>
          <w:tcPr>
            <w:tcW w:w="22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22,809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21,081</w:t>
            </w:r>
          </w:p>
        </w:tc>
        <w:tc>
          <w:tcPr>
            <w:tcW w:w="20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303"/>
        </w:trPr>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MORTGAGE FEES AND RELATED</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740" w:type="dxa"/>
            <w:vAlign w:val="bottom"/>
            <w:tcBorders>
              <w:top w:val="single" w:sz="8" w:color="auto"/>
            </w:tcBorders>
            <w:gridSpan w:val="4"/>
          </w:tcPr>
          <w:p>
            <w:pPr>
              <w:spacing w:after="0" w:line="88" w:lineRule="exact"/>
              <w:rPr>
                <w:sz w:val="20"/>
                <w:szCs w:val="20"/>
                <w:color w:val="auto"/>
              </w:rPr>
            </w:pPr>
            <w:r>
              <w:rPr>
                <w:rFonts w:ascii="Arial" w:cs="Arial" w:eastAsia="Arial" w:hAnsi="Arial"/>
                <w:sz w:val="10"/>
                <w:szCs w:val="10"/>
                <w:b w:val="1"/>
                <w:bCs w:val="1"/>
                <w:color w:val="auto"/>
              </w:rPr>
              <w:t>INCOME DETAILS</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860" w:type="dxa"/>
            <w:vAlign w:val="bottom"/>
            <w:gridSpan w:val="5"/>
          </w:tcPr>
          <w:p>
            <w:pPr>
              <w:spacing w:after="0"/>
              <w:rPr>
                <w:sz w:val="20"/>
                <w:szCs w:val="20"/>
                <w:color w:val="auto"/>
              </w:rPr>
            </w:pPr>
            <w:r>
              <w:rPr>
                <w:rFonts w:ascii="Arial" w:cs="Arial" w:eastAsia="Arial" w:hAnsi="Arial"/>
                <w:sz w:val="11"/>
                <w:szCs w:val="11"/>
                <w:color w:val="auto"/>
              </w:rPr>
              <w:t>Production revenue</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82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162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102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75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43</w:t>
            </w:r>
          </w:p>
        </w:tc>
        <w:tc>
          <w:tcPr>
            <w:tcW w:w="220" w:type="dxa"/>
            <w:vAlign w:val="bottom"/>
          </w:tcPr>
          <w:p>
            <w:pPr>
              <w:spacing w:after="0"/>
              <w:rPr>
                <w:sz w:val="14"/>
                <w:szCs w:val="1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(49)</w:t>
            </w:r>
          </w:p>
        </w:tc>
        <w:tc>
          <w:tcPr>
            <w:tcW w:w="18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91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497</w:t>
            </w:r>
          </w:p>
        </w:tc>
        <w:tc>
          <w:tcPr>
            <w:tcW w:w="20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75"/>
        </w:trPr>
        <w:tc>
          <w:tcPr>
            <w:tcW w:w="1860" w:type="dxa"/>
            <w:vAlign w:val="bottom"/>
            <w:gridSpan w:val="5"/>
          </w:tcPr>
          <w:p>
            <w:pPr>
              <w:spacing w:after="0"/>
              <w:rPr>
                <w:sz w:val="20"/>
                <w:szCs w:val="20"/>
                <w:color w:val="auto"/>
              </w:rPr>
            </w:pPr>
            <w:r>
              <w:rPr>
                <w:rFonts w:ascii="Arial" w:cs="Arial" w:eastAsia="Arial" w:hAnsi="Arial"/>
                <w:sz w:val="11"/>
                <w:szCs w:val="11"/>
                <w:color w:val="auto"/>
              </w:rPr>
              <w:t>Net mortgage servicing revenue (c)</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179</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255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172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148</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47</w:t>
            </w:r>
          </w:p>
        </w:tc>
        <w:tc>
          <w:tcPr>
            <w:tcW w:w="220" w:type="dxa"/>
            <w:vAlign w:val="bottom"/>
          </w:tcPr>
          <w:p>
            <w:pPr>
              <w:spacing w:after="0"/>
              <w:rPr>
                <w:sz w:val="15"/>
                <w:szCs w:val="15"/>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(30)</w:t>
            </w:r>
          </w:p>
        </w:tc>
        <w:tc>
          <w:tcPr>
            <w:tcW w:w="180" w:type="dxa"/>
            <w:vAlign w:val="bottom"/>
          </w:tcPr>
          <w:p>
            <w:pPr>
              <w:spacing w:after="0"/>
              <w:rPr>
                <w:sz w:val="15"/>
                <w:szCs w:val="15"/>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281</w:t>
            </w: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754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739</w:t>
            </w:r>
          </w:p>
        </w:tc>
        <w:tc>
          <w:tcPr>
            <w:tcW w:w="200" w:type="dxa"/>
            <w:vAlign w:val="bottom"/>
          </w:tcPr>
          <w:p>
            <w:pPr>
              <w:spacing w:after="0"/>
              <w:rPr>
                <w:sz w:val="15"/>
                <w:szCs w:val="15"/>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9"/>
        </w:trPr>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Mortgage fees and related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261</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417</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274</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223</w:t>
            </w:r>
          </w:p>
        </w:tc>
        <w:tc>
          <w:tcPr>
            <w:tcW w:w="1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90</w:t>
            </w:r>
          </w:p>
        </w:tc>
        <w:tc>
          <w:tcPr>
            <w:tcW w:w="220" w:type="dxa"/>
            <w:vAlign w:val="bottom"/>
          </w:tcPr>
          <w:p>
            <w:pPr>
              <w:spacing w:after="0"/>
              <w:rPr>
                <w:sz w:val="14"/>
                <w:szCs w:val="14"/>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(37)</w:t>
            </w:r>
          </w:p>
        </w:tc>
        <w:tc>
          <w:tcPr>
            <w:tcW w:w="18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190</w:t>
            </w:r>
          </w:p>
        </w:tc>
        <w:tc>
          <w:tcPr>
            <w:tcW w:w="3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1,175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1,236</w:t>
            </w:r>
          </w:p>
        </w:tc>
        <w:tc>
          <w:tcPr>
            <w:tcW w:w="20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70"/>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6"/>
              </w:rPr>
              <w:t>FINANCIAL RATIOS</w:t>
            </w:r>
          </w:p>
        </w:tc>
        <w:tc>
          <w:tcPr>
            <w:tcW w:w="840" w:type="dxa"/>
            <w:vAlign w:val="bottom"/>
            <w:gridSpan w:val="3"/>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860" w:type="dxa"/>
            <w:vAlign w:val="bottom"/>
            <w:gridSpan w:val="5"/>
          </w:tcPr>
          <w:p>
            <w:pPr>
              <w:spacing w:after="0"/>
              <w:rPr>
                <w:sz w:val="20"/>
                <w:szCs w:val="20"/>
                <w:color w:val="auto"/>
              </w:rPr>
            </w:pPr>
            <w:r>
              <w:rPr>
                <w:rFonts w:ascii="Arial" w:cs="Arial" w:eastAsia="Arial" w:hAnsi="Arial"/>
                <w:sz w:val="11"/>
                <w:szCs w:val="11"/>
                <w:color w:val="auto"/>
              </w:rPr>
              <w:t>ROE</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33 %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41 %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38 %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40 %</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35 %</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38</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gridSpan w:val="5"/>
          </w:tcPr>
          <w:p>
            <w:pPr>
              <w:spacing w:after="0"/>
              <w:rPr>
                <w:sz w:val="20"/>
                <w:szCs w:val="20"/>
                <w:color w:val="auto"/>
              </w:rPr>
            </w:pPr>
            <w:r>
              <w:rPr>
                <w:rFonts w:ascii="Arial" w:cs="Arial" w:eastAsia="Arial" w:hAnsi="Arial"/>
                <w:sz w:val="11"/>
                <w:szCs w:val="11"/>
                <w:color w:val="auto"/>
              </w:rPr>
              <w:t>Overhead ratio</w:t>
            </w: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52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48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49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50</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50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57</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1912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80" w:right="400" w:hanging="172"/>
        <w:spacing w:after="0" w:line="249" w:lineRule="auto"/>
        <w:tabs>
          <w:tab w:leader="none" w:pos="177" w:val="left"/>
        </w:tabs>
        <w:numPr>
          <w:ilvl w:val="0"/>
          <w:numId w:val="18"/>
        </w:numPr>
        <w:rPr>
          <w:rFonts w:ascii="Arial" w:cs="Arial" w:eastAsia="Arial" w:hAnsi="Arial"/>
          <w:sz w:val="11"/>
          <w:szCs w:val="11"/>
          <w:color w:val="auto"/>
        </w:rPr>
      </w:pPr>
      <w:r>
        <w:rPr>
          <w:rFonts w:ascii="Arial" w:cs="Arial" w:eastAsia="Arial" w:hAnsi="Arial"/>
          <w:sz w:val="11"/>
          <w:szCs w:val="11"/>
          <w:color w:val="auto"/>
        </w:rPr>
        <w:t>Primarily includes operating lease income and commissions and other fees. Operating lease income was $666 million, $685 million, $704 million, $741 million and $777 million for the three months ended December 31, 2023, September 30, 2023, June 30, 2023, March 31, 2023 and December 31, 2022, respectively, and $2.8 billion and $3.6 billion for the full year 2023 and 2022, respectively.</w:t>
      </w:r>
    </w:p>
    <w:p>
      <w:pPr>
        <w:ind w:left="180" w:right="200" w:hanging="172"/>
        <w:spacing w:after="0" w:line="243" w:lineRule="auto"/>
        <w:tabs>
          <w:tab w:leader="none" w:pos="177"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Included depreciation expense on leased assets of $425 million, $458 million, $445 million, $407 million and $463 million for the three months ended December 31, 2023, September 30, 2023, June 30, 2023, March 31, 2023 and December 31, 2022, respectively, and $1.7 billion and $2.4 billion for the full year 2023 and 2022, respectively.</w:t>
      </w:r>
    </w:p>
    <w:p>
      <w:pPr>
        <w:ind w:left="180" w:right="100" w:hanging="172"/>
        <w:spacing w:after="0" w:line="246" w:lineRule="auto"/>
        <w:tabs>
          <w:tab w:leader="none" w:pos="171"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Included MSR risk management results of $7 million, $111 million, $25 million, $(12) million and $(98) million for the three months ended December 31, 2023, September 30, 2023, June 30, 2023, March 31, 2023 and December 31, 2022, respectively, and $131 million and $93 million for the full year 2023 and 2022, respectively.</w:t>
      </w:r>
    </w:p>
    <w:p>
      <w:pPr>
        <w:ind w:left="160" w:hanging="152"/>
        <w:spacing w:after="0"/>
        <w:tabs>
          <w:tab w:leader="none" w:pos="1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Includes First Republic. Refer to page 30 for additional information.</w:t>
      </w:r>
    </w:p>
    <w:p>
      <w:pPr>
        <w:spacing w:after="0" w:line="5" w:lineRule="exact"/>
        <w:rPr>
          <w:rFonts w:ascii="Arial" w:cs="Arial" w:eastAsia="Arial" w:hAnsi="Arial"/>
          <w:sz w:val="11"/>
          <w:szCs w:val="11"/>
          <w:color w:val="auto"/>
        </w:rPr>
      </w:pPr>
    </w:p>
    <w:p>
      <w:pPr>
        <w:ind w:left="180" w:right="380" w:hanging="172"/>
        <w:spacing w:after="0" w:line="267" w:lineRule="auto"/>
        <w:tabs>
          <w:tab w:leader="none" w:pos="177" w:val="left"/>
        </w:tabs>
        <w:numPr>
          <w:ilvl w:val="0"/>
          <w:numId w:val="18"/>
        </w:numPr>
        <w:rPr>
          <w:rFonts w:ascii="Arial" w:cs="Arial" w:eastAsia="Arial" w:hAnsi="Arial"/>
          <w:sz w:val="10"/>
          <w:szCs w:val="10"/>
          <w:color w:val="auto"/>
        </w:rPr>
      </w:pPr>
      <w:r>
        <w:rPr>
          <w:rFonts w:ascii="Arial" w:cs="Arial" w:eastAsia="Arial" w:hAnsi="Arial"/>
          <w:sz w:val="10"/>
          <w:szCs w:val="10"/>
          <w:color w:val="auto"/>
        </w:rPr>
        <w:t>Banking &amp; Wealth Management and Home Lending included revenue associated with First Republic of $745 million and $346 million, respectively, for the three months ended December 31, 2023, $1.0 billion and $351 million, respectively, for the three months ended September 30, 2023, $596 million and $235 million, respectively, for the three months ended June 30, 2023, and $2.3 billion and $932 million, respectively, for the full year 2023.</w:t>
      </w:r>
    </w:p>
    <w:p>
      <w:pPr>
        <w:ind w:left="180" w:right="160" w:hanging="172"/>
        <w:spacing w:after="0" w:line="272" w:lineRule="auto"/>
        <w:tabs>
          <w:tab w:leader="none" w:pos="174"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 the first quarter of 2023, the allocations of revenue and expense to CCB associated with a Merchant Services revenue sharing agreement were discontinued and are now retained in Payments in CIB. Prior-period amounts have been revised to conform with the current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12</w:t>
      </w:r>
    </w:p>
    <w:p>
      <w:pPr>
        <w:sectPr>
          <w:pgSz w:w="11900" w:h="16838" w:orient="portrait"/>
          <w:cols w:equalWidth="0" w:num="1">
            <w:col w:w="11240"/>
          </w:cols>
          <w:pgMar w:left="320" w:top="936"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-61595</wp:posOffset>
            </wp:positionV>
            <wp:extent cx="237426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BANKING</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employee data)</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w w:val="97"/>
              </w:rPr>
              <w:t>QUARTERLY TRENDS</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FULL YEAR</w:t>
            </w:r>
          </w:p>
        </w:tc>
        <w:tc>
          <w:tcPr>
            <w:tcW w:w="760" w:type="dxa"/>
            <w:vAlign w:val="bottom"/>
            <w:tcBorders>
              <w:bottom w:val="single" w:sz="8" w:color="auto"/>
            </w:tcBorders>
          </w:tcPr>
          <w:p>
            <w:pPr>
              <w:spacing w:after="0"/>
              <w:rPr>
                <w:sz w:val="13"/>
                <w:szCs w:val="13"/>
                <w:color w:val="auto"/>
              </w:rPr>
            </w:pPr>
          </w:p>
        </w:tc>
      </w:tr>
      <w:tr>
        <w:trPr>
          <w:trHeight w:val="155"/>
        </w:trPr>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Borders>
              <w:bottom w:val="single" w:sz="8" w:color="auto"/>
            </w:tcBorders>
            <w:gridSpan w:val="3"/>
          </w:tcPr>
          <w:p>
            <w:pPr>
              <w:jc w:val="right"/>
              <w:ind w:right="306"/>
              <w:spacing w:after="0"/>
              <w:rPr>
                <w:sz w:val="20"/>
                <w:szCs w:val="20"/>
                <w:color w:val="auto"/>
              </w:rPr>
            </w:pPr>
            <w:r>
              <w:rPr>
                <w:rFonts w:ascii="Arial" w:cs="Arial" w:eastAsia="Arial" w:hAnsi="Arial"/>
                <w:sz w:val="11"/>
                <w:szCs w:val="11"/>
                <w:b w:val="1"/>
                <w:bCs w:val="1"/>
                <w:color w:val="auto"/>
              </w:rPr>
              <w:t>4Q23 Change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2023 Change</w:t>
            </w:r>
          </w:p>
        </w:tc>
      </w:tr>
      <w:tr>
        <w:trPr>
          <w:trHeight w:val="156"/>
        </w:trPr>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4Q23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3Q23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2Q23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1Q23</w:t>
            </w:r>
          </w:p>
        </w:tc>
        <w:tc>
          <w:tcPr>
            <w:tcW w:w="80" w:type="dxa"/>
            <w:vAlign w:val="bottom"/>
          </w:tcPr>
          <w:p>
            <w:pPr>
              <w:spacing w:after="0"/>
              <w:rPr>
                <w:sz w:val="13"/>
                <w:szCs w:val="1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4Q22</w:t>
            </w:r>
          </w:p>
        </w:tc>
        <w:tc>
          <w:tcPr>
            <w:tcW w:w="22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3Q23</w:t>
            </w: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4Q22</w:t>
            </w:r>
          </w:p>
        </w:tc>
        <w:tc>
          <w:tcPr>
            <w:tcW w:w="120" w:type="dxa"/>
            <w:vAlign w:val="bottom"/>
          </w:tcPr>
          <w:p>
            <w:pPr>
              <w:spacing w:after="0"/>
              <w:rPr>
                <w:sz w:val="13"/>
                <w:szCs w:val="13"/>
                <w:color w:val="auto"/>
              </w:rPr>
            </w:pPr>
          </w:p>
        </w:tc>
        <w:tc>
          <w:tcPr>
            <w:tcW w:w="500" w:type="dxa"/>
            <w:vAlign w:val="bottom"/>
          </w:tcPr>
          <w:p>
            <w:pPr>
              <w:jc w:val="right"/>
              <w:ind w:right="14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3"/>
                <w:szCs w:val="13"/>
                <w:color w:val="auto"/>
              </w:rPr>
            </w:pPr>
          </w:p>
        </w:tc>
        <w:tc>
          <w:tcPr>
            <w:tcW w:w="760" w:type="dxa"/>
            <w:vAlign w:val="bottom"/>
          </w:tcPr>
          <w:p>
            <w:pPr>
              <w:jc w:val="right"/>
              <w:ind w:right="206"/>
              <w:spacing w:after="0"/>
              <w:rPr>
                <w:sz w:val="20"/>
                <w:szCs w:val="20"/>
                <w:color w:val="auto"/>
              </w:rPr>
            </w:pPr>
            <w:r>
              <w:rPr>
                <w:rFonts w:ascii="Arial" w:cs="Arial" w:eastAsia="Arial" w:hAnsi="Arial"/>
                <w:sz w:val="11"/>
                <w:szCs w:val="11"/>
                <w:b w:val="1"/>
                <w:bCs w:val="1"/>
                <w:color w:val="auto"/>
              </w:rPr>
              <w:t>2022</w:t>
            </w:r>
          </w:p>
        </w:tc>
      </w:tr>
      <w:tr>
        <w:trPr>
          <w:trHeight w:val="108"/>
        </w:trPr>
        <w:tc>
          <w:tcPr>
            <w:tcW w:w="2280" w:type="dxa"/>
            <w:vAlign w:val="bottom"/>
            <w:gridSpan w:val="4"/>
          </w:tcPr>
          <w:p>
            <w:pPr>
              <w:spacing w:after="0" w:line="108" w:lineRule="exact"/>
              <w:rPr>
                <w:sz w:val="20"/>
                <w:szCs w:val="20"/>
                <w:color w:val="auto"/>
              </w:rPr>
            </w:pPr>
            <w:r>
              <w:rPr>
                <w:rFonts w:ascii="Arial" w:cs="Arial" w:eastAsia="Arial" w:hAnsi="Arial"/>
                <w:sz w:val="11"/>
                <w:szCs w:val="11"/>
                <w:b w:val="1"/>
                <w:bCs w:val="1"/>
                <w:color w:val="auto"/>
              </w:rPr>
              <w:t>SELECTED BALANCE SHEET DATA</w:t>
            </w: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r>
      <w:tr>
        <w:trPr>
          <w:trHeight w:val="88"/>
        </w:trPr>
        <w:tc>
          <w:tcPr>
            <w:tcW w:w="64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(period-end)</w:t>
            </w:r>
          </w:p>
        </w:tc>
        <w:tc>
          <w:tcPr>
            <w:tcW w:w="120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3"/>
        </w:trPr>
        <w:tc>
          <w:tcPr>
            <w:tcW w:w="2280" w:type="dxa"/>
            <w:vAlign w:val="bottom"/>
            <w:gridSpan w:val="4"/>
          </w:tcPr>
          <w:p>
            <w:pPr>
              <w:spacing w:after="0"/>
              <w:rPr>
                <w:sz w:val="20"/>
                <w:szCs w:val="20"/>
                <w:color w:val="auto"/>
              </w:rPr>
            </w:pPr>
            <w:r>
              <w:rPr>
                <w:rFonts w:ascii="Arial" w:cs="Arial" w:eastAsia="Arial" w:hAnsi="Arial"/>
                <w:sz w:val="11"/>
                <w:szCs w:val="11"/>
                <w:color w:val="auto"/>
              </w:rPr>
              <w:t>Total assets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642,951</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626,196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620,193</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506,382</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514,085</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3 %</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25 %</w:t>
            </w: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642,951</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514,085</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25 %</w:t>
            </w:r>
          </w:p>
        </w:tc>
      </w:tr>
      <w:tr>
        <w:trPr>
          <w:trHeight w:val="324"/>
        </w:trPr>
        <w:tc>
          <w:tcPr>
            <w:tcW w:w="2280" w:type="dxa"/>
            <w:vAlign w:val="bottom"/>
            <w:gridSpan w:val="4"/>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2"/>
        </w:trPr>
        <w:tc>
          <w:tcPr>
            <w:tcW w:w="2280" w:type="dxa"/>
            <w:vAlign w:val="bottom"/>
            <w:gridSpan w:val="4"/>
          </w:tcPr>
          <w:p>
            <w:pPr>
              <w:ind w:left="120"/>
              <w:spacing w:after="0"/>
              <w:rPr>
                <w:sz w:val="20"/>
                <w:szCs w:val="20"/>
                <w:color w:val="auto"/>
              </w:rPr>
            </w:pPr>
            <w:r>
              <w:rPr>
                <w:rFonts w:ascii="Arial" w:cs="Arial" w:eastAsia="Arial" w:hAnsi="Arial"/>
                <w:sz w:val="11"/>
                <w:szCs w:val="11"/>
                <w:color w:val="auto"/>
              </w:rPr>
              <w:t>Banking &amp; Wealth Management (a)</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31,142</w:t>
            </w:r>
          </w:p>
        </w:tc>
        <w:tc>
          <w:tcPr>
            <w:tcW w:w="240" w:type="dxa"/>
            <w:vAlign w:val="bottom"/>
          </w:tcPr>
          <w:p>
            <w:pPr>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30,574</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30,959</w:t>
            </w:r>
          </w:p>
        </w:tc>
        <w:tc>
          <w:tcPr>
            <w:tcW w:w="240" w:type="dxa"/>
            <w:vAlign w:val="bottom"/>
          </w:tcPr>
          <w:p>
            <w:pPr>
              <w:spacing w:after="0"/>
              <w:rPr>
                <w:sz w:val="20"/>
                <w:szCs w:val="20"/>
                <w:color w:val="auto"/>
              </w:rPr>
            </w:pPr>
            <w:r>
              <w:rPr>
                <w:rFonts w:ascii="Arial" w:cs="Arial" w:eastAsia="Arial" w:hAnsi="Arial"/>
                <w:sz w:val="11"/>
                <w:szCs w:val="11"/>
                <w:color w:val="auto"/>
              </w:rPr>
              <w:t>(d)</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28,038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29,008</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31,142</w:t>
            </w:r>
          </w:p>
        </w:tc>
        <w:tc>
          <w:tcPr>
            <w:tcW w:w="240" w:type="dxa"/>
            <w:vAlign w:val="bottom"/>
          </w:tcPr>
          <w:p>
            <w:pPr>
              <w:spacing w:after="0"/>
              <w:rPr>
                <w:sz w:val="20"/>
                <w:szCs w:val="20"/>
                <w:color w:val="auto"/>
              </w:rPr>
            </w:pPr>
            <w:r>
              <w:rPr>
                <w:rFonts w:ascii="Arial" w:cs="Arial" w:eastAsia="Arial" w:hAnsi="Arial"/>
                <w:sz w:val="11"/>
                <w:szCs w:val="11"/>
                <w:color w:val="auto"/>
              </w:rPr>
              <w:t>(d)</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29,008</w:t>
            </w:r>
          </w:p>
        </w:tc>
        <w:tc>
          <w:tcPr>
            <w:tcW w:w="2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7</w:t>
            </w:r>
          </w:p>
        </w:tc>
      </w:tr>
      <w:tr>
        <w:trPr>
          <w:trHeight w:val="162"/>
        </w:trPr>
        <w:tc>
          <w:tcPr>
            <w:tcW w:w="2280" w:type="dxa"/>
            <w:vAlign w:val="bottom"/>
            <w:gridSpan w:val="4"/>
          </w:tcPr>
          <w:p>
            <w:pPr>
              <w:ind w:left="120"/>
              <w:spacing w:after="0"/>
              <w:rPr>
                <w:sz w:val="20"/>
                <w:szCs w:val="20"/>
                <w:color w:val="auto"/>
              </w:rPr>
            </w:pPr>
            <w:r>
              <w:rPr>
                <w:rFonts w:ascii="Arial" w:cs="Arial" w:eastAsia="Arial" w:hAnsi="Arial"/>
                <w:sz w:val="11"/>
                <w:szCs w:val="11"/>
                <w:color w:val="auto"/>
              </w:rPr>
              <w:t>Home Lending (b)</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259,181</w:t>
            </w:r>
          </w:p>
        </w:tc>
        <w:tc>
          <w:tcPr>
            <w:tcW w:w="240" w:type="dxa"/>
            <w:vAlign w:val="bottom"/>
          </w:tcPr>
          <w:p>
            <w:pPr>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261,858</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262,432</w:t>
            </w:r>
          </w:p>
        </w:tc>
        <w:tc>
          <w:tcPr>
            <w:tcW w:w="240" w:type="dxa"/>
            <w:vAlign w:val="bottom"/>
          </w:tcPr>
          <w:p>
            <w:pPr>
              <w:spacing w:after="0"/>
              <w:rPr>
                <w:sz w:val="20"/>
                <w:szCs w:val="20"/>
                <w:color w:val="auto"/>
              </w:rPr>
            </w:pPr>
            <w:r>
              <w:rPr>
                <w:rFonts w:ascii="Arial" w:cs="Arial" w:eastAsia="Arial" w:hAnsi="Arial"/>
                <w:sz w:val="11"/>
                <w:szCs w:val="11"/>
                <w:color w:val="auto"/>
              </w:rPr>
              <w:t>(d)</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172,058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172,554</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50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259,181</w:t>
            </w:r>
          </w:p>
        </w:tc>
        <w:tc>
          <w:tcPr>
            <w:tcW w:w="240" w:type="dxa"/>
            <w:vAlign w:val="bottom"/>
          </w:tcPr>
          <w:p>
            <w:pPr>
              <w:spacing w:after="0"/>
              <w:rPr>
                <w:sz w:val="20"/>
                <w:szCs w:val="20"/>
                <w:color w:val="auto"/>
              </w:rPr>
            </w:pPr>
            <w:r>
              <w:rPr>
                <w:rFonts w:ascii="Arial" w:cs="Arial" w:eastAsia="Arial" w:hAnsi="Arial"/>
                <w:sz w:val="11"/>
                <w:szCs w:val="11"/>
                <w:color w:val="auto"/>
              </w:rPr>
              <w:t>(d)</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172,554</w:t>
            </w:r>
          </w:p>
        </w:tc>
        <w:tc>
          <w:tcPr>
            <w:tcW w:w="2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50</w:t>
            </w:r>
          </w:p>
        </w:tc>
      </w:tr>
      <w:tr>
        <w:trPr>
          <w:trHeight w:val="162"/>
        </w:trPr>
        <w:tc>
          <w:tcPr>
            <w:tcW w:w="2280" w:type="dxa"/>
            <w:vAlign w:val="bottom"/>
            <w:gridSpan w:val="4"/>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211,175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196,955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191,353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180,079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185,175</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211,175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185,175</w:t>
            </w:r>
          </w:p>
        </w:tc>
        <w:tc>
          <w:tcPr>
            <w:tcW w:w="2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14</w:t>
            </w:r>
          </w:p>
        </w:tc>
      </w:tr>
      <w:tr>
        <w:trPr>
          <w:trHeight w:val="175"/>
        </w:trPr>
        <w:tc>
          <w:tcPr>
            <w:tcW w:w="2280" w:type="dxa"/>
            <w:vAlign w:val="bottom"/>
            <w:gridSpan w:val="4"/>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77,705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74,831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73,587</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69,556</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68,191</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5"/>
                <w:szCs w:val="15"/>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77,705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68,191</w:t>
            </w:r>
          </w:p>
        </w:tc>
        <w:tc>
          <w:tcPr>
            <w:tcW w:w="220" w:type="dxa"/>
            <w:vAlign w:val="bottom"/>
          </w:tcPr>
          <w:p>
            <w:pPr>
              <w:spacing w:after="0"/>
              <w:rPr>
                <w:sz w:val="15"/>
                <w:szCs w:val="15"/>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14</w:t>
            </w:r>
          </w:p>
        </w:tc>
      </w:tr>
      <w:tr>
        <w:trPr>
          <w:trHeight w:val="148"/>
        </w:trPr>
        <w:tc>
          <w:tcPr>
            <w:tcW w:w="2280" w:type="dxa"/>
            <w:vAlign w:val="bottom"/>
            <w:gridSpan w:val="4"/>
          </w:tcPr>
          <w:p>
            <w:pPr>
              <w:ind w:left="340"/>
              <w:spacing w:after="0"/>
              <w:rPr>
                <w:sz w:val="20"/>
                <w:szCs w:val="20"/>
                <w:color w:val="auto"/>
              </w:rPr>
            </w:pPr>
            <w:r>
              <w:rPr>
                <w:rFonts w:ascii="Arial" w:cs="Arial" w:eastAsia="Arial" w:hAnsi="Arial"/>
                <w:sz w:val="11"/>
                <w:szCs w:val="11"/>
                <w:b w:val="1"/>
                <w:bCs w:val="1"/>
                <w:color w:val="auto"/>
              </w:rPr>
              <w:t>Total loans</w:t>
            </w: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579,203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564,218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558,331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449,731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454,928</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27</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579,203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454,928</w:t>
            </w:r>
          </w:p>
        </w:tc>
        <w:tc>
          <w:tcPr>
            <w:tcW w:w="220" w:type="dxa"/>
            <w:vAlign w:val="bottom"/>
          </w:tcPr>
          <w:p>
            <w:pPr>
              <w:spacing w:after="0"/>
              <w:rPr>
                <w:sz w:val="12"/>
                <w:szCs w:val="12"/>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27</w:t>
            </w:r>
          </w:p>
        </w:tc>
      </w:tr>
      <w:tr>
        <w:trPr>
          <w:trHeight w:val="318"/>
        </w:trPr>
        <w:tc>
          <w:tcPr>
            <w:tcW w:w="2280" w:type="dxa"/>
            <w:vAlign w:val="bottom"/>
            <w:gridSpan w:val="4"/>
          </w:tcPr>
          <w:p>
            <w:pPr>
              <w:spacing w:after="0"/>
              <w:rPr>
                <w:sz w:val="20"/>
                <w:szCs w:val="20"/>
                <w:color w:val="auto"/>
              </w:rPr>
            </w:pPr>
            <w:r>
              <w:rPr>
                <w:rFonts w:ascii="Arial" w:cs="Arial" w:eastAsia="Arial" w:hAnsi="Arial"/>
                <w:sz w:val="11"/>
                <w:szCs w:val="11"/>
                <w:color w:val="auto"/>
              </w:rPr>
              <w:t>Deposits</w:t>
            </w:r>
          </w:p>
        </w:tc>
        <w:tc>
          <w:tcPr>
            <w:tcW w:w="620" w:type="dxa"/>
            <w:vAlign w:val="bottom"/>
            <w:gridSpan w:val="2"/>
          </w:tcPr>
          <w:p>
            <w:pPr>
              <w:jc w:val="right"/>
              <w:ind w:right="6"/>
              <w:spacing w:after="0"/>
              <w:rPr>
                <w:sz w:val="20"/>
                <w:szCs w:val="20"/>
                <w:color w:val="auto"/>
              </w:rPr>
            </w:pPr>
            <w:r>
              <w:rPr>
                <w:rFonts w:ascii="Arial" w:cs="Arial" w:eastAsia="Arial" w:hAnsi="Arial"/>
                <w:sz w:val="11"/>
                <w:szCs w:val="11"/>
                <w:color w:val="auto"/>
              </w:rPr>
              <w:t>1,094,738</w:t>
            </w:r>
          </w:p>
        </w:tc>
        <w:tc>
          <w:tcPr>
            <w:tcW w:w="240" w:type="dxa"/>
            <w:vAlign w:val="bottom"/>
          </w:tcPr>
          <w:p>
            <w:pPr>
              <w:spacing w:after="0"/>
              <w:rPr>
                <w:sz w:val="20"/>
                <w:szCs w:val="20"/>
                <w:color w:val="auto"/>
              </w:rPr>
            </w:pPr>
            <w:r>
              <w:rPr>
                <w:rFonts w:ascii="Arial" w:cs="Arial" w:eastAsia="Arial" w:hAnsi="Arial"/>
                <w:sz w:val="11"/>
                <w:szCs w:val="11"/>
                <w:color w:val="auto"/>
              </w:rPr>
              <w:t>(e)</w:t>
            </w:r>
          </w:p>
        </w:tc>
        <w:tc>
          <w:tcPr>
            <w:tcW w:w="600" w:type="dxa"/>
            <w:vAlign w:val="bottom"/>
            <w:gridSpan w:val="2"/>
          </w:tcPr>
          <w:p>
            <w:pPr>
              <w:jc w:val="right"/>
              <w:ind w:right="6"/>
              <w:spacing w:after="0"/>
              <w:rPr>
                <w:sz w:val="20"/>
                <w:szCs w:val="20"/>
                <w:color w:val="auto"/>
              </w:rPr>
            </w:pPr>
            <w:r>
              <w:rPr>
                <w:rFonts w:ascii="Arial" w:cs="Arial" w:eastAsia="Arial" w:hAnsi="Arial"/>
                <w:sz w:val="11"/>
                <w:szCs w:val="11"/>
                <w:color w:val="auto"/>
              </w:rPr>
              <w:t>1,136,884</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620" w:type="dxa"/>
            <w:vAlign w:val="bottom"/>
            <w:gridSpan w:val="2"/>
          </w:tcPr>
          <w:p>
            <w:pPr>
              <w:jc w:val="right"/>
              <w:ind w:right="6"/>
              <w:spacing w:after="0"/>
              <w:rPr>
                <w:sz w:val="20"/>
                <w:szCs w:val="20"/>
                <w:color w:val="auto"/>
              </w:rPr>
            </w:pPr>
            <w:r>
              <w:rPr>
                <w:rFonts w:ascii="Arial" w:cs="Arial" w:eastAsia="Arial" w:hAnsi="Arial"/>
                <w:sz w:val="11"/>
                <w:szCs w:val="11"/>
                <w:color w:val="auto"/>
              </w:rPr>
              <w:t>1,173,514</w:t>
            </w:r>
          </w:p>
        </w:tc>
        <w:tc>
          <w:tcPr>
            <w:tcW w:w="240" w:type="dxa"/>
            <w:vAlign w:val="bottom"/>
          </w:tcPr>
          <w:p>
            <w:pPr>
              <w:spacing w:after="0"/>
              <w:rPr>
                <w:sz w:val="20"/>
                <w:szCs w:val="20"/>
                <w:color w:val="auto"/>
              </w:rPr>
            </w:pPr>
            <w:r>
              <w:rPr>
                <w:rFonts w:ascii="Arial" w:cs="Arial" w:eastAsia="Arial" w:hAnsi="Arial"/>
                <w:sz w:val="11"/>
                <w:szCs w:val="11"/>
                <w:color w:val="auto"/>
              </w:rPr>
              <w:t>(e)</w:t>
            </w:r>
          </w:p>
        </w:tc>
        <w:tc>
          <w:tcPr>
            <w:tcW w:w="600" w:type="dxa"/>
            <w:vAlign w:val="bottom"/>
            <w:gridSpan w:val="2"/>
          </w:tcPr>
          <w:p>
            <w:pPr>
              <w:jc w:val="right"/>
              <w:ind w:right="6"/>
              <w:spacing w:after="0"/>
              <w:rPr>
                <w:sz w:val="20"/>
                <w:szCs w:val="20"/>
                <w:color w:val="auto"/>
              </w:rPr>
            </w:pPr>
            <w:r>
              <w:rPr>
                <w:rFonts w:ascii="Arial" w:cs="Arial" w:eastAsia="Arial" w:hAnsi="Arial"/>
                <w:sz w:val="11"/>
                <w:szCs w:val="11"/>
                <w:color w:val="auto"/>
              </w:rPr>
              <w:t>1,147,474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w w:val="89"/>
              </w:rPr>
              <w:t>1,131,611</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24"/>
                <w:szCs w:val="2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420" w:type="dxa"/>
            <w:vAlign w:val="bottom"/>
          </w:tcPr>
          <w:p>
            <w:pPr>
              <w:spacing w:after="0"/>
              <w:rPr>
                <w:sz w:val="24"/>
                <w:szCs w:val="24"/>
                <w:color w:val="auto"/>
              </w:rPr>
            </w:pPr>
          </w:p>
        </w:tc>
        <w:tc>
          <w:tcPr>
            <w:tcW w:w="620" w:type="dxa"/>
            <w:vAlign w:val="bottom"/>
            <w:gridSpan w:val="2"/>
          </w:tcPr>
          <w:p>
            <w:pPr>
              <w:jc w:val="right"/>
              <w:ind w:right="6"/>
              <w:spacing w:after="0"/>
              <w:rPr>
                <w:sz w:val="20"/>
                <w:szCs w:val="20"/>
                <w:color w:val="auto"/>
              </w:rPr>
            </w:pPr>
            <w:r>
              <w:rPr>
                <w:rFonts w:ascii="Arial" w:cs="Arial" w:eastAsia="Arial" w:hAnsi="Arial"/>
                <w:sz w:val="11"/>
                <w:szCs w:val="11"/>
                <w:color w:val="auto"/>
              </w:rPr>
              <w:t>1,094,738</w:t>
            </w:r>
          </w:p>
        </w:tc>
        <w:tc>
          <w:tcPr>
            <w:tcW w:w="240" w:type="dxa"/>
            <w:vAlign w:val="bottom"/>
          </w:tcPr>
          <w:p>
            <w:pPr>
              <w:spacing w:after="0"/>
              <w:rPr>
                <w:sz w:val="20"/>
                <w:szCs w:val="20"/>
                <w:color w:val="auto"/>
              </w:rPr>
            </w:pPr>
            <w:r>
              <w:rPr>
                <w:rFonts w:ascii="Arial" w:cs="Arial" w:eastAsia="Arial" w:hAnsi="Arial"/>
                <w:sz w:val="11"/>
                <w:szCs w:val="11"/>
                <w:color w:val="auto"/>
              </w:rPr>
              <w:t>(e)</w:t>
            </w:r>
          </w:p>
        </w:tc>
        <w:tc>
          <w:tcPr>
            <w:tcW w:w="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w w:val="89"/>
              </w:rPr>
              <w:t>1,131,611</w:t>
            </w:r>
          </w:p>
        </w:tc>
        <w:tc>
          <w:tcPr>
            <w:tcW w:w="220" w:type="dxa"/>
            <w:vAlign w:val="bottom"/>
          </w:tcPr>
          <w:p>
            <w:pPr>
              <w:spacing w:after="0"/>
              <w:rPr>
                <w:sz w:val="24"/>
                <w:szCs w:val="24"/>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(3)</w:t>
            </w:r>
          </w:p>
        </w:tc>
      </w:tr>
      <w:tr>
        <w:trPr>
          <w:trHeight w:val="162"/>
        </w:trPr>
        <w:tc>
          <w:tcPr>
            <w:tcW w:w="2280" w:type="dxa"/>
            <w:vAlign w:val="bottom"/>
            <w:gridSpan w:val="4"/>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55,500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55,500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55,500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52,000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55,500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11</w:t>
            </w:r>
          </w:p>
        </w:tc>
      </w:tr>
      <w:tr>
        <w:trPr>
          <w:trHeight w:val="303"/>
        </w:trPr>
        <w:tc>
          <w:tcPr>
            <w:tcW w:w="2280" w:type="dxa"/>
            <w:vAlign w:val="bottom"/>
            <w:gridSpan w:val="4"/>
          </w:tcPr>
          <w:p>
            <w:pPr>
              <w:spacing w:after="0"/>
              <w:rPr>
                <w:sz w:val="20"/>
                <w:szCs w:val="20"/>
                <w:color w:val="auto"/>
              </w:rPr>
            </w:pPr>
            <w:r>
              <w:rPr>
                <w:rFonts w:ascii="Arial" w:cs="Arial" w:eastAsia="Arial" w:hAnsi="Arial"/>
                <w:sz w:val="11"/>
                <w:szCs w:val="11"/>
                <w:b w:val="1"/>
                <w:bCs w:val="1"/>
                <w:color w:val="auto"/>
              </w:rPr>
              <w:t>SELECTED BALANCE SHEET DATA</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88"/>
        </w:trPr>
        <w:tc>
          <w:tcPr>
            <w:tcW w:w="184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(average)</w:t>
            </w: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3"/>
        </w:trPr>
        <w:tc>
          <w:tcPr>
            <w:tcW w:w="2280" w:type="dxa"/>
            <w:vAlign w:val="bottom"/>
            <w:gridSpan w:val="4"/>
          </w:tcPr>
          <w:p>
            <w:pPr>
              <w:spacing w:after="0"/>
              <w:rPr>
                <w:sz w:val="20"/>
                <w:szCs w:val="20"/>
                <w:color w:val="auto"/>
              </w:rPr>
            </w:pPr>
            <w:r>
              <w:rPr>
                <w:rFonts w:ascii="Arial" w:cs="Arial" w:eastAsia="Arial" w:hAnsi="Arial"/>
                <w:sz w:val="11"/>
                <w:szCs w:val="11"/>
                <w:color w:val="auto"/>
              </w:rPr>
              <w:t>Total assets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629,744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622,760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576,417</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506,775</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504,859</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25</w:t>
            </w: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584,367</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497,263</w:t>
            </w:r>
          </w:p>
        </w:tc>
        <w:tc>
          <w:tcPr>
            <w:tcW w:w="2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18</w:t>
            </w:r>
          </w:p>
        </w:tc>
      </w:tr>
      <w:tr>
        <w:trPr>
          <w:trHeight w:val="324"/>
        </w:trPr>
        <w:tc>
          <w:tcPr>
            <w:tcW w:w="2280" w:type="dxa"/>
            <w:vAlign w:val="bottom"/>
            <w:gridSpan w:val="4"/>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2"/>
        </w:trPr>
        <w:tc>
          <w:tcPr>
            <w:tcW w:w="2280" w:type="dxa"/>
            <w:vAlign w:val="bottom"/>
            <w:gridSpan w:val="4"/>
          </w:tcPr>
          <w:p>
            <w:pPr>
              <w:ind w:left="120"/>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30,718</w:t>
            </w:r>
          </w:p>
        </w:tc>
        <w:tc>
          <w:tcPr>
            <w:tcW w:w="240" w:type="dxa"/>
            <w:vAlign w:val="bottom"/>
          </w:tcPr>
          <w:p>
            <w:pPr>
              <w:spacing w:after="0"/>
              <w:rPr>
                <w:sz w:val="20"/>
                <w:szCs w:val="20"/>
                <w:color w:val="auto"/>
              </w:rPr>
            </w:pPr>
            <w:r>
              <w:rPr>
                <w:rFonts w:ascii="Arial" w:cs="Arial" w:eastAsia="Arial" w:hAnsi="Arial"/>
                <w:sz w:val="11"/>
                <w:szCs w:val="11"/>
                <w:color w:val="auto"/>
              </w:rPr>
              <w:t>(f)</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30,686</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30,628</w:t>
            </w:r>
          </w:p>
        </w:tc>
        <w:tc>
          <w:tcPr>
            <w:tcW w:w="240" w:type="dxa"/>
            <w:vAlign w:val="bottom"/>
          </w:tcPr>
          <w:p>
            <w:pPr>
              <w:spacing w:after="0"/>
              <w:rPr>
                <w:sz w:val="20"/>
                <w:szCs w:val="20"/>
                <w:color w:val="auto"/>
              </w:rPr>
            </w:pPr>
            <w:r>
              <w:rPr>
                <w:rFonts w:ascii="Arial" w:cs="Arial" w:eastAsia="Arial" w:hAnsi="Arial"/>
                <w:sz w:val="11"/>
                <w:szCs w:val="11"/>
                <w:color w:val="auto"/>
              </w:rPr>
              <w:t>(f)</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28,504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29,412</w:t>
            </w:r>
          </w:p>
        </w:tc>
        <w:tc>
          <w:tcPr>
            <w:tcW w:w="2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30,142</w:t>
            </w:r>
          </w:p>
        </w:tc>
        <w:tc>
          <w:tcPr>
            <w:tcW w:w="240" w:type="dxa"/>
            <w:vAlign w:val="bottom"/>
          </w:tcPr>
          <w:p>
            <w:pPr>
              <w:spacing w:after="0"/>
              <w:rPr>
                <w:sz w:val="20"/>
                <w:szCs w:val="20"/>
                <w:color w:val="auto"/>
              </w:rPr>
            </w:pPr>
            <w:r>
              <w:rPr>
                <w:rFonts w:ascii="Arial" w:cs="Arial" w:eastAsia="Arial" w:hAnsi="Arial"/>
                <w:sz w:val="11"/>
                <w:szCs w:val="11"/>
                <w:color w:val="auto"/>
              </w:rPr>
              <w:t>(f)</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31,545</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(4)</w:t>
            </w:r>
          </w:p>
        </w:tc>
      </w:tr>
      <w:tr>
        <w:trPr>
          <w:trHeight w:val="162"/>
        </w:trPr>
        <w:tc>
          <w:tcPr>
            <w:tcW w:w="2280" w:type="dxa"/>
            <w:vAlign w:val="bottom"/>
            <w:gridSpan w:val="4"/>
          </w:tcPr>
          <w:p>
            <w:pPr>
              <w:ind w:left="120"/>
              <w:spacing w:after="0"/>
              <w:rPr>
                <w:sz w:val="20"/>
                <w:szCs w:val="20"/>
                <w:color w:val="auto"/>
              </w:rPr>
            </w:pPr>
            <w:r>
              <w:rPr>
                <w:rFonts w:ascii="Arial" w:cs="Arial" w:eastAsia="Arial" w:hAnsi="Arial"/>
                <w:sz w:val="11"/>
                <w:szCs w:val="11"/>
                <w:color w:val="auto"/>
              </w:rPr>
              <w:t>Home Lending (c)</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261,394</w:t>
            </w:r>
          </w:p>
        </w:tc>
        <w:tc>
          <w:tcPr>
            <w:tcW w:w="240" w:type="dxa"/>
            <w:vAlign w:val="bottom"/>
          </w:tcPr>
          <w:p>
            <w:pPr>
              <w:spacing w:after="0"/>
              <w:rPr>
                <w:sz w:val="20"/>
                <w:szCs w:val="20"/>
                <w:color w:val="auto"/>
              </w:rPr>
            </w:pPr>
            <w:r>
              <w:rPr>
                <w:rFonts w:ascii="Arial" w:cs="Arial" w:eastAsia="Arial" w:hAnsi="Arial"/>
                <w:sz w:val="11"/>
                <w:szCs w:val="11"/>
                <w:color w:val="auto"/>
              </w:rPr>
              <w:t>(f)</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264,041</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229,569</w:t>
            </w:r>
          </w:p>
        </w:tc>
        <w:tc>
          <w:tcPr>
            <w:tcW w:w="240" w:type="dxa"/>
            <w:vAlign w:val="bottom"/>
          </w:tcPr>
          <w:p>
            <w:pPr>
              <w:spacing w:after="0"/>
              <w:rPr>
                <w:sz w:val="20"/>
                <w:szCs w:val="20"/>
                <w:color w:val="auto"/>
              </w:rPr>
            </w:pPr>
            <w:r>
              <w:rPr>
                <w:rFonts w:ascii="Arial" w:cs="Arial" w:eastAsia="Arial" w:hAnsi="Arial"/>
                <w:sz w:val="11"/>
                <w:szCs w:val="11"/>
                <w:color w:val="auto"/>
              </w:rPr>
              <w:t>(f)</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172,124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174,487</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50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232,115</w:t>
            </w:r>
          </w:p>
        </w:tc>
        <w:tc>
          <w:tcPr>
            <w:tcW w:w="240" w:type="dxa"/>
            <w:vAlign w:val="bottom"/>
          </w:tcPr>
          <w:p>
            <w:pPr>
              <w:spacing w:after="0"/>
              <w:rPr>
                <w:sz w:val="20"/>
                <w:szCs w:val="20"/>
                <w:color w:val="auto"/>
              </w:rPr>
            </w:pPr>
            <w:r>
              <w:rPr>
                <w:rFonts w:ascii="Arial" w:cs="Arial" w:eastAsia="Arial" w:hAnsi="Arial"/>
                <w:sz w:val="11"/>
                <w:szCs w:val="11"/>
                <w:color w:val="auto"/>
              </w:rPr>
              <w:t>(f)</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176,285</w:t>
            </w:r>
          </w:p>
        </w:tc>
        <w:tc>
          <w:tcPr>
            <w:tcW w:w="2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32</w:t>
            </w:r>
          </w:p>
        </w:tc>
      </w:tr>
      <w:tr>
        <w:trPr>
          <w:trHeight w:val="162"/>
        </w:trPr>
        <w:tc>
          <w:tcPr>
            <w:tcW w:w="2280" w:type="dxa"/>
            <w:vAlign w:val="bottom"/>
            <w:gridSpan w:val="4"/>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202,685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195,245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187,028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180,451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177,026</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191,424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163,335</w:t>
            </w:r>
          </w:p>
        </w:tc>
        <w:tc>
          <w:tcPr>
            <w:tcW w:w="2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17</w:t>
            </w:r>
          </w:p>
        </w:tc>
      </w:tr>
      <w:tr>
        <w:trPr>
          <w:trHeight w:val="175"/>
        </w:trPr>
        <w:tc>
          <w:tcPr>
            <w:tcW w:w="2280" w:type="dxa"/>
            <w:vAlign w:val="bottom"/>
            <w:gridSpan w:val="4"/>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76,409</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74,358</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71,083</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68,744</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67,623</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5"/>
                <w:szCs w:val="15"/>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72,674</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68,098</w:t>
            </w:r>
          </w:p>
        </w:tc>
        <w:tc>
          <w:tcPr>
            <w:tcW w:w="220" w:type="dxa"/>
            <w:vAlign w:val="bottom"/>
          </w:tcPr>
          <w:p>
            <w:pPr>
              <w:spacing w:after="0"/>
              <w:rPr>
                <w:sz w:val="15"/>
                <w:szCs w:val="15"/>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7</w:t>
            </w:r>
          </w:p>
        </w:tc>
      </w:tr>
      <w:tr>
        <w:trPr>
          <w:trHeight w:val="148"/>
        </w:trPr>
        <w:tc>
          <w:tcPr>
            <w:tcW w:w="2280" w:type="dxa"/>
            <w:vAlign w:val="bottom"/>
            <w:gridSpan w:val="4"/>
          </w:tcPr>
          <w:p>
            <w:pPr>
              <w:ind w:left="340"/>
              <w:spacing w:after="0"/>
              <w:rPr>
                <w:sz w:val="20"/>
                <w:szCs w:val="20"/>
                <w:color w:val="auto"/>
              </w:rPr>
            </w:pPr>
            <w:r>
              <w:rPr>
                <w:rFonts w:ascii="Arial" w:cs="Arial" w:eastAsia="Arial" w:hAnsi="Arial"/>
                <w:sz w:val="11"/>
                <w:szCs w:val="11"/>
                <w:b w:val="1"/>
                <w:bCs w:val="1"/>
                <w:color w:val="auto"/>
              </w:rPr>
              <w:t>Total loans</w:t>
            </w: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571,206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564,330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518,308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449,823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448,548</w:t>
            </w:r>
          </w:p>
        </w:tc>
        <w:tc>
          <w:tcPr>
            <w:tcW w:w="80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27</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526,355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439,263</w:t>
            </w:r>
          </w:p>
        </w:tc>
        <w:tc>
          <w:tcPr>
            <w:tcW w:w="220" w:type="dxa"/>
            <w:vAlign w:val="bottom"/>
          </w:tcPr>
          <w:p>
            <w:pPr>
              <w:spacing w:after="0"/>
              <w:rPr>
                <w:sz w:val="12"/>
                <w:szCs w:val="12"/>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20</w:t>
            </w:r>
          </w:p>
        </w:tc>
      </w:tr>
      <w:tr>
        <w:trPr>
          <w:trHeight w:val="318"/>
        </w:trPr>
        <w:tc>
          <w:tcPr>
            <w:tcW w:w="2280" w:type="dxa"/>
            <w:vAlign w:val="bottom"/>
            <w:gridSpan w:val="4"/>
          </w:tcPr>
          <w:p>
            <w:pPr>
              <w:spacing w:after="0"/>
              <w:rPr>
                <w:sz w:val="20"/>
                <w:szCs w:val="20"/>
                <w:color w:val="auto"/>
              </w:rPr>
            </w:pPr>
            <w:r>
              <w:rPr>
                <w:rFonts w:ascii="Arial" w:cs="Arial" w:eastAsia="Arial" w:hAnsi="Arial"/>
                <w:sz w:val="11"/>
                <w:szCs w:val="11"/>
                <w:color w:val="auto"/>
              </w:rPr>
              <w:t>Deposits</w:t>
            </w:r>
          </w:p>
        </w:tc>
        <w:tc>
          <w:tcPr>
            <w:tcW w:w="620" w:type="dxa"/>
            <w:vAlign w:val="bottom"/>
            <w:gridSpan w:val="2"/>
          </w:tcPr>
          <w:p>
            <w:pPr>
              <w:jc w:val="right"/>
              <w:ind w:right="6"/>
              <w:spacing w:after="0"/>
              <w:rPr>
                <w:sz w:val="20"/>
                <w:szCs w:val="20"/>
                <w:color w:val="auto"/>
              </w:rPr>
            </w:pPr>
            <w:r>
              <w:rPr>
                <w:rFonts w:ascii="Arial" w:cs="Arial" w:eastAsia="Arial" w:hAnsi="Arial"/>
                <w:sz w:val="11"/>
                <w:szCs w:val="11"/>
                <w:color w:val="auto"/>
              </w:rPr>
              <w:t>1,092,432</w:t>
            </w:r>
          </w:p>
        </w:tc>
        <w:tc>
          <w:tcPr>
            <w:tcW w:w="240" w:type="dxa"/>
            <w:vAlign w:val="bottom"/>
          </w:tcPr>
          <w:p>
            <w:pPr>
              <w:spacing w:after="0"/>
              <w:rPr>
                <w:sz w:val="20"/>
                <w:szCs w:val="20"/>
                <w:color w:val="auto"/>
              </w:rPr>
            </w:pPr>
            <w:r>
              <w:rPr>
                <w:rFonts w:ascii="Arial" w:cs="Arial" w:eastAsia="Arial" w:hAnsi="Arial"/>
                <w:sz w:val="11"/>
                <w:szCs w:val="11"/>
                <w:color w:val="auto"/>
              </w:rPr>
              <w:t>(g)</w:t>
            </w:r>
          </w:p>
        </w:tc>
        <w:tc>
          <w:tcPr>
            <w:tcW w:w="600" w:type="dxa"/>
            <w:vAlign w:val="bottom"/>
            <w:gridSpan w:val="2"/>
          </w:tcPr>
          <w:p>
            <w:pPr>
              <w:jc w:val="right"/>
              <w:ind w:right="6"/>
              <w:spacing w:after="0"/>
              <w:rPr>
                <w:sz w:val="20"/>
                <w:szCs w:val="20"/>
                <w:color w:val="auto"/>
              </w:rPr>
            </w:pPr>
            <w:r>
              <w:rPr>
                <w:rFonts w:ascii="Arial" w:cs="Arial" w:eastAsia="Arial" w:hAnsi="Arial"/>
                <w:sz w:val="11"/>
                <w:szCs w:val="11"/>
                <w:color w:val="auto"/>
              </w:rPr>
              <w:t>1,143,539</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620" w:type="dxa"/>
            <w:vAlign w:val="bottom"/>
            <w:gridSpan w:val="2"/>
          </w:tcPr>
          <w:p>
            <w:pPr>
              <w:jc w:val="right"/>
              <w:ind w:right="6"/>
              <w:spacing w:after="0"/>
              <w:rPr>
                <w:sz w:val="20"/>
                <w:szCs w:val="20"/>
                <w:color w:val="auto"/>
              </w:rPr>
            </w:pPr>
            <w:r>
              <w:rPr>
                <w:rFonts w:ascii="Arial" w:cs="Arial" w:eastAsia="Arial" w:hAnsi="Arial"/>
                <w:sz w:val="11"/>
                <w:szCs w:val="11"/>
                <w:color w:val="auto"/>
              </w:rPr>
              <w:t>1,157,309</w:t>
            </w:r>
          </w:p>
        </w:tc>
        <w:tc>
          <w:tcPr>
            <w:tcW w:w="240" w:type="dxa"/>
            <w:vAlign w:val="bottom"/>
          </w:tcPr>
          <w:p>
            <w:pPr>
              <w:spacing w:after="0"/>
              <w:rPr>
                <w:sz w:val="20"/>
                <w:szCs w:val="20"/>
                <w:color w:val="auto"/>
              </w:rPr>
            </w:pPr>
            <w:r>
              <w:rPr>
                <w:rFonts w:ascii="Arial" w:cs="Arial" w:eastAsia="Arial" w:hAnsi="Arial"/>
                <w:sz w:val="11"/>
                <w:szCs w:val="11"/>
                <w:color w:val="auto"/>
              </w:rPr>
              <w:t>(g)</w:t>
            </w:r>
          </w:p>
        </w:tc>
        <w:tc>
          <w:tcPr>
            <w:tcW w:w="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w w:val="89"/>
              </w:rPr>
              <w:t>1,112,967</w:t>
            </w:r>
          </w:p>
        </w:tc>
        <w:tc>
          <w:tcPr>
            <w:tcW w:w="220" w:type="dxa"/>
            <w:vAlign w:val="bottom"/>
          </w:tcPr>
          <w:p>
            <w:pPr>
              <w:spacing w:after="0"/>
              <w:rPr>
                <w:sz w:val="24"/>
                <w:szCs w:val="24"/>
                <w:color w:val="auto"/>
              </w:rPr>
            </w:pPr>
          </w:p>
        </w:tc>
        <w:tc>
          <w:tcPr>
            <w:tcW w:w="600" w:type="dxa"/>
            <w:vAlign w:val="bottom"/>
            <w:gridSpan w:val="2"/>
          </w:tcPr>
          <w:p>
            <w:pPr>
              <w:jc w:val="right"/>
              <w:ind w:right="6"/>
              <w:spacing w:after="0"/>
              <w:rPr>
                <w:sz w:val="20"/>
                <w:szCs w:val="20"/>
                <w:color w:val="auto"/>
              </w:rPr>
            </w:pPr>
            <w:r>
              <w:rPr>
                <w:rFonts w:ascii="Arial" w:cs="Arial" w:eastAsia="Arial" w:hAnsi="Arial"/>
                <w:sz w:val="11"/>
                <w:szCs w:val="11"/>
                <w:color w:val="auto"/>
              </w:rPr>
              <w:t>1,142,523</w:t>
            </w:r>
          </w:p>
        </w:tc>
        <w:tc>
          <w:tcPr>
            <w:tcW w:w="80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24"/>
                <w:szCs w:val="24"/>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24"/>
                <w:szCs w:val="24"/>
                <w:color w:val="auto"/>
              </w:rPr>
            </w:pPr>
          </w:p>
        </w:tc>
        <w:tc>
          <w:tcPr>
            <w:tcW w:w="620" w:type="dxa"/>
            <w:vAlign w:val="bottom"/>
            <w:gridSpan w:val="2"/>
          </w:tcPr>
          <w:p>
            <w:pPr>
              <w:jc w:val="right"/>
              <w:ind w:right="6"/>
              <w:spacing w:after="0"/>
              <w:rPr>
                <w:sz w:val="20"/>
                <w:szCs w:val="20"/>
                <w:color w:val="auto"/>
              </w:rPr>
            </w:pPr>
            <w:r>
              <w:rPr>
                <w:rFonts w:ascii="Arial" w:cs="Arial" w:eastAsia="Arial" w:hAnsi="Arial"/>
                <w:sz w:val="11"/>
                <w:szCs w:val="11"/>
                <w:color w:val="auto"/>
              </w:rPr>
              <w:t>1,126,552</w:t>
            </w:r>
          </w:p>
        </w:tc>
        <w:tc>
          <w:tcPr>
            <w:tcW w:w="240" w:type="dxa"/>
            <w:vAlign w:val="bottom"/>
          </w:tcPr>
          <w:p>
            <w:pPr>
              <w:spacing w:after="0"/>
              <w:rPr>
                <w:sz w:val="20"/>
                <w:szCs w:val="20"/>
                <w:color w:val="auto"/>
              </w:rPr>
            </w:pPr>
            <w:r>
              <w:rPr>
                <w:rFonts w:ascii="Arial" w:cs="Arial" w:eastAsia="Arial" w:hAnsi="Arial"/>
                <w:sz w:val="11"/>
                <w:szCs w:val="11"/>
                <w:color w:val="auto"/>
              </w:rPr>
              <w:t>(g)</w:t>
            </w:r>
          </w:p>
        </w:tc>
        <w:tc>
          <w:tcPr>
            <w:tcW w:w="600" w:type="dxa"/>
            <w:vAlign w:val="bottom"/>
            <w:gridSpan w:val="2"/>
          </w:tcPr>
          <w:p>
            <w:pPr>
              <w:jc w:val="right"/>
              <w:ind w:right="6"/>
              <w:spacing w:after="0"/>
              <w:rPr>
                <w:sz w:val="20"/>
                <w:szCs w:val="20"/>
                <w:color w:val="auto"/>
              </w:rPr>
            </w:pPr>
            <w:r>
              <w:rPr>
                <w:rFonts w:ascii="Arial" w:cs="Arial" w:eastAsia="Arial" w:hAnsi="Arial"/>
                <w:sz w:val="11"/>
                <w:szCs w:val="11"/>
                <w:color w:val="auto"/>
              </w:rPr>
              <w:t>1,162,680</w:t>
            </w:r>
          </w:p>
        </w:tc>
        <w:tc>
          <w:tcPr>
            <w:tcW w:w="220" w:type="dxa"/>
            <w:vAlign w:val="bottom"/>
          </w:tcPr>
          <w:p>
            <w:pPr>
              <w:spacing w:after="0"/>
              <w:rPr>
                <w:sz w:val="24"/>
                <w:szCs w:val="24"/>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(3)</w:t>
            </w:r>
          </w:p>
        </w:tc>
      </w:tr>
      <w:tr>
        <w:trPr>
          <w:trHeight w:val="162"/>
        </w:trPr>
        <w:tc>
          <w:tcPr>
            <w:tcW w:w="2280" w:type="dxa"/>
            <w:vAlign w:val="bottom"/>
            <w:gridSpan w:val="4"/>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55,500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55,500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54,346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52,000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54,349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9</w:t>
            </w:r>
          </w:p>
        </w:tc>
      </w:tr>
      <w:tr>
        <w:trPr>
          <w:trHeight w:val="330"/>
        </w:trPr>
        <w:tc>
          <w:tcPr>
            <w:tcW w:w="2280" w:type="dxa"/>
            <w:vAlign w:val="bottom"/>
            <w:gridSpan w:val="4"/>
          </w:tcPr>
          <w:p>
            <w:pPr>
              <w:spacing w:after="0"/>
              <w:rPr>
                <w:sz w:val="20"/>
                <w:szCs w:val="20"/>
                <w:color w:val="auto"/>
              </w:rPr>
            </w:pPr>
            <w:r>
              <w:rPr>
                <w:rFonts w:ascii="Arial" w:cs="Arial" w:eastAsia="Arial" w:hAnsi="Arial"/>
                <w:sz w:val="11"/>
                <w:szCs w:val="11"/>
                <w:b w:val="1"/>
                <w:bCs w:val="1"/>
                <w:color w:val="auto"/>
              </w:rPr>
              <w:t>Employees</w:t>
            </w:r>
          </w:p>
        </w:tc>
        <w:tc>
          <w:tcPr>
            <w:tcW w:w="120" w:type="dxa"/>
            <w:vAlign w:val="bottom"/>
          </w:tcPr>
          <w:p>
            <w:pPr>
              <w:spacing w:after="0"/>
              <w:rPr>
                <w:sz w:val="24"/>
                <w:szCs w:val="2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141,640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141,125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137,087</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135,983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135,347</w:t>
            </w:r>
          </w:p>
        </w:tc>
        <w:tc>
          <w:tcPr>
            <w:tcW w:w="220" w:type="dxa"/>
            <w:vAlign w:val="bottom"/>
          </w:tcPr>
          <w:p>
            <w:pPr>
              <w:spacing w:after="0"/>
              <w:rPr>
                <w:sz w:val="24"/>
                <w:szCs w:val="2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141,640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135,347</w:t>
            </w:r>
          </w:p>
        </w:tc>
        <w:tc>
          <w:tcPr>
            <w:tcW w:w="220" w:type="dxa"/>
            <w:vAlign w:val="bottom"/>
          </w:tcPr>
          <w:p>
            <w:pPr>
              <w:spacing w:after="0"/>
              <w:rPr>
                <w:sz w:val="24"/>
                <w:szCs w:val="2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57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80" w:right="140" w:hanging="172"/>
        <w:spacing w:after="0" w:line="249" w:lineRule="auto"/>
        <w:tabs>
          <w:tab w:leader="none" w:pos="177" w:val="left"/>
        </w:tabs>
        <w:numPr>
          <w:ilvl w:val="0"/>
          <w:numId w:val="19"/>
        </w:numPr>
        <w:rPr>
          <w:rFonts w:ascii="Arial" w:cs="Arial" w:eastAsia="Arial" w:hAnsi="Arial"/>
          <w:sz w:val="11"/>
          <w:szCs w:val="11"/>
          <w:color w:val="auto"/>
        </w:rPr>
      </w:pPr>
      <w:r>
        <w:rPr>
          <w:rFonts w:ascii="Arial" w:cs="Arial" w:eastAsia="Arial" w:hAnsi="Arial"/>
          <w:sz w:val="11"/>
          <w:szCs w:val="11"/>
          <w:color w:val="auto"/>
        </w:rPr>
        <w:t>At December 31, 2023, September 30, 2023, June 30, 2023, March 31, 2023 and December 31, 2022 included $94 million, $129 million, $163 million, $205 million and $350 million of loans, respectively, in Business Banking under the Paycheck Protection Program (“PPP”). Refer to pages 108-109 of the Firm’s 2022 Form 10-K for further information on the PPP.</w:t>
      </w:r>
    </w:p>
    <w:p>
      <w:pPr>
        <w:ind w:left="180" w:right="120" w:hanging="172"/>
        <w:spacing w:after="0" w:line="243" w:lineRule="auto"/>
        <w:tabs>
          <w:tab w:leader="none" w:pos="177" w:val="left"/>
        </w:tabs>
        <w:numPr>
          <w:ilvl w:val="0"/>
          <w:numId w:val="19"/>
        </w:numPr>
        <w:rPr>
          <w:rFonts w:ascii="Arial" w:cs="Arial" w:eastAsia="Arial" w:hAnsi="Arial"/>
          <w:sz w:val="11"/>
          <w:szCs w:val="11"/>
          <w:color w:val="auto"/>
        </w:rPr>
      </w:pPr>
      <w:r>
        <w:rPr>
          <w:rFonts w:ascii="Arial" w:cs="Arial" w:eastAsia="Arial" w:hAnsi="Arial"/>
          <w:sz w:val="11"/>
          <w:szCs w:val="11"/>
          <w:color w:val="auto"/>
        </w:rPr>
        <w:t>At December 31, 2023, September 30, 2023, June 30, 2023, March 31, 2023 and December 31, 2022, Home Lending loans held-for-sale and loans at fair value were $3.4 billion, $4.1 billion, $3.9 billion, $4.2 billion and $3.0 billion, respectively.</w:t>
      </w:r>
    </w:p>
    <w:p>
      <w:pPr>
        <w:ind w:left="180" w:right="20" w:hanging="172"/>
        <w:spacing w:after="0" w:line="246" w:lineRule="auto"/>
        <w:tabs>
          <w:tab w:leader="none" w:pos="171" w:val="left"/>
        </w:tabs>
        <w:numPr>
          <w:ilvl w:val="0"/>
          <w:numId w:val="19"/>
        </w:numPr>
        <w:rPr>
          <w:rFonts w:ascii="Arial" w:cs="Arial" w:eastAsia="Arial" w:hAnsi="Arial"/>
          <w:sz w:val="11"/>
          <w:szCs w:val="11"/>
          <w:color w:val="auto"/>
        </w:rPr>
      </w:pPr>
      <w:r>
        <w:rPr>
          <w:rFonts w:ascii="Arial" w:cs="Arial" w:eastAsia="Arial" w:hAnsi="Arial"/>
          <w:sz w:val="11"/>
          <w:szCs w:val="11"/>
          <w:color w:val="auto"/>
        </w:rPr>
        <w:t>Average Home Lending loans held-for sale and loans at fair value were $4.7 billion, $5.7 billion, $5.3 billion, $3.5 billion and $4.5 billion for the three months ended December 31, 2023, September 30, 2023, June 30, 2023, March 31, 2023 and December 31, 2022, respectively, and $4.8 billion and $7.3 billion for the full year 2023 and 2022, respectively.</w:t>
      </w:r>
    </w:p>
    <w:p>
      <w:pPr>
        <w:ind w:left="180" w:right="100" w:hanging="172"/>
        <w:spacing w:after="0" w:line="243" w:lineRule="auto"/>
        <w:tabs>
          <w:tab w:leader="none" w:pos="177" w:val="left"/>
        </w:tabs>
        <w:numPr>
          <w:ilvl w:val="0"/>
          <w:numId w:val="19"/>
        </w:numPr>
        <w:rPr>
          <w:rFonts w:ascii="Arial" w:cs="Arial" w:eastAsia="Arial" w:hAnsi="Arial"/>
          <w:sz w:val="11"/>
          <w:szCs w:val="11"/>
          <w:color w:val="auto"/>
        </w:rPr>
      </w:pPr>
      <w:r>
        <w:rPr>
          <w:rFonts w:ascii="Arial" w:cs="Arial" w:eastAsia="Arial" w:hAnsi="Arial"/>
          <w:sz w:val="11"/>
          <w:szCs w:val="11"/>
          <w:color w:val="auto"/>
        </w:rPr>
        <w:t>At December 31, 2023, included $4.0 billion and $90.7 billion for Banking &amp; Wealth Management and Home Lending, respectively, $3.1 billion and $91.2 billion, respectively, at September 30, 2023, and $3.4 billion and $91.3 billion, respectively, at June 30, 2023, associated with First Republic.</w:t>
      </w:r>
    </w:p>
    <w:p>
      <w:pPr>
        <w:ind w:left="160" w:hanging="152"/>
        <w:spacing w:after="0"/>
        <w:tabs>
          <w:tab w:leader="none" w:pos="1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Includes First Republic. In the fourth quarter of 2023, CCB transferred certain deposits associated with First Republic to AWM, CB, and CIB. Refer to page 30 for additional information.</w:t>
      </w:r>
    </w:p>
    <w:p>
      <w:pPr>
        <w:spacing w:after="0" w:line="5" w:lineRule="exact"/>
        <w:rPr>
          <w:rFonts w:ascii="Arial" w:cs="Arial" w:eastAsia="Arial" w:hAnsi="Arial"/>
          <w:sz w:val="11"/>
          <w:szCs w:val="11"/>
          <w:color w:val="auto"/>
        </w:rPr>
      </w:pPr>
    </w:p>
    <w:p>
      <w:pPr>
        <w:ind w:left="180" w:right="440" w:hanging="172"/>
        <w:spacing w:after="0" w:line="271" w:lineRule="auto"/>
        <w:tabs>
          <w:tab w:leader="none" w:pos="174" w:val="left"/>
        </w:tabs>
        <w:numPr>
          <w:ilvl w:val="0"/>
          <w:numId w:val="19"/>
        </w:numPr>
        <w:rPr>
          <w:rFonts w:ascii="Arial" w:cs="Arial" w:eastAsia="Arial" w:hAnsi="Arial"/>
          <w:sz w:val="10"/>
          <w:szCs w:val="10"/>
          <w:color w:val="auto"/>
        </w:rPr>
      </w:pPr>
      <w:r>
        <w:rPr>
          <w:rFonts w:ascii="Arial" w:cs="Arial" w:eastAsia="Arial" w:hAnsi="Arial"/>
          <w:sz w:val="10"/>
          <w:szCs w:val="10"/>
          <w:color w:val="auto"/>
        </w:rPr>
        <w:t>Average Banking &amp; Wealth Management and Home Lending loans associated with First Republic were $3.4 billion and $91.1 billion, respectively, for the three months ended December 31, 2023, $3.2 billion and $91.1 billion, respectively, for the three months ended September 30, 2023, $2.7 billion and $57.2 billion, respectively, for the three months ended June 30, 2023, and $2.4 billion and $60.2 billion, respectively, for the full year 2023.</w:t>
      </w:r>
    </w:p>
    <w:p>
      <w:pPr>
        <w:ind w:left="180" w:right="180" w:hanging="172"/>
        <w:spacing w:after="0" w:line="266" w:lineRule="auto"/>
        <w:tabs>
          <w:tab w:leader="none" w:pos="177" w:val="left"/>
        </w:tabs>
        <w:numPr>
          <w:ilvl w:val="0"/>
          <w:numId w:val="19"/>
        </w:numPr>
        <w:rPr>
          <w:rFonts w:ascii="Arial" w:cs="Arial" w:eastAsia="Arial" w:hAnsi="Arial"/>
          <w:sz w:val="11"/>
          <w:szCs w:val="11"/>
          <w:color w:val="auto"/>
        </w:rPr>
      </w:pPr>
      <w:r>
        <w:rPr>
          <w:rFonts w:ascii="Arial" w:cs="Arial" w:eastAsia="Arial" w:hAnsi="Arial"/>
          <w:sz w:val="11"/>
          <w:szCs w:val="11"/>
          <w:color w:val="auto"/>
        </w:rPr>
        <w:t>Average deposits associated with First Republic were $42.9 billion, $66.7 billion and $47.2 billion for the three months ended December 31, 2023, September 30, 2023, and June 30, 2023, respectively, and $39.4 billion for the full year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13</w:t>
      </w:r>
    </w:p>
    <w:p>
      <w:pPr>
        <w:sectPr>
          <w:pgSz w:w="11900" w:h="16838" w:orient="portrait"/>
          <w:cols w:equalWidth="0" w:num="1">
            <w:col w:w="11240"/>
          </w:cols>
          <w:pgMar w:left="320" w:top="936"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13970</wp:posOffset>
            </wp:positionV>
            <wp:extent cx="237426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 COMMUNITY</w:t>
      </w:r>
    </w:p>
    <w:p>
      <w:pPr>
        <w:ind w:left="20"/>
        <w:spacing w:after="0"/>
        <w:rPr>
          <w:sz w:val="20"/>
          <w:szCs w:val="20"/>
          <w:color w:val="auto"/>
        </w:rPr>
      </w:pPr>
      <w:r>
        <w:rPr>
          <w:rFonts w:ascii="Arial" w:cs="Arial" w:eastAsia="Arial" w:hAnsi="Arial"/>
          <w:sz w:val="14"/>
          <w:szCs w:val="14"/>
          <w:b w:val="1"/>
          <w:bCs w:val="1"/>
          <w:color w:val="auto"/>
        </w:rPr>
        <w:t>BANKING</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FINANCIAL HIGHLIGHTS, CONTINUED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9"/>
        </w:trPr>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(in millions, except ratio data)</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1"/>
                <w:szCs w:val="11"/>
                <w:b w:val="1"/>
                <w:bCs w:val="1"/>
                <w:color w:val="auto"/>
              </w:rPr>
              <w:t>QUARTERLY TRENDS</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866"/>
              <w:spacing w:after="0"/>
              <w:rPr>
                <w:sz w:val="20"/>
                <w:szCs w:val="20"/>
                <w:color w:val="auto"/>
              </w:rPr>
            </w:pPr>
            <w:r>
              <w:rPr>
                <w:rFonts w:ascii="Arial" w:cs="Arial" w:eastAsia="Arial" w:hAnsi="Arial"/>
                <w:sz w:val="11"/>
                <w:szCs w:val="11"/>
                <w:b w:val="1"/>
                <w:bCs w:val="1"/>
                <w:color w:val="auto"/>
              </w:rPr>
              <w:t>FULL YEAR</w:t>
            </w:r>
          </w:p>
        </w:tc>
      </w:tr>
      <w:tr>
        <w:trPr>
          <w:trHeight w:val="156"/>
        </w:trPr>
        <w:tc>
          <w:tcPr>
            <w:tcW w:w="2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Borders>
              <w:bottom w:val="single" w:sz="8" w:color="auto"/>
            </w:tcBorders>
            <w:gridSpan w:val="3"/>
          </w:tcPr>
          <w:p>
            <w:pPr>
              <w:jc w:val="right"/>
              <w:ind w:right="306"/>
              <w:spacing w:after="0"/>
              <w:rPr>
                <w:sz w:val="20"/>
                <w:szCs w:val="20"/>
                <w:color w:val="auto"/>
              </w:rPr>
            </w:pPr>
            <w:r>
              <w:rPr>
                <w:rFonts w:ascii="Arial" w:cs="Arial" w:eastAsia="Arial" w:hAnsi="Arial"/>
                <w:sz w:val="11"/>
                <w:szCs w:val="11"/>
                <w:b w:val="1"/>
                <w:bCs w:val="1"/>
                <w:color w:val="auto"/>
              </w:rPr>
              <w:t>4Q23 Change</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2023 Change</w:t>
            </w:r>
          </w:p>
        </w:tc>
      </w:tr>
      <w:tr>
        <w:trPr>
          <w:trHeight w:val="155"/>
        </w:trPr>
        <w:tc>
          <w:tcPr>
            <w:tcW w:w="2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4Q23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3Q23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2Q23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86"/>
              <w:spacing w:after="0"/>
              <w:rPr>
                <w:sz w:val="20"/>
                <w:szCs w:val="20"/>
                <w:color w:val="auto"/>
              </w:rPr>
            </w:pPr>
            <w:r>
              <w:rPr>
                <w:rFonts w:ascii="Arial" w:cs="Arial" w:eastAsia="Arial" w:hAnsi="Arial"/>
                <w:sz w:val="11"/>
                <w:szCs w:val="11"/>
                <w:b w:val="1"/>
                <w:bCs w:val="1"/>
                <w:color w:val="auto"/>
              </w:rPr>
              <w:t>1Q23</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4Q22</w:t>
            </w:r>
          </w:p>
        </w:tc>
        <w:tc>
          <w:tcPr>
            <w:tcW w:w="24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3Q23</w:t>
            </w:r>
          </w:p>
        </w:tc>
        <w:tc>
          <w:tcPr>
            <w:tcW w:w="96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4Q22</w:t>
            </w:r>
          </w:p>
        </w:tc>
        <w:tc>
          <w:tcPr>
            <w:tcW w:w="140" w:type="dxa"/>
            <w:vAlign w:val="bottom"/>
          </w:tcPr>
          <w:p>
            <w:pPr>
              <w:spacing w:after="0"/>
              <w:rPr>
                <w:sz w:val="13"/>
                <w:szCs w:val="13"/>
                <w:color w:val="auto"/>
              </w:rPr>
            </w:pPr>
          </w:p>
        </w:tc>
        <w:tc>
          <w:tcPr>
            <w:tcW w:w="460" w:type="dxa"/>
            <w:vAlign w:val="bottom"/>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100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2022</w:t>
            </w:r>
          </w:p>
        </w:tc>
      </w:tr>
      <w:tr>
        <w:trPr>
          <w:trHeight w:val="108"/>
        </w:trPr>
        <w:tc>
          <w:tcPr>
            <w:tcW w:w="2140" w:type="dxa"/>
            <w:vAlign w:val="bottom"/>
            <w:tcBorders>
              <w:bottom w:val="single" w:sz="8" w:color="auto"/>
            </w:tcBorders>
          </w:tcPr>
          <w:p>
            <w:pPr>
              <w:spacing w:after="0" w:line="108" w:lineRule="exact"/>
              <w:rPr>
                <w:sz w:val="20"/>
                <w:szCs w:val="20"/>
                <w:color w:val="auto"/>
              </w:rPr>
            </w:pPr>
            <w:r>
              <w:rPr>
                <w:rFonts w:ascii="Arial" w:cs="Arial" w:eastAsia="Arial" w:hAnsi="Arial"/>
                <w:sz w:val="11"/>
                <w:szCs w:val="11"/>
                <w:b w:val="1"/>
                <w:bCs w:val="1"/>
                <w:color w:val="auto"/>
                <w:w w:val="96"/>
              </w:rPr>
              <w:t>CREDIT DATA AND QUALITY STATISTICS</w:t>
            </w:r>
          </w:p>
        </w:tc>
        <w:tc>
          <w:tcPr>
            <w:tcW w:w="2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r>
      <w:tr>
        <w:trPr>
          <w:trHeight w:val="163"/>
        </w:trPr>
        <w:tc>
          <w:tcPr>
            <w:tcW w:w="2420" w:type="dxa"/>
            <w:vAlign w:val="bottom"/>
            <w:gridSpan w:val="2"/>
          </w:tcPr>
          <w:p>
            <w:pPr>
              <w:spacing w:after="0"/>
              <w:rPr>
                <w:sz w:val="20"/>
                <w:szCs w:val="20"/>
                <w:color w:val="auto"/>
              </w:rPr>
            </w:pPr>
            <w:r>
              <w:rPr>
                <w:rFonts w:ascii="Arial" w:cs="Arial" w:eastAsia="Arial" w:hAnsi="Arial"/>
                <w:sz w:val="11"/>
                <w:szCs w:val="11"/>
                <w:color w:val="auto"/>
              </w:rPr>
              <w:t>Nonaccrual loans (a)(b)</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3,740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3,690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3,823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3,835</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3,899</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w:t>
            </w:r>
          </w:p>
        </w:tc>
        <w:tc>
          <w:tcPr>
            <w:tcW w:w="38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3,740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3,899</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(4)%</w:t>
            </w:r>
          </w:p>
        </w:tc>
      </w:tr>
      <w:tr>
        <w:trPr>
          <w:trHeight w:val="162"/>
        </w:trPr>
        <w:tc>
          <w:tcPr>
            <w:tcW w:w="2420" w:type="dxa"/>
            <w:vAlign w:val="bottom"/>
            <w:gridSpan w:val="2"/>
          </w:tcPr>
          <w:p>
            <w:pPr>
              <w:spacing w:after="0"/>
              <w:rPr>
                <w:sz w:val="20"/>
                <w:szCs w:val="20"/>
                <w:color w:val="auto"/>
              </w:rPr>
            </w:pPr>
            <w:r>
              <w:rPr>
                <w:rFonts w:ascii="Arial" w:cs="Arial" w:eastAsia="Arial" w:hAnsi="Arial"/>
                <w:sz w:val="11"/>
                <w:szCs w:val="11"/>
                <w:color w:val="auto"/>
              </w:rPr>
              <w:t>Net charge-offs/(recoveries)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95</w:t>
            </w:r>
          </w:p>
        </w:tc>
        <w:tc>
          <w:tcPr>
            <w:tcW w:w="82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340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370</w:t>
            </w:r>
          </w:p>
        </w:tc>
        <w:tc>
          <w:tcPr>
            <w:tcW w:w="100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4"/>
                <w:szCs w:val="14"/>
                <w:color w:val="auto"/>
              </w:rPr>
            </w:pPr>
          </w:p>
        </w:tc>
        <w:tc>
          <w:tcPr>
            <w:tcW w:w="80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96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(229)</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76</w:t>
            </w: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1,426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1,227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1,124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922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725</w:t>
            </w:r>
          </w:p>
        </w:tc>
        <w:tc>
          <w:tcPr>
            <w:tcW w:w="820" w:type="dxa"/>
            <w:vAlign w:val="bottom"/>
            <w:gridSpan w:val="2"/>
          </w:tcPr>
          <w:p>
            <w:pPr>
              <w:jc w:val="right"/>
              <w:ind w:right="106"/>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97</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4,699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2,403</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96</w:t>
            </w:r>
          </w:p>
        </w:tc>
      </w:tr>
      <w:tr>
        <w:trPr>
          <w:trHeight w:val="17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63</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58</w:t>
            </w:r>
          </w:p>
        </w:tc>
        <w:tc>
          <w:tcPr>
            <w:tcW w:w="820" w:type="dxa"/>
            <w:vAlign w:val="bottom"/>
            <w:gridSpan w:val="2"/>
          </w:tcPr>
          <w:p>
            <w:pPr>
              <w:jc w:val="right"/>
              <w:ind w:right="106"/>
              <w:spacing w:after="0"/>
              <w:rPr>
                <w:sz w:val="20"/>
                <w:szCs w:val="20"/>
                <w:color w:val="auto"/>
              </w:rPr>
            </w:pPr>
            <w:r>
              <w:rPr>
                <w:rFonts w:ascii="Arial" w:cs="Arial" w:eastAsia="Arial" w:hAnsi="Arial"/>
                <w:sz w:val="11"/>
                <w:szCs w:val="11"/>
                <w:color w:val="auto"/>
              </w:rPr>
              <w:t>25</w:t>
            </w:r>
          </w:p>
        </w:tc>
        <w:tc>
          <w:tcPr>
            <w:tcW w:w="220" w:type="dxa"/>
            <w:vAlign w:val="bottom"/>
          </w:tcPr>
          <w:p>
            <w:pPr>
              <w:spacing w:after="0"/>
              <w:rPr>
                <w:sz w:val="15"/>
                <w:szCs w:val="15"/>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116</w:t>
            </w: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357</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144</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148</w:t>
            </w:r>
          </w:p>
        </w:tc>
      </w:tr>
      <w:tr>
        <w:trPr>
          <w:trHeight w:val="148"/>
        </w:trPr>
        <w:tc>
          <w:tcPr>
            <w:tcW w:w="2420" w:type="dxa"/>
            <w:vAlign w:val="bottom"/>
            <w:gridSpan w:val="2"/>
          </w:tcPr>
          <w:p>
            <w:pPr>
              <w:ind w:left="340"/>
              <w:spacing w:after="0"/>
              <w:rPr>
                <w:sz w:val="20"/>
                <w:szCs w:val="20"/>
                <w:color w:val="auto"/>
              </w:rPr>
            </w:pPr>
            <w:r>
              <w:rPr>
                <w:rFonts w:ascii="Arial" w:cs="Arial" w:eastAsia="Arial" w:hAnsi="Arial"/>
                <w:sz w:val="11"/>
                <w:szCs w:val="11"/>
                <w:b w:val="1"/>
                <w:bCs w:val="1"/>
                <w:color w:val="auto"/>
              </w:rPr>
              <w:t>Total net charge-offs/(recoveries)</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1,638</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1,399</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1,251</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1,052</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845</w:t>
            </w:r>
          </w:p>
        </w:tc>
        <w:tc>
          <w:tcPr>
            <w:tcW w:w="820" w:type="dxa"/>
            <w:vAlign w:val="bottom"/>
            <w:gridSpan w:val="2"/>
          </w:tcPr>
          <w:p>
            <w:pPr>
              <w:jc w:val="right"/>
              <w:ind w:right="106"/>
              <w:spacing w:after="0"/>
              <w:rPr>
                <w:sz w:val="20"/>
                <w:szCs w:val="20"/>
                <w:color w:val="auto"/>
              </w:rPr>
            </w:pPr>
            <w:r>
              <w:rPr>
                <w:rFonts w:ascii="Arial" w:cs="Arial" w:eastAsia="Arial" w:hAnsi="Arial"/>
                <w:sz w:val="11"/>
                <w:szCs w:val="11"/>
                <w:color w:val="auto"/>
              </w:rPr>
              <w:t>17</w:t>
            </w:r>
          </w:p>
        </w:tc>
        <w:tc>
          <w:tcPr>
            <w:tcW w:w="2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94</w:t>
            </w:r>
          </w:p>
        </w:tc>
        <w:tc>
          <w:tcPr>
            <w:tcW w:w="3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5,340</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2,688</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99</w:t>
            </w:r>
          </w:p>
        </w:tc>
      </w:tr>
      <w:tr>
        <w:trPr>
          <w:trHeight w:val="156"/>
        </w:trPr>
        <w:tc>
          <w:tcPr>
            <w:tcW w:w="2420" w:type="dxa"/>
            <w:vAlign w:val="bottom"/>
            <w:gridSpan w:val="2"/>
          </w:tcPr>
          <w:p>
            <w:pPr>
              <w:spacing w:after="0"/>
              <w:rPr>
                <w:sz w:val="20"/>
                <w:szCs w:val="20"/>
                <w:color w:val="auto"/>
              </w:rPr>
            </w:pPr>
            <w:r>
              <w:rPr>
                <w:rFonts w:ascii="Arial" w:cs="Arial" w:eastAsia="Arial" w:hAnsi="Arial"/>
                <w:sz w:val="11"/>
                <w:szCs w:val="11"/>
                <w:color w:val="auto"/>
              </w:rPr>
              <w:t>Net charge-off/(recovery) rate</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Banking &amp; Wealth Management (c)</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1.05</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1.14</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1.20</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1.12</w:t>
            </w: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1.28</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1.13</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1.17</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760" w:type="dxa"/>
            <w:vAlign w:val="bottom"/>
          </w:tcPr>
          <w:p>
            <w:pPr>
              <w:spacing w:after="0"/>
              <w:rPr>
                <w:sz w:val="14"/>
                <w:szCs w:val="14"/>
                <w:color w:val="auto"/>
              </w:rPr>
            </w:pP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0.01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(0.08)</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(0.14)</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2.79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1.62</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1.47</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0.65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0.53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0.36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0.41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0.34</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0.49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0.21</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2420" w:type="dxa"/>
            <w:vAlign w:val="bottom"/>
            <w:gridSpan w:val="2"/>
          </w:tcPr>
          <w:p>
            <w:pPr>
              <w:ind w:left="340"/>
              <w:spacing w:after="0"/>
              <w:rPr>
                <w:sz w:val="20"/>
                <w:szCs w:val="20"/>
                <w:color w:val="auto"/>
              </w:rPr>
            </w:pPr>
            <w:r>
              <w:rPr>
                <w:rFonts w:ascii="Arial" w:cs="Arial" w:eastAsia="Arial" w:hAnsi="Arial"/>
                <w:sz w:val="11"/>
                <w:szCs w:val="11"/>
                <w:b w:val="1"/>
                <w:bCs w:val="1"/>
                <w:color w:val="auto"/>
              </w:rPr>
              <w:t>Total net charge-off/(recovery) rate</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1.15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0.99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0.98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0.96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0.75</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1.02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0.62</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0"/>
        </w:trPr>
        <w:tc>
          <w:tcPr>
            <w:tcW w:w="2420" w:type="dxa"/>
            <w:vAlign w:val="bottom"/>
            <w:gridSpan w:val="2"/>
          </w:tcPr>
          <w:p>
            <w:pPr>
              <w:spacing w:after="0"/>
              <w:rPr>
                <w:sz w:val="20"/>
                <w:szCs w:val="20"/>
                <w:color w:val="auto"/>
              </w:rPr>
            </w:pPr>
            <w:r>
              <w:rPr>
                <w:rFonts w:ascii="Arial" w:cs="Arial" w:eastAsia="Arial" w:hAnsi="Arial"/>
                <w:sz w:val="11"/>
                <w:szCs w:val="11"/>
                <w:color w:val="auto"/>
              </w:rPr>
              <w:t>30+ day delinquency rate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Home Lending (d)(e)</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0.66</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0.59</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0.58</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0.81</w:t>
            </w: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0.83</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0.66</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0.83</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760" w:type="dxa"/>
            <w:vAlign w:val="bottom"/>
          </w:tcPr>
          <w:p>
            <w:pPr>
              <w:spacing w:after="0"/>
              <w:rPr>
                <w:sz w:val="14"/>
                <w:szCs w:val="14"/>
                <w:color w:val="auto"/>
              </w:rPr>
            </w:pP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1.70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1.45</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1.45</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0.92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0.90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1.01</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1.01</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1"/>
                <w:szCs w:val="11"/>
                <w:color w:val="auto"/>
              </w:rPr>
              <w:t>90+ day delinquency rate - Card Services</w:t>
            </w:r>
          </w:p>
        </w:tc>
        <w:tc>
          <w:tcPr>
            <w:tcW w:w="120" w:type="dxa"/>
            <w:vAlign w:val="bottom"/>
          </w:tcPr>
          <w:p>
            <w:pPr>
              <w:spacing w:after="0"/>
              <w:rPr>
                <w:sz w:val="18"/>
                <w:szCs w:val="18"/>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0.68</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0.68</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1"/>
                <w:szCs w:val="11"/>
                <w:color w:val="auto"/>
              </w:rPr>
              <w:t>Allowance for loan losses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685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686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731</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720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722</w:t>
            </w:r>
          </w:p>
        </w:tc>
        <w:tc>
          <w:tcPr>
            <w:tcW w:w="24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38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685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722</w:t>
            </w:r>
          </w:p>
        </w:tc>
        <w:tc>
          <w:tcPr>
            <w:tcW w:w="100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578</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573</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777</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427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867</w:t>
            </w:r>
          </w:p>
        </w:tc>
        <w:tc>
          <w:tcPr>
            <w:tcW w:w="82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578</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867</w:t>
            </w:r>
          </w:p>
        </w:tc>
        <w:tc>
          <w:tcPr>
            <w:tcW w:w="1000" w:type="dxa"/>
            <w:vAlign w:val="bottom"/>
            <w:gridSpan w:val="2"/>
          </w:tcPr>
          <w:p>
            <w:pPr>
              <w:jc w:val="right"/>
              <w:ind w:right="66"/>
              <w:spacing w:after="0"/>
              <w:rPr>
                <w:sz w:val="20"/>
                <w:szCs w:val="20"/>
                <w:color w:val="auto"/>
              </w:rPr>
            </w:pPr>
            <w:r>
              <w:rPr>
                <w:rFonts w:ascii="Arial" w:cs="Arial" w:eastAsia="Arial" w:hAnsi="Arial"/>
                <w:sz w:val="11"/>
                <w:szCs w:val="11"/>
                <w:color w:val="auto"/>
              </w:rPr>
              <w:t>(33)</w:t>
            </w:r>
          </w:p>
        </w:tc>
      </w:tr>
      <w:tr>
        <w:trPr>
          <w:trHeight w:val="16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12,453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11,901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11,600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11,400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11,200</w:t>
            </w:r>
          </w:p>
        </w:tc>
        <w:tc>
          <w:tcPr>
            <w:tcW w:w="82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12,453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11,200</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r>
      <w:tr>
        <w:trPr>
          <w:trHeight w:val="17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742</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742</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717</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716</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715</w:t>
            </w:r>
          </w:p>
        </w:tc>
        <w:tc>
          <w:tcPr>
            <w:tcW w:w="240" w:type="dxa"/>
            <w:vAlign w:val="bottom"/>
          </w:tcPr>
          <w:p>
            <w:pPr>
              <w:spacing w:after="0"/>
              <w:rPr>
                <w:sz w:val="15"/>
                <w:szCs w:val="15"/>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742</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715</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r>
      <w:tr>
        <w:trPr>
          <w:trHeight w:val="155"/>
        </w:trPr>
        <w:tc>
          <w:tcPr>
            <w:tcW w:w="242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 allowance for loan losses</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14,458</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13,902</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13,825</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13,263</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 xml:space="preserve">(g)  </w:t>
            </w: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13,504</w:t>
            </w:r>
          </w:p>
        </w:tc>
        <w:tc>
          <w:tcPr>
            <w:tcW w:w="82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38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14,458</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13,504</w:t>
            </w:r>
          </w:p>
        </w:tc>
        <w:tc>
          <w:tcPr>
            <w:tcW w:w="100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r>
      <w:tr>
        <w:trPr>
          <w:trHeight w:val="20"/>
        </w:trPr>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5430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372" w:lineRule="exact"/>
        <w:rPr>
          <w:sz w:val="20"/>
          <w:szCs w:val="20"/>
          <w:color w:val="auto"/>
        </w:rPr>
      </w:pPr>
    </w:p>
    <w:p>
      <w:pPr>
        <w:ind w:left="180" w:right="40" w:hanging="172"/>
        <w:spacing w:after="0" w:line="253" w:lineRule="auto"/>
        <w:tabs>
          <w:tab w:leader="none" w:pos="177" w:val="left"/>
        </w:tabs>
        <w:numPr>
          <w:ilvl w:val="0"/>
          <w:numId w:val="20"/>
        </w:numPr>
        <w:rPr>
          <w:rFonts w:ascii="Arial" w:cs="Arial" w:eastAsia="Arial" w:hAnsi="Arial"/>
          <w:sz w:val="11"/>
          <w:szCs w:val="11"/>
          <w:color w:val="auto"/>
        </w:rPr>
      </w:pPr>
      <w:r>
        <w:rPr>
          <w:rFonts w:ascii="Arial" w:cs="Arial" w:eastAsia="Arial" w:hAnsi="Arial"/>
          <w:sz w:val="11"/>
          <w:szCs w:val="11"/>
          <w:color w:val="auto"/>
        </w:rPr>
        <w:t>At December 31, 2023, September 30, 2023, June 30, 2023, March 31, 2023 and December 31, 2022, nonaccrual loans excluded mortgage loans 90 or more days past due and insured by U.S. government agencies of $123 million, $123 million, $139 million, $164 million and $187 million, respectively. These amounts have been excluded based upon the government guarantee. In addition, the Firm’s policy is generally to exempt credit card loans from being placed on nonaccrual status as permitted by regulatory guidance.</w:t>
      </w:r>
    </w:p>
    <w:p>
      <w:pPr>
        <w:spacing w:after="0" w:line="1" w:lineRule="exact"/>
        <w:rPr>
          <w:rFonts w:ascii="Arial" w:cs="Arial" w:eastAsia="Arial" w:hAnsi="Arial"/>
          <w:sz w:val="11"/>
          <w:szCs w:val="11"/>
          <w:color w:val="auto"/>
        </w:rPr>
      </w:pPr>
    </w:p>
    <w:p>
      <w:pPr>
        <w:ind w:left="160" w:hanging="152"/>
        <w:spacing w:after="0"/>
        <w:tabs>
          <w:tab w:leader="none" w:pos="1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Generally excludes loans that were under payment deferral programs offered in response to the COVID-19 pandemic.</w:t>
      </w:r>
    </w:p>
    <w:p>
      <w:pPr>
        <w:spacing w:after="0" w:line="5" w:lineRule="exact"/>
        <w:rPr>
          <w:rFonts w:ascii="Arial" w:cs="Arial" w:eastAsia="Arial" w:hAnsi="Arial"/>
          <w:sz w:val="11"/>
          <w:szCs w:val="11"/>
          <w:color w:val="auto"/>
        </w:rPr>
      </w:pPr>
    </w:p>
    <w:p>
      <w:pPr>
        <w:ind w:left="180" w:right="160" w:hanging="172"/>
        <w:spacing w:after="0" w:line="243" w:lineRule="auto"/>
        <w:tabs>
          <w:tab w:leader="none" w:pos="171" w:val="left"/>
        </w:tabs>
        <w:numPr>
          <w:ilvl w:val="0"/>
          <w:numId w:val="20"/>
        </w:numPr>
        <w:rPr>
          <w:rFonts w:ascii="Arial" w:cs="Arial" w:eastAsia="Arial" w:hAnsi="Arial"/>
          <w:sz w:val="11"/>
          <w:szCs w:val="11"/>
          <w:color w:val="auto"/>
        </w:rPr>
      </w:pPr>
      <w:r>
        <w:rPr>
          <w:rFonts w:ascii="Arial" w:cs="Arial" w:eastAsia="Arial" w:hAnsi="Arial"/>
          <w:sz w:val="11"/>
          <w:szCs w:val="11"/>
          <w:color w:val="auto"/>
        </w:rPr>
        <w:t>At December 31, 2023, September 30, 2023, June 30, 2023, March 31, 2023 and December 31, 2022, included $94 million, $129 million, $163 million, $205 million and $350 million of loans, respectively, under the PPP. Given that PPP loans are guaranteed by the SBA, the Firm does not expect to realize material credit losses on these loans. Refer to pages 108-109 of the Firm’s 2022 Form 10-K for further information on the PPP.</w:t>
      </w:r>
    </w:p>
    <w:p>
      <w:pPr>
        <w:ind w:left="180" w:right="40" w:hanging="172"/>
        <w:spacing w:after="0" w:line="243" w:lineRule="auto"/>
        <w:tabs>
          <w:tab w:leader="none" w:pos="177" w:val="left"/>
        </w:tabs>
        <w:numPr>
          <w:ilvl w:val="0"/>
          <w:numId w:val="20"/>
        </w:numPr>
        <w:rPr>
          <w:rFonts w:ascii="Arial" w:cs="Arial" w:eastAsia="Arial" w:hAnsi="Arial"/>
          <w:sz w:val="11"/>
          <w:szCs w:val="11"/>
          <w:color w:val="auto"/>
        </w:rPr>
      </w:pPr>
      <w:r>
        <w:rPr>
          <w:rFonts w:ascii="Arial" w:cs="Arial" w:eastAsia="Arial" w:hAnsi="Arial"/>
          <w:sz w:val="11"/>
          <w:szCs w:val="11"/>
          <w:color w:val="auto"/>
        </w:rPr>
        <w:t>At December 31, 2023, September 30, 2023, June 30, 2023, March 31, 2023 and December 31, 2022, the principal balance of loans under payment deferral programs offered in response to the COVID-19 pandemic was $29 million, $89 million, $177 million, $353 million and $449 million in Home Lending, respectively. Loans that are performing according to their modified terms are generally not considered delinquent.</w:t>
      </w:r>
    </w:p>
    <w:p>
      <w:pPr>
        <w:ind w:left="180" w:right="260" w:hanging="172"/>
        <w:spacing w:after="0" w:line="246" w:lineRule="auto"/>
        <w:tabs>
          <w:tab w:leader="none" w:pos="177" w:val="left"/>
        </w:tabs>
        <w:numPr>
          <w:ilvl w:val="0"/>
          <w:numId w:val="20"/>
        </w:numPr>
        <w:rPr>
          <w:rFonts w:ascii="Arial" w:cs="Arial" w:eastAsia="Arial" w:hAnsi="Arial"/>
          <w:sz w:val="11"/>
          <w:szCs w:val="11"/>
          <w:color w:val="auto"/>
        </w:rPr>
      </w:pPr>
      <w:r>
        <w:rPr>
          <w:rFonts w:ascii="Arial" w:cs="Arial" w:eastAsia="Arial" w:hAnsi="Arial"/>
          <w:sz w:val="11"/>
          <w:szCs w:val="11"/>
          <w:color w:val="auto"/>
        </w:rPr>
        <w:t>At December 31, 2023, September 30, 2023, June 30, 2023, March 31, 2023 and December 31, 2022, excluded mortgage loans 30 or more days past due and insured by U.S. government agencies of $176 million, $175 million, $195 million, $219 million and $258 million, respectively. These amounts have been excluded based upon the government guarantee.</w:t>
      </w:r>
    </w:p>
    <w:p>
      <w:pPr>
        <w:ind w:left="160" w:hanging="152"/>
        <w:spacing w:after="0"/>
        <w:tabs>
          <w:tab w:leader="none" w:pos="1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At December 31, 2023, September 30, 2023, and June 30, 2023, included $396 million, $396 million, and $377 million allowance, respectively, associated with First Republic.</w:t>
      </w:r>
    </w:p>
    <w:p>
      <w:pPr>
        <w:spacing w:after="0" w:line="5" w:lineRule="exact"/>
        <w:rPr>
          <w:rFonts w:ascii="Arial" w:cs="Arial" w:eastAsia="Arial" w:hAnsi="Arial"/>
          <w:sz w:val="11"/>
          <w:szCs w:val="11"/>
          <w:color w:val="auto"/>
        </w:rPr>
      </w:pPr>
    </w:p>
    <w:p>
      <w:pPr>
        <w:ind w:left="180" w:right="100" w:hanging="172"/>
        <w:spacing w:after="0" w:line="251" w:lineRule="auto"/>
        <w:tabs>
          <w:tab w:leader="none" w:pos="177" w:val="left"/>
        </w:tabs>
        <w:numPr>
          <w:ilvl w:val="0"/>
          <w:numId w:val="20"/>
        </w:numPr>
        <w:rPr>
          <w:rFonts w:ascii="Arial" w:cs="Arial" w:eastAsia="Arial" w:hAnsi="Arial"/>
          <w:sz w:val="11"/>
          <w:szCs w:val="11"/>
          <w:color w:val="auto"/>
        </w:rPr>
      </w:pPr>
      <w:r>
        <w:rPr>
          <w:rFonts w:ascii="Arial" w:cs="Arial" w:eastAsia="Arial" w:hAnsi="Arial"/>
          <w:sz w:val="11"/>
          <w:szCs w:val="11"/>
          <w:color w:val="auto"/>
        </w:rPr>
        <w:t>On January 1, 2023, the Firm adopted the Financial Instruments - Credit Losses: Troubled Debt Restructurings accounting guidance. The adoption of this guidance resulted in a net decrease in the allowance for loan losses of $591 million, driven by residential real estate and credit card. Refer to Credit-related information on pages 27-28, and Note 1 of the Firm’s Quarterly Report on Form 10-Q for the quarterly period ended March 31, 2023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14</w:t>
      </w:r>
    </w:p>
    <w:p>
      <w:pPr>
        <w:sectPr>
          <w:pgSz w:w="11900" w:h="16838" w:orient="portrait"/>
          <w:cols w:equalWidth="0" w:num="1">
            <w:col w:w="11240"/>
          </w:cols>
          <w:pgMar w:left="320" w:top="1031" w:right="339" w:bottom="1440" w:gutter="0" w:footer="0" w:header="0"/>
        </w:sectPr>
      </w:pPr>
    </w:p>
    <w:bookmarkStart w:id="26" w:name="page27"/>
    <w:bookmarkEnd w:id="26"/>
    <w:p>
      <w:pPr>
        <w:ind w:left="352"/>
        <w:spacing w:after="0"/>
        <w:rPr>
          <w:sz w:val="20"/>
          <w:szCs w:val="20"/>
          <w:color w:val="auto"/>
        </w:rPr>
      </w:pPr>
      <w:r>
        <w:rPr>
          <w:rFonts w:ascii="Arial" w:cs="Arial" w:eastAsia="Arial" w:hAnsi="Arial"/>
          <w:sz w:val="11"/>
          <w:szCs w:val="11"/>
          <w:b w:val="1"/>
          <w:bCs w:val="1"/>
          <w:color w:val="auto"/>
        </w:rPr>
        <w:t>JPMORGAN CHASE &amp; CO.</w:t>
      </w:r>
    </w:p>
    <w:p>
      <w:pPr>
        <w:spacing w:after="0" w:line="40" w:lineRule="exact"/>
        <w:rPr>
          <w:sz w:val="20"/>
          <w:szCs w:val="20"/>
          <w:color w:val="auto"/>
        </w:rPr>
      </w:pPr>
    </w:p>
    <w:p>
      <w:pPr>
        <w:ind w:left="352"/>
        <w:spacing w:after="0"/>
        <w:rPr>
          <w:sz w:val="20"/>
          <w:szCs w:val="20"/>
          <w:color w:val="auto"/>
        </w:rPr>
      </w:pPr>
      <w:r>
        <w:rPr>
          <w:rFonts w:ascii="Arial" w:cs="Arial" w:eastAsia="Arial" w:hAnsi="Arial"/>
          <w:sz w:val="14"/>
          <w:szCs w:val="14"/>
          <w:b w:val="1"/>
          <w:bCs w:val="1"/>
          <w:color w:val="auto"/>
        </w:rPr>
        <w:t>CONSUMER &amp;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4817745</wp:posOffset>
            </wp:positionH>
            <wp:positionV relativeFrom="paragraph">
              <wp:posOffset>-27305</wp:posOffset>
            </wp:positionV>
            <wp:extent cx="237426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352"/>
        <w:spacing w:after="0"/>
        <w:rPr>
          <w:sz w:val="20"/>
          <w:szCs w:val="20"/>
          <w:color w:val="auto"/>
        </w:rPr>
      </w:pPr>
      <w:r>
        <w:rPr>
          <w:rFonts w:ascii="Arial" w:cs="Arial" w:eastAsia="Arial" w:hAnsi="Arial"/>
          <w:sz w:val="14"/>
          <w:szCs w:val="14"/>
          <w:b w:val="1"/>
          <w:bCs w:val="1"/>
          <w:color w:val="auto"/>
        </w:rPr>
        <w:t>BANKING</w:t>
      </w:r>
    </w:p>
    <w:p>
      <w:pPr>
        <w:spacing w:after="0" w:line="20" w:lineRule="exact"/>
        <w:rPr>
          <w:sz w:val="20"/>
          <w:szCs w:val="20"/>
          <w:color w:val="auto"/>
        </w:rPr>
      </w:pPr>
    </w:p>
    <w:p>
      <w:pPr>
        <w:ind w:left="352"/>
        <w:spacing w:after="0"/>
        <w:rPr>
          <w:sz w:val="20"/>
          <w:szCs w:val="20"/>
          <w:color w:val="auto"/>
        </w:rPr>
      </w:pPr>
      <w:r>
        <w:rPr>
          <w:rFonts w:ascii="Arial" w:cs="Arial" w:eastAsia="Arial" w:hAnsi="Arial"/>
          <w:sz w:val="11"/>
          <w:szCs w:val="11"/>
          <w:b w:val="1"/>
          <w:bCs w:val="1"/>
          <w:color w:val="auto"/>
        </w:rPr>
        <w:t>FINANCIAL HIGHLIGHTS, CONTINUED</w:t>
      </w:r>
    </w:p>
    <w:p>
      <w:pPr>
        <w:spacing w:after="0" w:line="17" w:lineRule="exact"/>
        <w:rPr>
          <w:sz w:val="20"/>
          <w:szCs w:val="20"/>
          <w:color w:val="auto"/>
        </w:rPr>
      </w:pPr>
    </w:p>
    <w:p>
      <w:pPr>
        <w:ind w:left="352"/>
        <w:spacing w:after="0"/>
        <w:rPr>
          <w:sz w:val="20"/>
          <w:szCs w:val="20"/>
          <w:color w:val="auto"/>
        </w:rPr>
      </w:pPr>
      <w:r>
        <w:rPr>
          <w:rFonts w:ascii="Arial" w:cs="Arial" w:eastAsia="Arial" w:hAnsi="Arial"/>
          <w:sz w:val="11"/>
          <w:szCs w:val="11"/>
          <w:b w:val="1"/>
          <w:bCs w:val="1"/>
          <w:color w:val="auto"/>
        </w:rPr>
        <w:t>(in millions, except ratio data and where</w:t>
      </w:r>
    </w:p>
    <w:p>
      <w:pPr>
        <w:ind w:left="352"/>
        <w:spacing w:after="0"/>
        <w:rPr>
          <w:sz w:val="20"/>
          <w:szCs w:val="20"/>
          <w:color w:val="auto"/>
        </w:rPr>
      </w:pPr>
      <w:r>
        <w:rPr>
          <w:rFonts w:ascii="Arial" w:cs="Arial" w:eastAsia="Arial" w:hAnsi="Arial"/>
          <w:sz w:val="11"/>
          <w:szCs w:val="11"/>
          <w:b w:val="1"/>
          <w:bCs w:val="1"/>
          <w:color w:val="auto"/>
        </w:rPr>
        <w:t>otherwise noted)</w:t>
      </w:r>
    </w:p>
    <w:p>
      <w:pPr>
        <w:spacing w:after="0" w:line="188" w:lineRule="exact"/>
        <w:rPr>
          <w:sz w:val="20"/>
          <w:szCs w:val="20"/>
          <w:color w:val="auto"/>
        </w:rPr>
      </w:pPr>
    </w:p>
    <w:tbl>
      <w:tblPr>
        <w:tblLayout w:type="fixed"/>
        <w:tblInd w:w="332" w:type="dxa"/>
        <w:tblCellMar>
          <w:top w:w="0" w:type="dxa"/>
          <w:left w:w="0" w:type="dxa"/>
          <w:bottom w:w="0" w:type="dxa"/>
          <w:right w:w="0" w:type="dxa"/>
        </w:tblCellMar>
      </w:tblPr>
      <w:tr>
        <w:trPr>
          <w:trHeight w:val="155"/>
        </w:trPr>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6"/>
          </w:tcPr>
          <w:p>
            <w:pPr>
              <w:ind w:left="480"/>
              <w:spacing w:after="0"/>
              <w:rPr>
                <w:sz w:val="20"/>
                <w:szCs w:val="20"/>
                <w:color w:val="auto"/>
              </w:rPr>
            </w:pPr>
            <w:r>
              <w:rPr>
                <w:rFonts w:ascii="Arial" w:cs="Arial" w:eastAsia="Arial" w:hAnsi="Arial"/>
                <w:sz w:val="11"/>
                <w:szCs w:val="11"/>
                <w:b w:val="1"/>
                <w:bCs w:val="1"/>
                <w:color w:val="auto"/>
                <w:w w:val="95"/>
              </w:rPr>
              <w:t>QUARTERLY TRENDS</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966"/>
              <w:spacing w:after="0"/>
              <w:rPr>
                <w:sz w:val="20"/>
                <w:szCs w:val="20"/>
                <w:color w:val="auto"/>
              </w:rPr>
            </w:pPr>
            <w:r>
              <w:rPr>
                <w:rFonts w:ascii="Arial" w:cs="Arial" w:eastAsia="Arial" w:hAnsi="Arial"/>
                <w:sz w:val="11"/>
                <w:szCs w:val="11"/>
                <w:b w:val="1"/>
                <w:bCs w:val="1"/>
                <w:color w:val="auto"/>
              </w:rPr>
              <w:t>FULL YEAR</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1"/>
                <w:szCs w:val="11"/>
                <w:b w:val="1"/>
                <w:bCs w:val="1"/>
                <w:color w:val="auto"/>
              </w:rPr>
              <w:t>4Q23 Change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 Change</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4Q23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3Q23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2Q23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1Q23</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4Q22</w:t>
            </w:r>
          </w:p>
        </w:tc>
        <w:tc>
          <w:tcPr>
            <w:tcW w:w="400" w:type="dxa"/>
            <w:vAlign w:val="bottom"/>
          </w:tcPr>
          <w:p>
            <w:pPr>
              <w:spacing w:after="0"/>
              <w:rPr>
                <w:sz w:val="13"/>
                <w:szCs w:val="13"/>
                <w:color w:val="auto"/>
              </w:rPr>
            </w:pPr>
          </w:p>
        </w:tc>
        <w:tc>
          <w:tcPr>
            <w:tcW w:w="72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3Q23</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4Q22</w:t>
            </w:r>
          </w:p>
        </w:tc>
        <w:tc>
          <w:tcPr>
            <w:tcW w:w="100" w:type="dxa"/>
            <w:vAlign w:val="bottom"/>
          </w:tcPr>
          <w:p>
            <w:pPr>
              <w:spacing w:after="0"/>
              <w:rPr>
                <w:sz w:val="13"/>
                <w:szCs w:val="13"/>
                <w:color w:val="auto"/>
              </w:rPr>
            </w:pPr>
          </w:p>
        </w:tc>
        <w:tc>
          <w:tcPr>
            <w:tcW w:w="520" w:type="dxa"/>
            <w:vAlign w:val="bottom"/>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2022</w:t>
            </w:r>
          </w:p>
        </w:tc>
        <w:tc>
          <w:tcPr>
            <w:tcW w:w="114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8"/>
        </w:trPr>
        <w:tc>
          <w:tcPr>
            <w:tcW w:w="1080" w:type="dxa"/>
            <w:vAlign w:val="bottom"/>
            <w:tcBorders>
              <w:bottom w:val="single" w:sz="8" w:color="auto"/>
            </w:tcBorders>
          </w:tcPr>
          <w:p>
            <w:pPr>
              <w:ind w:left="20"/>
              <w:spacing w:after="0" w:line="108" w:lineRule="exact"/>
              <w:rPr>
                <w:sz w:val="20"/>
                <w:szCs w:val="20"/>
                <w:color w:val="auto"/>
              </w:rPr>
            </w:pPr>
            <w:r>
              <w:rPr>
                <w:rFonts w:ascii="Arial" w:cs="Arial" w:eastAsia="Arial" w:hAnsi="Arial"/>
                <w:sz w:val="11"/>
                <w:szCs w:val="11"/>
                <w:b w:val="1"/>
                <w:bCs w:val="1"/>
                <w:color w:val="auto"/>
                <w:w w:val="95"/>
              </w:rPr>
              <w:t>BUSINESS METRICS</w:t>
            </w:r>
          </w:p>
        </w:tc>
        <w:tc>
          <w:tcPr>
            <w:tcW w:w="1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20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00" w:type="dxa"/>
            <w:vAlign w:val="bottom"/>
            <w:gridSpan w:val="2"/>
          </w:tcPr>
          <w:p>
            <w:pPr>
              <w:ind w:left="140"/>
              <w:spacing w:after="0"/>
              <w:rPr>
                <w:sz w:val="20"/>
                <w:szCs w:val="20"/>
                <w:color w:val="auto"/>
              </w:rPr>
            </w:pPr>
            <w:r>
              <w:rPr>
                <w:rFonts w:ascii="Arial" w:cs="Arial" w:eastAsia="Arial" w:hAnsi="Arial"/>
                <w:sz w:val="11"/>
                <w:szCs w:val="11"/>
                <w:color w:val="auto"/>
              </w:rPr>
              <w:t>Branches</w:t>
            </w: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4,897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4,863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4,874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4,784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4,787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2 %</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4,897</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4,787</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62"/>
        </w:trPr>
        <w:tc>
          <w:tcPr>
            <w:tcW w:w="2200" w:type="dxa"/>
            <w:vAlign w:val="bottom"/>
            <w:gridSpan w:val="2"/>
          </w:tcPr>
          <w:p>
            <w:pPr>
              <w:ind w:left="140"/>
              <w:spacing w:after="0"/>
              <w:rPr>
                <w:sz w:val="20"/>
                <w:szCs w:val="20"/>
                <w:color w:val="auto"/>
              </w:rPr>
            </w:pPr>
            <w:r>
              <w:rPr>
                <w:rFonts w:ascii="Arial" w:cs="Arial" w:eastAsia="Arial" w:hAnsi="Arial"/>
                <w:sz w:val="11"/>
                <w:szCs w:val="11"/>
                <w:color w:val="auto"/>
                <w:w w:val="99"/>
              </w:rPr>
              <w:t>Active digital customers (in thousands) (a)</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66,983</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66,765</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65,559</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64,998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63,136</w:t>
            </w:r>
          </w:p>
        </w:tc>
        <w:tc>
          <w:tcPr>
            <w:tcW w:w="4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66,983</w:t>
            </w:r>
          </w:p>
        </w:tc>
        <w:tc>
          <w:tcPr>
            <w:tcW w:w="260" w:type="dxa"/>
            <w:vAlign w:val="bottom"/>
          </w:tcPr>
          <w:p>
            <w:pPr>
              <w:ind w:left="20"/>
              <w:spacing w:after="0"/>
              <w:rPr>
                <w:sz w:val="20"/>
                <w:szCs w:val="20"/>
                <w:color w:val="auto"/>
              </w:rPr>
            </w:pPr>
            <w:r>
              <w:rPr>
                <w:rFonts w:ascii="Arial" w:cs="Arial" w:eastAsia="Arial" w:hAnsi="Arial"/>
                <w:sz w:val="11"/>
                <w:szCs w:val="11"/>
                <w:color w:val="auto"/>
              </w:rPr>
              <w:t>(f)</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63,136</w:t>
            </w:r>
          </w:p>
        </w:tc>
        <w:tc>
          <w:tcPr>
            <w:tcW w:w="114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28"/>
        </w:trPr>
        <w:tc>
          <w:tcPr>
            <w:tcW w:w="2200" w:type="dxa"/>
            <w:vAlign w:val="bottom"/>
            <w:gridSpan w:val="2"/>
          </w:tcPr>
          <w:p>
            <w:pPr>
              <w:ind w:left="140"/>
              <w:spacing w:after="0"/>
              <w:rPr>
                <w:sz w:val="20"/>
                <w:szCs w:val="20"/>
                <w:color w:val="auto"/>
              </w:rPr>
            </w:pPr>
            <w:r>
              <w:rPr>
                <w:rFonts w:ascii="Arial" w:cs="Arial" w:eastAsia="Arial" w:hAnsi="Arial"/>
                <w:sz w:val="11"/>
                <w:szCs w:val="11"/>
                <w:color w:val="auto"/>
              </w:rPr>
              <w:t>Active mobile customers (in thousands)</w:t>
            </w: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53,828</w:t>
            </w:r>
          </w:p>
        </w:tc>
        <w:tc>
          <w:tcPr>
            <w:tcW w:w="220" w:type="dxa"/>
            <w:vAlign w:val="bottom"/>
            <w:vMerge w:val="restart"/>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53,221</w:t>
            </w:r>
          </w:p>
        </w:tc>
        <w:tc>
          <w:tcPr>
            <w:tcW w:w="220" w:type="dxa"/>
            <w:vAlign w:val="bottom"/>
            <w:vMerge w:val="restart"/>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51,963</w:t>
            </w:r>
          </w:p>
        </w:tc>
        <w:tc>
          <w:tcPr>
            <w:tcW w:w="220" w:type="dxa"/>
            <w:vAlign w:val="bottom"/>
            <w:vMerge w:val="restart"/>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50,933</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49,710</w:t>
            </w:r>
          </w:p>
        </w:tc>
        <w:tc>
          <w:tcPr>
            <w:tcW w:w="9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53,828</w:t>
            </w:r>
          </w:p>
        </w:tc>
        <w:tc>
          <w:tcPr>
            <w:tcW w:w="260" w:type="dxa"/>
            <w:vAlign w:val="bottom"/>
            <w:vMerge w:val="restart"/>
          </w:tcPr>
          <w:p>
            <w:pPr>
              <w:ind w:left="20"/>
              <w:spacing w:after="0"/>
              <w:rPr>
                <w:sz w:val="20"/>
                <w:szCs w:val="20"/>
                <w:color w:val="auto"/>
              </w:rPr>
            </w:pPr>
            <w:r>
              <w:rPr>
                <w:rFonts w:ascii="Arial" w:cs="Arial" w:eastAsia="Arial" w:hAnsi="Arial"/>
                <w:sz w:val="11"/>
                <w:szCs w:val="11"/>
                <w:color w:val="auto"/>
              </w:rPr>
              <w:t>(f)</w:t>
            </w: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49,710</w:t>
            </w:r>
          </w:p>
        </w:tc>
        <w:tc>
          <w:tcPr>
            <w:tcW w:w="114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2"/>
        </w:trPr>
        <w:tc>
          <w:tcPr>
            <w:tcW w:w="2200" w:type="dxa"/>
            <w:vAlign w:val="bottom"/>
            <w:gridSpan w:val="2"/>
          </w:tcPr>
          <w:p>
            <w:pPr>
              <w:ind w:left="140"/>
              <w:spacing w:after="0"/>
              <w:rPr>
                <w:sz w:val="20"/>
                <w:szCs w:val="20"/>
                <w:color w:val="auto"/>
              </w:rPr>
            </w:pPr>
            <w:r>
              <w:rPr>
                <w:rFonts w:ascii="Arial" w:cs="Arial" w:eastAsia="Arial" w:hAnsi="Arial"/>
                <w:sz w:val="11"/>
                <w:szCs w:val="11"/>
                <w:color w:val="auto"/>
              </w:rPr>
              <w:t>(b)</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Debit and credit card sales volume (in</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441.0</w:t>
            </w:r>
          </w:p>
        </w:tc>
        <w:tc>
          <w:tcPr>
            <w:tcW w:w="2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426.3</w:t>
            </w:r>
          </w:p>
        </w:tc>
        <w:tc>
          <w:tcPr>
            <w:tcW w:w="2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424.0</w:t>
            </w:r>
          </w:p>
        </w:tc>
        <w:tc>
          <w:tcPr>
            <w:tcW w:w="2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387.3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411.1</w:t>
            </w:r>
          </w:p>
        </w:tc>
        <w:tc>
          <w:tcPr>
            <w:tcW w:w="9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24"/>
                <w:szCs w:val="24"/>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1,678.6</w:t>
            </w:r>
          </w:p>
        </w:tc>
        <w:tc>
          <w:tcPr>
            <w:tcW w:w="260" w:type="dxa"/>
            <w:vAlign w:val="bottom"/>
          </w:tcPr>
          <w:p>
            <w:pPr>
              <w:spacing w:after="0"/>
              <w:rPr>
                <w:sz w:val="24"/>
                <w:szCs w:val="24"/>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1,555.4</w:t>
            </w:r>
          </w:p>
        </w:tc>
        <w:tc>
          <w:tcPr>
            <w:tcW w:w="114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billions)</w:t>
            </w: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Total payments transaction volume (in</w:t>
            </w: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1.5</w:t>
            </w:r>
          </w:p>
        </w:tc>
        <w:tc>
          <w:tcPr>
            <w:tcW w:w="220" w:type="dxa"/>
            <w:vAlign w:val="bottom"/>
            <w:vMerge w:val="restart"/>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1.5</w:t>
            </w:r>
          </w:p>
        </w:tc>
        <w:tc>
          <w:tcPr>
            <w:tcW w:w="220" w:type="dxa"/>
            <w:vAlign w:val="bottom"/>
            <w:vMerge w:val="restart"/>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1.5</w:t>
            </w:r>
          </w:p>
        </w:tc>
        <w:tc>
          <w:tcPr>
            <w:tcW w:w="220" w:type="dxa"/>
            <w:vAlign w:val="bottom"/>
            <w:vMerge w:val="restart"/>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1.4</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1"/>
                <w:szCs w:val="11"/>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5.9</w:t>
            </w:r>
          </w:p>
        </w:tc>
        <w:tc>
          <w:tcPr>
            <w:tcW w:w="260" w:type="dxa"/>
            <w:vAlign w:val="bottom"/>
            <w:vMerge w:val="restart"/>
          </w:tcPr>
          <w:p>
            <w:pPr>
              <w:ind w:left="20"/>
              <w:spacing w:after="0"/>
              <w:rPr>
                <w:sz w:val="20"/>
                <w:szCs w:val="20"/>
                <w:color w:val="auto"/>
              </w:rPr>
            </w:pPr>
            <w:r>
              <w:rPr>
                <w:rFonts w:ascii="Arial" w:cs="Arial" w:eastAsia="Arial" w:hAnsi="Arial"/>
                <w:sz w:val="11"/>
                <w:szCs w:val="11"/>
                <w:color w:val="auto"/>
              </w:rPr>
              <w:t>(f)</w:t>
            </w:r>
          </w:p>
        </w:tc>
        <w:tc>
          <w:tcPr>
            <w:tcW w:w="80" w:type="dxa"/>
            <w:vAlign w:val="bottom"/>
          </w:tcPr>
          <w:p>
            <w:pPr>
              <w:spacing w:after="0"/>
              <w:rPr>
                <w:sz w:val="11"/>
                <w:szCs w:val="11"/>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5.6</w:t>
            </w:r>
          </w:p>
        </w:tc>
        <w:tc>
          <w:tcPr>
            <w:tcW w:w="114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trillions) (c)</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0"/>
        </w:trPr>
        <w:tc>
          <w:tcPr>
            <w:tcW w:w="2200" w:type="dxa"/>
            <w:vAlign w:val="bottom"/>
            <w:gridSpan w:val="2"/>
          </w:tcPr>
          <w:p>
            <w:pPr>
              <w:ind w:left="20"/>
              <w:spacing w:after="0"/>
              <w:rPr>
                <w:sz w:val="20"/>
                <w:szCs w:val="20"/>
                <w:color w:val="auto"/>
              </w:rPr>
            </w:pPr>
            <w:r>
              <w:rPr>
                <w:rFonts w:ascii="Arial" w:cs="Arial" w:eastAsia="Arial" w:hAnsi="Arial"/>
                <w:sz w:val="11"/>
                <w:szCs w:val="11"/>
                <w:b w:val="1"/>
                <w:bCs w:val="1"/>
                <w:color w:val="auto"/>
              </w:rPr>
              <w:t>Banking &amp; Wealth Management</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Average deposits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1,077,725</w:t>
            </w:r>
          </w:p>
        </w:tc>
        <w:tc>
          <w:tcPr>
            <w:tcW w:w="220" w:type="dxa"/>
            <w:vAlign w:val="bottom"/>
          </w:tcPr>
          <w:p>
            <w:pPr>
              <w:ind w:left="20"/>
              <w:spacing w:after="0"/>
              <w:rPr>
                <w:sz w:val="20"/>
                <w:szCs w:val="20"/>
                <w:color w:val="auto"/>
              </w:rPr>
            </w:pPr>
            <w:r>
              <w:rPr>
                <w:rFonts w:ascii="Arial" w:cs="Arial" w:eastAsia="Arial" w:hAnsi="Arial"/>
                <w:sz w:val="11"/>
                <w:szCs w:val="11"/>
                <w:color w:val="auto"/>
              </w:rPr>
              <w:t>(g)</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1,127,807</w:t>
            </w:r>
          </w:p>
        </w:tc>
        <w:tc>
          <w:tcPr>
            <w:tcW w:w="220" w:type="dxa"/>
            <w:vAlign w:val="bottom"/>
          </w:tcPr>
          <w:p>
            <w:pPr>
              <w:ind w:left="20"/>
              <w:spacing w:after="0"/>
              <w:rPr>
                <w:sz w:val="20"/>
                <w:szCs w:val="20"/>
                <w:color w:val="auto"/>
              </w:rPr>
            </w:pPr>
            <w:r>
              <w:rPr>
                <w:rFonts w:ascii="Arial" w:cs="Arial" w:eastAsia="Arial" w:hAnsi="Arial"/>
                <w:sz w:val="11"/>
                <w:szCs w:val="11"/>
                <w:color w:val="auto"/>
              </w:rPr>
              <w:t>(g)</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1,142,755</w:t>
            </w:r>
          </w:p>
        </w:tc>
        <w:tc>
          <w:tcPr>
            <w:tcW w:w="220" w:type="dxa"/>
            <w:vAlign w:val="bottom"/>
          </w:tcPr>
          <w:p>
            <w:pPr>
              <w:ind w:left="20"/>
              <w:spacing w:after="0"/>
              <w:rPr>
                <w:sz w:val="20"/>
                <w:szCs w:val="20"/>
                <w:color w:val="auto"/>
              </w:rPr>
            </w:pPr>
            <w:r>
              <w:rPr>
                <w:rFonts w:ascii="Arial" w:cs="Arial" w:eastAsia="Arial" w:hAnsi="Arial"/>
                <w:sz w:val="11"/>
                <w:szCs w:val="11"/>
                <w:color w:val="auto"/>
              </w:rPr>
              <w:t>(g)</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1,098,494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1,126,420</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w w:val="93"/>
              </w:rPr>
              <w:t>1,111,682</w:t>
            </w:r>
          </w:p>
        </w:tc>
        <w:tc>
          <w:tcPr>
            <w:tcW w:w="260" w:type="dxa"/>
            <w:vAlign w:val="bottom"/>
          </w:tcPr>
          <w:p>
            <w:pPr>
              <w:ind w:left="20"/>
              <w:spacing w:after="0"/>
              <w:rPr>
                <w:sz w:val="20"/>
                <w:szCs w:val="20"/>
                <w:color w:val="auto"/>
              </w:rPr>
            </w:pPr>
            <w:r>
              <w:rPr>
                <w:rFonts w:ascii="Arial" w:cs="Arial" w:eastAsia="Arial" w:hAnsi="Arial"/>
                <w:sz w:val="11"/>
                <w:szCs w:val="11"/>
                <w:color w:val="auto"/>
              </w:rPr>
              <w:t>(g)</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1,145,727</w:t>
            </w:r>
          </w:p>
        </w:tc>
        <w:tc>
          <w:tcPr>
            <w:tcW w:w="114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Deposit margin</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2.82</w:t>
            </w: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2.92</w:t>
            </w: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2.83</w:t>
            </w: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2.78</w:t>
            </w:r>
          </w:p>
        </w:tc>
        <w:tc>
          <w:tcPr>
            <w:tcW w:w="180" w:type="dxa"/>
            <w:vAlign w:val="bottom"/>
          </w:tcPr>
          <w:p>
            <w:pPr>
              <w:jc w:val="right"/>
              <w:ind w:right="26"/>
              <w:spacing w:after="0"/>
              <w:rPr>
                <w:sz w:val="20"/>
                <w:szCs w:val="20"/>
                <w:color w:val="auto"/>
              </w:rPr>
            </w:pPr>
            <w:r>
              <w:rPr>
                <w:rFonts w:ascii="Arial" w:cs="Arial" w:eastAsia="Arial" w:hAnsi="Arial"/>
                <w:sz w:val="11"/>
                <w:szCs w:val="11"/>
                <w:color w:val="auto"/>
                <w:w w:val="81"/>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2.48</w:t>
            </w:r>
          </w:p>
        </w:tc>
        <w:tc>
          <w:tcPr>
            <w:tcW w:w="40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2.84</w:t>
            </w:r>
          </w:p>
        </w:tc>
        <w:tc>
          <w:tcPr>
            <w:tcW w:w="260" w:type="dxa"/>
            <w:vAlign w:val="bottom"/>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1.71</w:t>
            </w:r>
          </w:p>
        </w:tc>
        <w:tc>
          <w:tcPr>
            <w:tcW w:w="40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Business Banking average loans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19,511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19,520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19,628</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19,884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20,467</w:t>
            </w:r>
          </w:p>
        </w:tc>
        <w:tc>
          <w:tcPr>
            <w:tcW w:w="4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4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19,634</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22,314</w:t>
            </w:r>
          </w:p>
        </w:tc>
        <w:tc>
          <w:tcPr>
            <w:tcW w:w="1140" w:type="dxa"/>
            <w:vAlign w:val="bottom"/>
            <w:gridSpan w:val="2"/>
          </w:tcPr>
          <w:p>
            <w:pPr>
              <w:jc w:val="right"/>
              <w:ind w:right="6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Business Banking origination volume</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1,130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1,275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1,027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1,081</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4,753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4,282</w:t>
            </w:r>
          </w:p>
        </w:tc>
        <w:tc>
          <w:tcPr>
            <w:tcW w:w="1140" w:type="dxa"/>
            <w:vAlign w:val="bottom"/>
            <w:gridSpan w:val="2"/>
          </w:tcPr>
          <w:p>
            <w:pPr>
              <w:jc w:val="right"/>
              <w:ind w:right="8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Client investment assets (d)</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951,115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882,253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892,897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690,819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647,120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47</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951,115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647,120</w:t>
            </w:r>
          </w:p>
        </w:tc>
        <w:tc>
          <w:tcPr>
            <w:tcW w:w="1140" w:type="dxa"/>
            <w:vAlign w:val="bottom"/>
            <w:gridSpan w:val="2"/>
          </w:tcPr>
          <w:p>
            <w:pPr>
              <w:jc w:val="right"/>
              <w:ind w:right="86"/>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Number of client advisors</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5,456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5,424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5,153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5,125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5,029</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5,456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5,029</w:t>
            </w:r>
          </w:p>
        </w:tc>
        <w:tc>
          <w:tcPr>
            <w:tcW w:w="114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330"/>
        </w:trPr>
        <w:tc>
          <w:tcPr>
            <w:tcW w:w="2200" w:type="dxa"/>
            <w:vAlign w:val="bottom"/>
            <w:gridSpan w:val="2"/>
          </w:tcPr>
          <w:p>
            <w:pPr>
              <w:ind w:left="20"/>
              <w:spacing w:after="0"/>
              <w:rPr>
                <w:sz w:val="20"/>
                <w:szCs w:val="20"/>
                <w:color w:val="auto"/>
              </w:rPr>
            </w:pPr>
            <w:r>
              <w:rPr>
                <w:rFonts w:ascii="Arial" w:cs="Arial" w:eastAsia="Arial" w:hAnsi="Arial"/>
                <w:sz w:val="11"/>
                <w:szCs w:val="11"/>
                <w:b w:val="1"/>
                <w:bCs w:val="1"/>
                <w:color w:val="auto"/>
              </w:rPr>
              <w:t>Home Lending (in billions)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Mortgage origination volume by channel</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140"/>
              <w:spacing w:after="0"/>
              <w:rPr>
                <w:sz w:val="20"/>
                <w:szCs w:val="20"/>
                <w:color w:val="auto"/>
              </w:rPr>
            </w:pPr>
            <w:r>
              <w:rPr>
                <w:rFonts w:ascii="Arial" w:cs="Arial" w:eastAsia="Arial" w:hAnsi="Arial"/>
                <w:sz w:val="11"/>
                <w:szCs w:val="11"/>
                <w:color w:val="auto"/>
              </w:rPr>
              <w:t>Retail</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4.7</w:t>
            </w:r>
          </w:p>
        </w:tc>
        <w:tc>
          <w:tcPr>
            <w:tcW w:w="220" w:type="dxa"/>
            <w:vAlign w:val="bottom"/>
          </w:tcPr>
          <w:p>
            <w:pPr>
              <w:ind w:left="20"/>
              <w:spacing w:after="0"/>
              <w:rPr>
                <w:sz w:val="20"/>
                <w:szCs w:val="20"/>
                <w:color w:val="auto"/>
              </w:rPr>
            </w:pPr>
            <w:r>
              <w:rPr>
                <w:rFonts w:ascii="Arial" w:cs="Arial" w:eastAsia="Arial" w:hAnsi="Arial"/>
                <w:sz w:val="11"/>
                <w:szCs w:val="11"/>
                <w:color w:val="auto"/>
              </w:rPr>
              <w:t>(h)</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6.8</w:t>
            </w:r>
          </w:p>
        </w:tc>
        <w:tc>
          <w:tcPr>
            <w:tcW w:w="220" w:type="dxa"/>
            <w:vAlign w:val="bottom"/>
          </w:tcPr>
          <w:p>
            <w:pPr>
              <w:ind w:left="20"/>
              <w:spacing w:after="0"/>
              <w:rPr>
                <w:sz w:val="20"/>
                <w:szCs w:val="20"/>
                <w:color w:val="auto"/>
              </w:rPr>
            </w:pPr>
            <w:r>
              <w:rPr>
                <w:rFonts w:ascii="Arial" w:cs="Arial" w:eastAsia="Arial" w:hAnsi="Arial"/>
                <w:sz w:val="11"/>
                <w:szCs w:val="11"/>
                <w:color w:val="auto"/>
              </w:rPr>
              <w:t>(h)</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7.3</w:t>
            </w:r>
          </w:p>
        </w:tc>
        <w:tc>
          <w:tcPr>
            <w:tcW w:w="220" w:type="dxa"/>
            <w:vAlign w:val="bottom"/>
          </w:tcPr>
          <w:p>
            <w:pPr>
              <w:ind w:left="20"/>
              <w:spacing w:after="0"/>
              <w:rPr>
                <w:sz w:val="20"/>
                <w:szCs w:val="20"/>
                <w:color w:val="auto"/>
              </w:rPr>
            </w:pPr>
            <w:r>
              <w:rPr>
                <w:rFonts w:ascii="Arial" w:cs="Arial" w:eastAsia="Arial" w:hAnsi="Arial"/>
                <w:sz w:val="11"/>
                <w:szCs w:val="11"/>
                <w:color w:val="auto"/>
              </w:rPr>
              <w:t>(h)</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4.6</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(31)</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4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22.4</w:t>
            </w:r>
          </w:p>
        </w:tc>
        <w:tc>
          <w:tcPr>
            <w:tcW w:w="260" w:type="dxa"/>
            <w:vAlign w:val="bottom"/>
          </w:tcPr>
          <w:p>
            <w:pPr>
              <w:ind w:left="20"/>
              <w:spacing w:after="0"/>
              <w:rPr>
                <w:sz w:val="20"/>
                <w:szCs w:val="20"/>
                <w:color w:val="auto"/>
              </w:rPr>
            </w:pPr>
            <w:r>
              <w:rPr>
                <w:rFonts w:ascii="Arial" w:cs="Arial" w:eastAsia="Arial" w:hAnsi="Arial"/>
                <w:sz w:val="11"/>
                <w:szCs w:val="11"/>
                <w:color w:val="auto"/>
              </w:rPr>
              <w:t>(h)</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38.5</w:t>
            </w:r>
          </w:p>
        </w:tc>
        <w:tc>
          <w:tcPr>
            <w:tcW w:w="1140" w:type="dxa"/>
            <w:vAlign w:val="bottom"/>
            <w:gridSpan w:val="2"/>
          </w:tcPr>
          <w:p>
            <w:pPr>
              <w:jc w:val="right"/>
              <w:ind w:right="66"/>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75"/>
        </w:trPr>
        <w:tc>
          <w:tcPr>
            <w:tcW w:w="2200" w:type="dxa"/>
            <w:vAlign w:val="bottom"/>
            <w:gridSpan w:val="2"/>
          </w:tcPr>
          <w:p>
            <w:pPr>
              <w:ind w:left="140"/>
              <w:spacing w:after="0"/>
              <w:rPr>
                <w:sz w:val="20"/>
                <w:szCs w:val="20"/>
                <w:color w:val="auto"/>
              </w:rPr>
            </w:pPr>
            <w:r>
              <w:rPr>
                <w:rFonts w:ascii="Arial" w:cs="Arial" w:eastAsia="Arial" w:hAnsi="Arial"/>
                <w:sz w:val="11"/>
                <w:szCs w:val="11"/>
                <w:color w:val="auto"/>
              </w:rPr>
              <w:t>Correspondent</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(40)</w:t>
            </w:r>
          </w:p>
        </w:tc>
        <w:tc>
          <w:tcPr>
            <w:tcW w:w="200" w:type="dxa"/>
            <w:vAlign w:val="bottom"/>
          </w:tcPr>
          <w:p>
            <w:pPr>
              <w:spacing w:after="0"/>
              <w:rPr>
                <w:sz w:val="15"/>
                <w:szCs w:val="15"/>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26.9</w:t>
            </w:r>
          </w:p>
        </w:tc>
        <w:tc>
          <w:tcPr>
            <w:tcW w:w="1140" w:type="dxa"/>
            <w:vAlign w:val="bottom"/>
            <w:gridSpan w:val="2"/>
          </w:tcPr>
          <w:p>
            <w:pPr>
              <w:jc w:val="right"/>
              <w:ind w:right="66"/>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48"/>
        </w:trPr>
        <w:tc>
          <w:tcPr>
            <w:tcW w:w="2200" w:type="dxa"/>
            <w:vAlign w:val="bottom"/>
            <w:gridSpan w:val="2"/>
          </w:tcPr>
          <w:p>
            <w:pPr>
              <w:ind w:left="220"/>
              <w:spacing w:after="0"/>
              <w:rPr>
                <w:sz w:val="20"/>
                <w:szCs w:val="20"/>
                <w:color w:val="auto"/>
              </w:rPr>
            </w:pPr>
            <w:r>
              <w:rPr>
                <w:rFonts w:ascii="Arial" w:cs="Arial" w:eastAsia="Arial" w:hAnsi="Arial"/>
                <w:sz w:val="11"/>
                <w:szCs w:val="11"/>
                <w:b w:val="1"/>
                <w:bCs w:val="1"/>
                <w:color w:val="auto"/>
                <w:w w:val="99"/>
              </w:rPr>
              <w:t>Total mortgage origination volume (e)</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7.2</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11.0</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11.2</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5.7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6.7</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(35)</w:t>
            </w:r>
          </w:p>
        </w:tc>
        <w:tc>
          <w:tcPr>
            <w:tcW w:w="20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35.1</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65.4</w:t>
            </w:r>
          </w:p>
        </w:tc>
        <w:tc>
          <w:tcPr>
            <w:tcW w:w="1140" w:type="dxa"/>
            <w:vAlign w:val="bottom"/>
            <w:gridSpan w:val="2"/>
          </w:tcPr>
          <w:p>
            <w:pPr>
              <w:jc w:val="right"/>
              <w:ind w:right="66"/>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22"/>
        </w:trPr>
        <w:tc>
          <w:tcPr>
            <w:tcW w:w="2200" w:type="dxa"/>
            <w:vAlign w:val="bottom"/>
            <w:gridSpan w:val="2"/>
          </w:tcPr>
          <w:p>
            <w:pPr>
              <w:ind w:left="20"/>
              <w:spacing w:after="0" w:line="122" w:lineRule="exact"/>
              <w:rPr>
                <w:sz w:val="20"/>
                <w:szCs w:val="20"/>
                <w:color w:val="auto"/>
              </w:rPr>
            </w:pPr>
            <w:r>
              <w:rPr>
                <w:rFonts w:ascii="Arial" w:cs="Arial" w:eastAsia="Arial" w:hAnsi="Arial"/>
                <w:sz w:val="11"/>
                <w:szCs w:val="11"/>
                <w:color w:val="auto"/>
                <w:w w:val="99"/>
              </w:rPr>
              <w:t>Third-party mortgage loans serviced (period-</w:t>
            </w:r>
          </w:p>
        </w:tc>
        <w:tc>
          <w:tcPr>
            <w:tcW w:w="8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631.2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637.8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604.5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575.9</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584.3</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0"/>
                <w:szCs w:val="10"/>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631.2</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584.3</w:t>
            </w:r>
          </w:p>
        </w:tc>
        <w:tc>
          <w:tcPr>
            <w:tcW w:w="114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end)</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MSR carrying value (period-end)</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8.5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8.0</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8.0</w:t>
            </w:r>
          </w:p>
        </w:tc>
        <w:tc>
          <w:tcPr>
            <w:tcW w:w="114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330"/>
        </w:trPr>
        <w:tc>
          <w:tcPr>
            <w:tcW w:w="2200" w:type="dxa"/>
            <w:vAlign w:val="bottom"/>
            <w:gridSpan w:val="2"/>
          </w:tcPr>
          <w:p>
            <w:pPr>
              <w:ind w:left="20"/>
              <w:spacing w:after="0"/>
              <w:rPr>
                <w:sz w:val="20"/>
                <w:szCs w:val="20"/>
                <w:color w:val="auto"/>
              </w:rPr>
            </w:pPr>
            <w:r>
              <w:rPr>
                <w:rFonts w:ascii="Arial" w:cs="Arial" w:eastAsia="Arial" w:hAnsi="Arial"/>
                <w:sz w:val="11"/>
                <w:szCs w:val="11"/>
                <w:b w:val="1"/>
                <w:bCs w:val="1"/>
                <w:color w:val="auto"/>
              </w:rPr>
              <w:t>Card Services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200" w:type="dxa"/>
            <w:vAlign w:val="bottom"/>
            <w:gridSpan w:val="2"/>
          </w:tcPr>
          <w:p>
            <w:pPr>
              <w:ind w:left="20"/>
              <w:spacing w:after="0" w:line="122" w:lineRule="exact"/>
              <w:rPr>
                <w:sz w:val="20"/>
                <w:szCs w:val="20"/>
                <w:color w:val="auto"/>
              </w:rPr>
            </w:pPr>
            <w:r>
              <w:rPr>
                <w:rFonts w:ascii="Arial" w:cs="Arial" w:eastAsia="Arial" w:hAnsi="Arial"/>
                <w:sz w:val="11"/>
                <w:szCs w:val="11"/>
                <w:color w:val="auto"/>
                <w:w w:val="99"/>
              </w:rPr>
              <w:t>Sales volume, excluding commercial card (in</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307.2</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296.2</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294.0</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266.2</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284.8</w:t>
            </w:r>
          </w:p>
        </w:tc>
        <w:tc>
          <w:tcPr>
            <w:tcW w:w="92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0"/>
                <w:szCs w:val="10"/>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1,163.6</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1,064.7</w:t>
            </w:r>
          </w:p>
        </w:tc>
        <w:tc>
          <w:tcPr>
            <w:tcW w:w="114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billions)</w:t>
            </w: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Net revenue rate</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9.82</w:t>
            </w: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9.60</w:t>
            </w: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9.11</w:t>
            </w: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10.38</w:t>
            </w:r>
          </w:p>
        </w:tc>
        <w:tc>
          <w:tcPr>
            <w:tcW w:w="180" w:type="dxa"/>
            <w:vAlign w:val="bottom"/>
          </w:tcPr>
          <w:p>
            <w:pPr>
              <w:jc w:val="right"/>
              <w:ind w:right="26"/>
              <w:spacing w:after="0"/>
              <w:rPr>
                <w:sz w:val="20"/>
                <w:szCs w:val="20"/>
                <w:color w:val="auto"/>
              </w:rPr>
            </w:pPr>
            <w:r>
              <w:rPr>
                <w:rFonts w:ascii="Arial" w:cs="Arial" w:eastAsia="Arial" w:hAnsi="Arial"/>
                <w:sz w:val="11"/>
                <w:szCs w:val="11"/>
                <w:color w:val="auto"/>
                <w:w w:val="81"/>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10.06</w:t>
            </w:r>
          </w:p>
        </w:tc>
        <w:tc>
          <w:tcPr>
            <w:tcW w:w="40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9.72</w:t>
            </w:r>
          </w:p>
        </w:tc>
        <w:tc>
          <w:tcPr>
            <w:tcW w:w="260" w:type="dxa"/>
            <w:vAlign w:val="bottom"/>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9.87</w:t>
            </w:r>
          </w:p>
        </w:tc>
        <w:tc>
          <w:tcPr>
            <w:tcW w:w="40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Net yield on average loans</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9.70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9.54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9.89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9.78</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9.61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9.77</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220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2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Loan and lease origination volume (in</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9.9</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10.2</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12.0</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9.2</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7.5</w:t>
            </w:r>
          </w:p>
        </w:tc>
        <w:tc>
          <w:tcPr>
            <w:tcW w:w="92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0"/>
                <w:szCs w:val="10"/>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32</w:t>
            </w:r>
          </w:p>
        </w:tc>
        <w:tc>
          <w:tcPr>
            <w:tcW w:w="4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41.3</w:t>
            </w:r>
          </w:p>
        </w:tc>
        <w:tc>
          <w:tcPr>
            <w:tcW w:w="26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30.4</w:t>
            </w:r>
          </w:p>
        </w:tc>
        <w:tc>
          <w:tcPr>
            <w:tcW w:w="114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billions)</w:t>
            </w: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Average auto operating lease assets</w:t>
            </w: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10,440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10,701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11,015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11,538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12,333</w:t>
            </w:r>
          </w:p>
        </w:tc>
        <w:tc>
          <w:tcPr>
            <w:tcW w:w="92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10,920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14,259</w:t>
            </w:r>
          </w:p>
        </w:tc>
        <w:tc>
          <w:tcPr>
            <w:tcW w:w="1140" w:type="dxa"/>
            <w:vAlign w:val="bottom"/>
            <w:gridSpan w:val="2"/>
          </w:tcPr>
          <w:p>
            <w:pPr>
              <w:jc w:val="right"/>
              <w:ind w:right="6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218440</wp:posOffset>
            </wp:positionV>
            <wp:extent cx="13970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52" w:hanging="152"/>
        <w:spacing w:after="0"/>
        <w:tabs>
          <w:tab w:leader="none" w:pos="152" w:val="left"/>
        </w:tabs>
        <w:numPr>
          <w:ilvl w:val="0"/>
          <w:numId w:val="21"/>
        </w:numPr>
        <w:rPr>
          <w:rFonts w:ascii="Arial" w:cs="Arial" w:eastAsia="Arial" w:hAnsi="Arial"/>
          <w:sz w:val="11"/>
          <w:szCs w:val="11"/>
          <w:color w:val="auto"/>
        </w:rPr>
      </w:pPr>
      <w:r>
        <w:rPr>
          <w:rFonts w:ascii="Arial" w:cs="Arial" w:eastAsia="Arial" w:hAnsi="Arial"/>
          <w:sz w:val="11"/>
          <w:szCs w:val="11"/>
          <w:color w:val="auto"/>
        </w:rPr>
        <w:t>Users of all web and/or mobile platforms who have logged in within the past 90 days.</w:t>
      </w:r>
    </w:p>
    <w:p>
      <w:pPr>
        <w:spacing w:after="0" w:line="5" w:lineRule="exact"/>
        <w:rPr>
          <w:rFonts w:ascii="Arial" w:cs="Arial" w:eastAsia="Arial" w:hAnsi="Arial"/>
          <w:sz w:val="11"/>
          <w:szCs w:val="11"/>
          <w:color w:val="auto"/>
        </w:rPr>
      </w:pPr>
    </w:p>
    <w:p>
      <w:pPr>
        <w:ind w:left="152" w:hanging="152"/>
        <w:spacing w:after="0"/>
        <w:tabs>
          <w:tab w:leader="none" w:pos="152" w:val="left"/>
        </w:tabs>
        <w:numPr>
          <w:ilvl w:val="0"/>
          <w:numId w:val="21"/>
        </w:numPr>
        <w:rPr>
          <w:rFonts w:ascii="Arial" w:cs="Arial" w:eastAsia="Arial" w:hAnsi="Arial"/>
          <w:sz w:val="11"/>
          <w:szCs w:val="11"/>
          <w:color w:val="auto"/>
        </w:rPr>
      </w:pPr>
      <w:r>
        <w:rPr>
          <w:rFonts w:ascii="Arial" w:cs="Arial" w:eastAsia="Arial" w:hAnsi="Arial"/>
          <w:sz w:val="11"/>
          <w:szCs w:val="11"/>
          <w:color w:val="auto"/>
        </w:rPr>
        <w:t>Users of all mobile platforms who have logged in within the past 90 days.</w:t>
      </w:r>
    </w:p>
    <w:p>
      <w:pPr>
        <w:spacing w:after="0" w:line="5" w:lineRule="exact"/>
        <w:rPr>
          <w:rFonts w:ascii="Arial" w:cs="Arial" w:eastAsia="Arial" w:hAnsi="Arial"/>
          <w:sz w:val="11"/>
          <w:szCs w:val="11"/>
          <w:color w:val="auto"/>
        </w:rPr>
      </w:pPr>
    </w:p>
    <w:p>
      <w:pPr>
        <w:ind w:left="152" w:hanging="152"/>
        <w:spacing w:after="0" w:line="236" w:lineRule="auto"/>
        <w:tabs>
          <w:tab w:leader="none" w:pos="152" w:val="left"/>
        </w:tabs>
        <w:numPr>
          <w:ilvl w:val="0"/>
          <w:numId w:val="21"/>
        </w:numPr>
        <w:rPr>
          <w:rFonts w:ascii="Arial" w:cs="Arial" w:eastAsia="Arial" w:hAnsi="Arial"/>
          <w:sz w:val="11"/>
          <w:szCs w:val="11"/>
          <w:color w:val="auto"/>
        </w:rPr>
      </w:pPr>
      <w:r>
        <w:rPr>
          <w:rFonts w:ascii="Arial" w:cs="Arial" w:eastAsia="Arial" w:hAnsi="Arial"/>
          <w:sz w:val="11"/>
          <w:szCs w:val="11"/>
          <w:color w:val="auto"/>
        </w:rPr>
        <w:t>Total payments transaction volume includes debit and credit card sales volume and gross outflows of ACH, ATM, teller, wires, BillPay, PayChase, Zelle, person-to-person and checks.</w:t>
      </w:r>
    </w:p>
    <w:p>
      <w:pPr>
        <w:ind w:left="172" w:right="140" w:hanging="172"/>
        <w:spacing w:after="0" w:line="253" w:lineRule="auto"/>
        <w:tabs>
          <w:tab w:leader="none" w:pos="169"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Includes assets invested in managed accounts and J.P. Morgan mutual funds where AWM is the investment manager. Refer to AWM segment results on pages 21-23 for additional information. At December 31, 2023, September 30, 2023, and June 30, 2023, included $144.6 billion, $140.6 billion and $150.9 billion of client investment assets associated with First Republic, respectively.</w:t>
      </w:r>
    </w:p>
    <w:p>
      <w:pPr>
        <w:ind w:left="172" w:right="160" w:hanging="172"/>
        <w:spacing w:after="0" w:line="243" w:lineRule="auto"/>
        <w:tabs>
          <w:tab w:leader="none" w:pos="169" w:val="left"/>
        </w:tabs>
        <w:numPr>
          <w:ilvl w:val="0"/>
          <w:numId w:val="21"/>
        </w:numPr>
        <w:rPr>
          <w:rFonts w:ascii="Arial" w:cs="Arial" w:eastAsia="Arial" w:hAnsi="Arial"/>
          <w:sz w:val="11"/>
          <w:szCs w:val="11"/>
          <w:color w:val="auto"/>
        </w:rPr>
      </w:pPr>
      <w:r>
        <w:rPr>
          <w:rFonts w:ascii="Arial" w:cs="Arial" w:eastAsia="Arial" w:hAnsi="Arial"/>
          <w:sz w:val="11"/>
          <w:szCs w:val="11"/>
          <w:color w:val="auto"/>
        </w:rPr>
        <w:t>Firmwide mortgage origination volume was $8.6 billion, $13.0 billion, $13.0 billion, $6.8 billion and $8.5 billion for the three months ended December 31, 2023, September 30, 2023, June 30, 2023, March 31, 2023 and December 31, 2022, respectively, and $41.4 billion and $81.8 billion for the full year 2023 and 2022, respectively.</w:t>
      </w:r>
    </w:p>
    <w:p>
      <w:pPr>
        <w:ind w:left="152" w:hanging="152"/>
        <w:spacing w:after="0" w:line="236" w:lineRule="auto"/>
        <w:tabs>
          <w:tab w:leader="none" w:pos="152" w:val="left"/>
        </w:tabs>
        <w:numPr>
          <w:ilvl w:val="0"/>
          <w:numId w:val="21"/>
        </w:numPr>
        <w:rPr>
          <w:rFonts w:ascii="Arial" w:cs="Arial" w:eastAsia="Arial" w:hAnsi="Arial"/>
          <w:sz w:val="11"/>
          <w:szCs w:val="11"/>
          <w:color w:val="auto"/>
        </w:rPr>
      </w:pPr>
      <w:r>
        <w:rPr>
          <w:rFonts w:ascii="Arial" w:cs="Arial" w:eastAsia="Arial" w:hAnsi="Arial"/>
          <w:sz w:val="11"/>
          <w:szCs w:val="11"/>
          <w:color w:val="auto"/>
        </w:rPr>
        <w:t>Excludes First Republic.</w:t>
      </w:r>
    </w:p>
    <w:p>
      <w:pPr>
        <w:ind w:left="152" w:hanging="152"/>
        <w:spacing w:after="0"/>
        <w:tabs>
          <w:tab w:leader="none" w:pos="152"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Included $42.9 billion, $66.7 billion, and $47.2 billion for the three months ended December 31, 2023 September 30, 2023, and June 30, 2023, respectively, and $39.4 billion for the full year 2023, associated with First Republic.</w:t>
      </w:r>
    </w:p>
    <w:p>
      <w:pPr>
        <w:spacing w:after="0" w:line="5" w:lineRule="exact"/>
        <w:rPr>
          <w:rFonts w:ascii="Arial" w:cs="Arial" w:eastAsia="Arial" w:hAnsi="Arial"/>
          <w:sz w:val="11"/>
          <w:szCs w:val="11"/>
          <w:color w:val="auto"/>
        </w:rPr>
      </w:pPr>
    </w:p>
    <w:p>
      <w:pPr>
        <w:ind w:left="152" w:hanging="152"/>
        <w:spacing w:after="0"/>
        <w:tabs>
          <w:tab w:leader="none" w:pos="152"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Included $410 million, $730 million, and $1.1 billion for the three months ended December 31, 2023 September 30, 2023, and June 30, 2023, respectively, and $2.3 billion for the full year 2023, associated with First Republic.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832"/>
        <w:spacing w:after="0"/>
        <w:rPr>
          <w:sz w:val="20"/>
          <w:szCs w:val="20"/>
          <w:color w:val="auto"/>
        </w:rPr>
      </w:pPr>
      <w:r>
        <w:rPr>
          <w:rFonts w:ascii="Arial" w:cs="Arial" w:eastAsia="Arial" w:hAnsi="Arial"/>
          <w:sz w:val="11"/>
          <w:szCs w:val="11"/>
          <w:color w:val="auto"/>
        </w:rPr>
        <w:t>Page 15</w:t>
      </w:r>
    </w:p>
    <w:p>
      <w:pPr>
        <w:sectPr>
          <w:pgSz w:w="11900" w:h="16838" w:orient="portrait"/>
          <w:cols w:equalWidth="0" w:num="1">
            <w:col w:w="11332"/>
          </w:cols>
          <w:pgMar w:left="328" w:top="936" w:right="239" w:bottom="1440" w:gutter="0" w:footer="0" w:header="0"/>
        </w:sectPr>
      </w:pPr>
    </w:p>
    <w:bookmarkStart w:id="27" w:name="page28"/>
    <w:bookmarkEnd w:id="27"/>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13970</wp:posOffset>
            </wp:positionV>
            <wp:extent cx="237426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CORPORATE &amp; INVESTMENT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BANK</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2100" w:type="dxa"/>
            <w:vAlign w:val="bottom"/>
            <w:gridSpan w:val="4"/>
          </w:tcPr>
          <w:p>
            <w:pPr>
              <w:spacing w:after="0"/>
              <w:rPr>
                <w:sz w:val="20"/>
                <w:szCs w:val="20"/>
                <w:color w:val="auto"/>
              </w:rPr>
            </w:pPr>
            <w:r>
              <w:rPr>
                <w:rFonts w:ascii="Arial" w:cs="Arial" w:eastAsia="Arial" w:hAnsi="Arial"/>
                <w:sz w:val="11"/>
                <w:szCs w:val="11"/>
                <w:b w:val="1"/>
                <w:bCs w:val="1"/>
                <w:color w:val="auto"/>
              </w:rPr>
              <w:t>(in millions, except ratio data)</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380"/>
              <w:spacing w:after="0"/>
              <w:rPr>
                <w:sz w:val="20"/>
                <w:szCs w:val="20"/>
                <w:color w:val="auto"/>
              </w:rPr>
            </w:pPr>
            <w:r>
              <w:rPr>
                <w:rFonts w:ascii="Arial" w:cs="Arial" w:eastAsia="Arial" w:hAnsi="Arial"/>
                <w:sz w:val="11"/>
                <w:szCs w:val="11"/>
                <w:b w:val="1"/>
                <w:bCs w:val="1"/>
                <w:color w:val="auto"/>
              </w:rPr>
              <w:t>QUARTERLY TRENDS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7"/>
              </w:rPr>
              <w:t>FULL YEAR</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1"/>
                <w:szCs w:val="11"/>
                <w:b w:val="1"/>
                <w:bCs w:val="1"/>
                <w:color w:val="auto"/>
              </w:rPr>
              <w:t>4Q23 Change</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 Change</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4Q23</w:t>
            </w:r>
          </w:p>
        </w:tc>
        <w:tc>
          <w:tcPr>
            <w:tcW w:w="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3Q23</w:t>
            </w:r>
          </w:p>
        </w:tc>
        <w:tc>
          <w:tcPr>
            <w:tcW w:w="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2Q23</w:t>
            </w:r>
          </w:p>
        </w:tc>
        <w:tc>
          <w:tcPr>
            <w:tcW w:w="1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1Q23</w:t>
            </w:r>
          </w:p>
        </w:tc>
        <w:tc>
          <w:tcPr>
            <w:tcW w:w="120" w:type="dxa"/>
            <w:vAlign w:val="bottom"/>
          </w:tcPr>
          <w:p>
            <w:pPr>
              <w:spacing w:after="0"/>
              <w:rPr>
                <w:sz w:val="13"/>
                <w:szCs w:val="13"/>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4Q22</w:t>
            </w:r>
          </w:p>
        </w:tc>
        <w:tc>
          <w:tcPr>
            <w:tcW w:w="24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3Q23</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4Q22</w:t>
            </w:r>
          </w:p>
        </w:tc>
        <w:tc>
          <w:tcPr>
            <w:tcW w:w="140" w:type="dxa"/>
            <w:vAlign w:val="bottom"/>
          </w:tcPr>
          <w:p>
            <w:pPr>
              <w:spacing w:after="0"/>
              <w:rPr>
                <w:sz w:val="13"/>
                <w:szCs w:val="13"/>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b w:val="1"/>
                <w:bCs w:val="1"/>
                <w:color w:val="auto"/>
              </w:rPr>
              <w:t>2023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66"/>
              <w:spacing w:after="0"/>
              <w:rPr>
                <w:sz w:val="20"/>
                <w:szCs w:val="20"/>
                <w:color w:val="auto"/>
              </w:rPr>
            </w:pPr>
            <w:r>
              <w:rPr>
                <w:rFonts w:ascii="Arial" w:cs="Arial" w:eastAsia="Arial" w:hAnsi="Arial"/>
                <w:sz w:val="11"/>
                <w:szCs w:val="11"/>
                <w:b w:val="1"/>
                <w:bCs w:val="1"/>
                <w:color w:val="auto"/>
              </w:rPr>
              <w:t>2022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0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8"/>
        </w:trPr>
        <w:tc>
          <w:tcPr>
            <w:tcW w:w="1120" w:type="dxa"/>
            <w:vAlign w:val="bottom"/>
            <w:tcBorders>
              <w:bottom w:val="single" w:sz="8" w:color="auto"/>
            </w:tcBorders>
            <w:gridSpan w:val="2"/>
          </w:tcPr>
          <w:p>
            <w:pPr>
              <w:spacing w:after="0" w:line="108" w:lineRule="exact"/>
              <w:rPr>
                <w:sz w:val="20"/>
                <w:szCs w:val="20"/>
                <w:color w:val="auto"/>
              </w:rPr>
            </w:pPr>
            <w:r>
              <w:rPr>
                <w:rFonts w:ascii="Arial" w:cs="Arial" w:eastAsia="Arial" w:hAnsi="Arial"/>
                <w:sz w:val="11"/>
                <w:szCs w:val="11"/>
                <w:b w:val="1"/>
                <w:bCs w:val="1"/>
                <w:color w:val="auto"/>
                <w:w w:val="96"/>
              </w:rPr>
              <w:t>INCOME STATEMENT</w:t>
            </w:r>
          </w:p>
        </w:tc>
        <w:tc>
          <w:tcPr>
            <w:tcW w:w="980" w:type="dxa"/>
            <w:vAlign w:val="bottom"/>
            <w:gridSpan w:val="2"/>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100" w:type="dxa"/>
            <w:vAlign w:val="bottom"/>
            <w:gridSpan w:val="4"/>
          </w:tcPr>
          <w:p>
            <w:pPr>
              <w:spacing w:after="0"/>
              <w:rPr>
                <w:sz w:val="20"/>
                <w:szCs w:val="20"/>
                <w:color w:val="auto"/>
              </w:rPr>
            </w:pPr>
            <w:r>
              <w:rPr>
                <w:rFonts w:ascii="Arial" w:cs="Arial" w:eastAsia="Arial" w:hAnsi="Arial"/>
                <w:sz w:val="11"/>
                <w:szCs w:val="11"/>
                <w:b w:val="1"/>
                <w:bCs w:val="1"/>
                <w:color w:val="auto"/>
              </w:rPr>
              <w:t>REVENUE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00" w:type="dxa"/>
            <w:vAlign w:val="bottom"/>
            <w:gridSpan w:val="4"/>
          </w:tcPr>
          <w:p>
            <w:pPr>
              <w:spacing w:after="0"/>
              <w:rPr>
                <w:sz w:val="20"/>
                <w:szCs w:val="20"/>
                <w:color w:val="auto"/>
              </w:rPr>
            </w:pPr>
            <w:r>
              <w:rPr>
                <w:rFonts w:ascii="Arial" w:cs="Arial" w:eastAsia="Arial" w:hAnsi="Arial"/>
                <w:sz w:val="11"/>
                <w:szCs w:val="11"/>
                <w:color w:val="auto"/>
              </w:rPr>
              <w:t>Investment banking fees (a)</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1,654</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1,717</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1,557</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1,654</w:t>
            </w:r>
          </w:p>
        </w:tc>
        <w:tc>
          <w:tcPr>
            <w:tcW w:w="2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1,467</w:t>
            </w: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13 %</w:t>
            </w:r>
          </w:p>
        </w:tc>
        <w:tc>
          <w:tcPr>
            <w:tcW w:w="4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6,582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6,929</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2100" w:type="dxa"/>
            <w:vAlign w:val="bottom"/>
            <w:gridSpan w:val="4"/>
          </w:tcPr>
          <w:p>
            <w:pPr>
              <w:spacing w:after="0"/>
              <w:rPr>
                <w:sz w:val="20"/>
                <w:szCs w:val="20"/>
                <w:color w:val="auto"/>
              </w:rPr>
            </w:pPr>
            <w:r>
              <w:rPr>
                <w:rFonts w:ascii="Arial" w:cs="Arial" w:eastAsia="Arial" w:hAnsi="Arial"/>
                <w:sz w:val="11"/>
                <w:szCs w:val="11"/>
                <w:color w:val="auto"/>
              </w:rPr>
              <w:t>Principal transactions</w:t>
            </w: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3,648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5,918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6,697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7,408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4,397</w:t>
            </w:r>
          </w:p>
        </w:tc>
        <w:tc>
          <w:tcPr>
            <w:tcW w:w="24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(38)</w:t>
            </w:r>
          </w:p>
        </w:tc>
        <w:tc>
          <w:tcPr>
            <w:tcW w:w="20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23,671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19,926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2"/>
        </w:trPr>
        <w:tc>
          <w:tcPr>
            <w:tcW w:w="2100" w:type="dxa"/>
            <w:vAlign w:val="bottom"/>
            <w:gridSpan w:val="4"/>
          </w:tcPr>
          <w:p>
            <w:pPr>
              <w:spacing w:after="0"/>
              <w:rPr>
                <w:sz w:val="20"/>
                <w:szCs w:val="20"/>
                <w:color w:val="auto"/>
              </w:rPr>
            </w:pPr>
            <w:r>
              <w:rPr>
                <w:rFonts w:ascii="Arial" w:cs="Arial" w:eastAsia="Arial" w:hAnsi="Arial"/>
                <w:sz w:val="11"/>
                <w:szCs w:val="11"/>
                <w:color w:val="auto"/>
              </w:rPr>
              <w:t>Lending- and deposit-related fees</w:t>
            </w: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585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556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533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539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548</w:t>
            </w:r>
          </w:p>
        </w:tc>
        <w:tc>
          <w:tcPr>
            <w:tcW w:w="2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2,213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2,419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62"/>
        </w:trPr>
        <w:tc>
          <w:tcPr>
            <w:tcW w:w="2100" w:type="dxa"/>
            <w:vAlign w:val="bottom"/>
            <w:gridSpan w:val="4"/>
          </w:tcPr>
          <w:p>
            <w:pPr>
              <w:spacing w:after="0"/>
              <w:rPr>
                <w:sz w:val="20"/>
                <w:szCs w:val="20"/>
                <w:color w:val="auto"/>
              </w:rPr>
            </w:pPr>
            <w:r>
              <w:rPr>
                <w:rFonts w:ascii="Arial" w:cs="Arial" w:eastAsia="Arial" w:hAnsi="Arial"/>
                <w:sz w:val="11"/>
                <w:szCs w:val="11"/>
                <w:color w:val="auto"/>
              </w:rPr>
              <w:t>Commissions and other fees</w:t>
            </w: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1,194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1,174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1,219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1,234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1,200</w:t>
            </w:r>
          </w:p>
        </w:tc>
        <w:tc>
          <w:tcPr>
            <w:tcW w:w="2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4,821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5,058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2100" w:type="dxa"/>
            <w:vAlign w:val="bottom"/>
            <w:gridSpan w:val="4"/>
          </w:tcPr>
          <w:p>
            <w:pPr>
              <w:spacing w:after="0"/>
              <w:rPr>
                <w:sz w:val="20"/>
                <w:szCs w:val="20"/>
                <w:color w:val="auto"/>
              </w:rPr>
            </w:pPr>
            <w:r>
              <w:rPr>
                <w:rFonts w:ascii="Arial" w:cs="Arial" w:eastAsia="Arial" w:hAnsi="Arial"/>
                <w:sz w:val="11"/>
                <w:szCs w:val="11"/>
                <w:color w:val="auto"/>
              </w:rPr>
              <w:t>Card income</w:t>
            </w: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361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374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315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353</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1,450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1,249</w:t>
            </w:r>
          </w:p>
        </w:tc>
        <w:tc>
          <w:tcPr>
            <w:tcW w:w="2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1"/>
                <w:szCs w:val="11"/>
                <w:color w:val="auto"/>
              </w:rPr>
              <w:t>(d)</w:t>
            </w: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76"/>
        </w:trPr>
        <w:tc>
          <w:tcPr>
            <w:tcW w:w="2100" w:type="dxa"/>
            <w:vAlign w:val="bottom"/>
            <w:gridSpan w:val="4"/>
          </w:tcPr>
          <w:p>
            <w:pPr>
              <w:spacing w:after="0"/>
              <w:rPr>
                <w:sz w:val="20"/>
                <w:szCs w:val="20"/>
                <w:color w:val="auto"/>
              </w:rPr>
            </w:pPr>
            <w:r>
              <w:rPr>
                <w:rFonts w:ascii="Arial" w:cs="Arial" w:eastAsia="Arial" w:hAnsi="Arial"/>
                <w:sz w:val="11"/>
                <w:szCs w:val="11"/>
                <w:color w:val="auto"/>
              </w:rPr>
              <w:t>All other income</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678</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131</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396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373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147</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418</w:t>
            </w:r>
          </w:p>
        </w:tc>
        <w:tc>
          <w:tcPr>
            <w:tcW w:w="20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361</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1,578</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621</w:t>
            </w:r>
          </w:p>
        </w:tc>
        <w:tc>
          <w:tcPr>
            <w:tcW w:w="2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1"/>
                <w:szCs w:val="11"/>
                <w:color w:val="auto"/>
              </w:rPr>
              <w:t>(d)</w:t>
            </w: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154</w:t>
            </w:r>
          </w:p>
        </w:tc>
        <w:tc>
          <w:tcPr>
            <w:tcW w:w="0" w:type="dxa"/>
            <w:vAlign w:val="bottom"/>
          </w:tcPr>
          <w:p>
            <w:pPr>
              <w:spacing w:after="0"/>
              <w:rPr>
                <w:sz w:val="1"/>
                <w:szCs w:val="1"/>
                <w:color w:val="auto"/>
              </w:rPr>
            </w:pPr>
          </w:p>
        </w:tc>
      </w:tr>
      <w:tr>
        <w:trPr>
          <w:trHeight w:val="148"/>
        </w:trPr>
        <w:tc>
          <w:tcPr>
            <w:tcW w:w="2100" w:type="dxa"/>
            <w:vAlign w:val="bottom"/>
            <w:gridSpan w:val="4"/>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8,120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9,870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10,802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11,523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8,112</w:t>
            </w:r>
          </w:p>
        </w:tc>
        <w:tc>
          <w:tcPr>
            <w:tcW w:w="24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200" w:type="dxa"/>
            <w:vAlign w:val="bottom"/>
          </w:tcPr>
          <w:p>
            <w:pPr>
              <w:spacing w:after="0"/>
              <w:rPr>
                <w:sz w:val="12"/>
                <w:szCs w:val="12"/>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40,315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b w:val="1"/>
                <w:bCs w:val="1"/>
                <w:color w:val="auto"/>
              </w:rPr>
              <w:t>36,202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0"/>
        </w:trPr>
        <w:tc>
          <w:tcPr>
            <w:tcW w:w="2100" w:type="dxa"/>
            <w:vAlign w:val="bottom"/>
            <w:gridSpan w:val="4"/>
          </w:tcPr>
          <w:p>
            <w:pPr>
              <w:spacing w:after="0"/>
              <w:rPr>
                <w:sz w:val="20"/>
                <w:szCs w:val="20"/>
                <w:color w:val="auto"/>
              </w:rPr>
            </w:pPr>
            <w:r>
              <w:rPr>
                <w:rFonts w:ascii="Arial" w:cs="Arial" w:eastAsia="Arial" w:hAnsi="Arial"/>
                <w:sz w:val="11"/>
                <w:szCs w:val="11"/>
                <w:color w:val="auto"/>
              </w:rPr>
              <w:t>Net interest income</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2,838</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1,860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1,717</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2,077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2,486</w:t>
            </w:r>
          </w:p>
        </w:tc>
        <w:tc>
          <w:tcPr>
            <w:tcW w:w="2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53</w:t>
            </w:r>
          </w:p>
        </w:tc>
        <w:tc>
          <w:tcPr>
            <w:tcW w:w="20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8,492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11,900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48"/>
        </w:trPr>
        <w:tc>
          <w:tcPr>
            <w:tcW w:w="21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 (b)</w:t>
            </w: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10,958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11,730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12,519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13,600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10,598</w:t>
            </w:r>
          </w:p>
        </w:tc>
        <w:tc>
          <w:tcPr>
            <w:tcW w:w="24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48,807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b w:val="1"/>
                <w:bCs w:val="1"/>
                <w:color w:val="auto"/>
              </w:rPr>
              <w:t>48,102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64"/>
        </w:trPr>
        <w:tc>
          <w:tcPr>
            <w:tcW w:w="2100" w:type="dxa"/>
            <w:vAlign w:val="bottom"/>
            <w:gridSpan w:val="4"/>
          </w:tcPr>
          <w:p>
            <w:pPr>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22"/>
                <w:szCs w:val="2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210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(185)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38</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58</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141</w:t>
            </w:r>
          </w:p>
        </w:tc>
        <w:tc>
          <w:tcPr>
            <w:tcW w:w="240" w:type="dxa"/>
            <w:vAlign w:val="bottom"/>
          </w:tcPr>
          <w:p>
            <w:pPr>
              <w:spacing w:after="0"/>
              <w:rPr>
                <w:sz w:val="22"/>
                <w:szCs w:val="22"/>
                <w:color w:val="auto"/>
              </w:rPr>
            </w:pPr>
          </w:p>
        </w:tc>
        <w:tc>
          <w:tcPr>
            <w:tcW w:w="740" w:type="dxa"/>
            <w:vAlign w:val="bottom"/>
            <w:gridSpan w:val="2"/>
          </w:tcPr>
          <w:p>
            <w:pPr>
              <w:ind w:left="340"/>
              <w:spacing w:after="0"/>
              <w:rPr>
                <w:sz w:val="20"/>
                <w:szCs w:val="20"/>
                <w:color w:val="auto"/>
              </w:rPr>
            </w:pPr>
            <w:r>
              <w:rPr>
                <w:rFonts w:ascii="Arial" w:cs="Arial" w:eastAsia="Arial" w:hAnsi="Arial"/>
                <w:sz w:val="11"/>
                <w:szCs w:val="11"/>
                <w:color w:val="auto"/>
              </w:rPr>
              <w:t>NM</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49</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121</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1,158</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276"/>
        </w:trPr>
        <w:tc>
          <w:tcPr>
            <w:tcW w:w="2100" w:type="dxa"/>
            <w:vAlign w:val="bottom"/>
            <w:gridSpan w:val="4"/>
          </w:tcPr>
          <w:p>
            <w:pPr>
              <w:spacing w:after="0"/>
              <w:rPr>
                <w:sz w:val="20"/>
                <w:szCs w:val="20"/>
                <w:color w:val="auto"/>
              </w:rPr>
            </w:pPr>
            <w:r>
              <w:rPr>
                <w:rFonts w:ascii="Arial" w:cs="Arial" w:eastAsia="Arial" w:hAnsi="Arial"/>
                <w:sz w:val="11"/>
                <w:szCs w:val="11"/>
                <w:b w:val="1"/>
                <w:bCs w:val="1"/>
                <w:color w:val="auto"/>
              </w:rPr>
              <w:t>NONINTEREST EXPENSE</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100" w:type="dxa"/>
            <w:vAlign w:val="bottom"/>
            <w:gridSpan w:val="4"/>
          </w:tcPr>
          <w:p>
            <w:pPr>
              <w:spacing w:after="0"/>
              <w:rPr>
                <w:sz w:val="20"/>
                <w:szCs w:val="20"/>
                <w:color w:val="auto"/>
              </w:rPr>
            </w:pPr>
            <w:r>
              <w:rPr>
                <w:rFonts w:ascii="Arial" w:cs="Arial" w:eastAsia="Arial" w:hAnsi="Arial"/>
                <w:sz w:val="11"/>
                <w:szCs w:val="11"/>
                <w:color w:val="auto"/>
              </w:rPr>
              <w:t>Compensation expense</w:t>
            </w:r>
          </w:p>
        </w:tc>
        <w:tc>
          <w:tcPr>
            <w:tcW w:w="12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3,374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3,425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3,461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4,085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3,091</w:t>
            </w:r>
          </w:p>
        </w:tc>
        <w:tc>
          <w:tcPr>
            <w:tcW w:w="24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14,345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13,918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5"/>
        </w:trPr>
        <w:tc>
          <w:tcPr>
            <w:tcW w:w="2100" w:type="dxa"/>
            <w:vAlign w:val="bottom"/>
            <w:gridSpan w:val="4"/>
          </w:tcPr>
          <w:p>
            <w:pPr>
              <w:spacing w:after="0"/>
              <w:rPr>
                <w:sz w:val="20"/>
                <w:szCs w:val="20"/>
                <w:color w:val="auto"/>
              </w:rPr>
            </w:pPr>
            <w:r>
              <w:rPr>
                <w:rFonts w:ascii="Arial" w:cs="Arial" w:eastAsia="Arial" w:hAnsi="Arial"/>
                <w:sz w:val="11"/>
                <w:szCs w:val="11"/>
                <w:color w:val="auto"/>
              </w:rPr>
              <w:t>Noncompensation expense</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3,400</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4,018</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3,433</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3,398</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3,404</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5"/>
                <w:szCs w:val="15"/>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14,249</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13,432</w:t>
            </w:r>
          </w:p>
        </w:tc>
        <w:tc>
          <w:tcPr>
            <w:tcW w:w="2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1"/>
                <w:szCs w:val="11"/>
                <w:color w:val="auto"/>
              </w:rPr>
              <w:t>(d)</w:t>
            </w: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5"/>
        </w:trPr>
        <w:tc>
          <w:tcPr>
            <w:tcW w:w="21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6,774</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7,443</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6,894</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7,483</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6,495</w:t>
            </w:r>
          </w:p>
        </w:tc>
        <w:tc>
          <w:tcPr>
            <w:tcW w:w="24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28,594</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27,350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83"/>
        </w:trPr>
        <w:tc>
          <w:tcPr>
            <w:tcW w:w="2100" w:type="dxa"/>
            <w:vAlign w:val="bottom"/>
            <w:gridSpan w:val="4"/>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120" w:type="dxa"/>
            <w:vAlign w:val="bottom"/>
          </w:tcPr>
          <w:p>
            <w:pPr>
              <w:spacing w:after="0"/>
              <w:rPr>
                <w:sz w:val="24"/>
                <w:szCs w:val="2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3,974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4,472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5,587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6,059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3,962</w:t>
            </w:r>
          </w:p>
        </w:tc>
        <w:tc>
          <w:tcPr>
            <w:tcW w:w="240" w:type="dxa"/>
            <w:vAlign w:val="bottom"/>
          </w:tcPr>
          <w:p>
            <w:pPr>
              <w:spacing w:after="0"/>
              <w:rPr>
                <w:sz w:val="24"/>
                <w:szCs w:val="2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24"/>
                <w:szCs w:val="24"/>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20,092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b w:val="1"/>
                <w:bCs w:val="1"/>
                <w:color w:val="auto"/>
              </w:rPr>
              <w:t>19,594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9"/>
        </w:trPr>
        <w:tc>
          <w:tcPr>
            <w:tcW w:w="2100" w:type="dxa"/>
            <w:vAlign w:val="bottom"/>
            <w:gridSpan w:val="4"/>
          </w:tcPr>
          <w:p>
            <w:pPr>
              <w:spacing w:after="0"/>
              <w:rPr>
                <w:sz w:val="20"/>
                <w:szCs w:val="20"/>
                <w:color w:val="auto"/>
              </w:rPr>
            </w:pPr>
            <w:r>
              <w:rPr>
                <w:rFonts w:ascii="Arial" w:cs="Arial" w:eastAsia="Arial" w:hAnsi="Arial"/>
                <w:sz w:val="11"/>
                <w:szCs w:val="11"/>
                <w:color w:val="auto"/>
              </w:rPr>
              <w:t>Income tax expense</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1,450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1,380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1,495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1,638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648</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124</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5,963</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4,669</w:t>
            </w:r>
          </w:p>
        </w:tc>
        <w:tc>
          <w:tcPr>
            <w:tcW w:w="2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1"/>
                <w:szCs w:val="11"/>
                <w:color w:val="auto"/>
              </w:rPr>
              <w:t>(d)</w:t>
            </w: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69"/>
        </w:trPr>
        <w:tc>
          <w:tcPr>
            <w:tcW w:w="2100" w:type="dxa"/>
            <w:vAlign w:val="bottom"/>
            <w:gridSpan w:val="4"/>
          </w:tcPr>
          <w:p>
            <w:pPr>
              <w:spacing w:after="0"/>
              <w:rPr>
                <w:sz w:val="20"/>
                <w:szCs w:val="20"/>
                <w:color w:val="auto"/>
              </w:rPr>
            </w:pPr>
            <w:r>
              <w:rPr>
                <w:rFonts w:ascii="Arial" w:cs="Arial" w:eastAsia="Arial" w:hAnsi="Arial"/>
                <w:sz w:val="11"/>
                <w:szCs w:val="11"/>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2,524</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3,092</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4,092</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4,421</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3,314</w:t>
            </w:r>
          </w:p>
        </w:tc>
        <w:tc>
          <w:tcPr>
            <w:tcW w:w="24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20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4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14,129</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14,925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57"/>
        </w:trPr>
        <w:tc>
          <w:tcPr>
            <w:tcW w:w="1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FINANCIAL RATIOS</w:t>
            </w:r>
          </w:p>
        </w:tc>
        <w:tc>
          <w:tcPr>
            <w:tcW w:w="1080" w:type="dxa"/>
            <w:vAlign w:val="bottom"/>
            <w:gridSpan w:val="3"/>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100" w:type="dxa"/>
            <w:vAlign w:val="bottom"/>
            <w:gridSpan w:val="4"/>
          </w:tcPr>
          <w:p>
            <w:pPr>
              <w:spacing w:after="0"/>
              <w:rPr>
                <w:sz w:val="20"/>
                <w:szCs w:val="20"/>
                <w:color w:val="auto"/>
              </w:rPr>
            </w:pPr>
            <w:r>
              <w:rPr>
                <w:rFonts w:ascii="Arial" w:cs="Arial" w:eastAsia="Arial" w:hAnsi="Arial"/>
                <w:sz w:val="11"/>
                <w:szCs w:val="11"/>
                <w:color w:val="auto"/>
              </w:rPr>
              <w:t>ROE</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12 %</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13 %</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14 %</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gridSpan w:val="4"/>
          </w:tcPr>
          <w:p>
            <w:pPr>
              <w:spacing w:after="0"/>
              <w:rPr>
                <w:sz w:val="20"/>
                <w:szCs w:val="20"/>
                <w:color w:val="auto"/>
              </w:rPr>
            </w:pPr>
            <w:r>
              <w:rPr>
                <w:rFonts w:ascii="Arial" w:cs="Arial" w:eastAsia="Arial" w:hAnsi="Arial"/>
                <w:sz w:val="11"/>
                <w:szCs w:val="11"/>
                <w:color w:val="auto"/>
              </w:rPr>
              <w:t>Overhead ratio</w:t>
            </w: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63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61</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57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100" w:type="dxa"/>
            <w:vAlign w:val="bottom"/>
            <w:gridSpan w:val="4"/>
          </w:tcPr>
          <w:p>
            <w:pPr>
              <w:spacing w:after="0"/>
              <w:rPr>
                <w:sz w:val="20"/>
                <w:szCs w:val="20"/>
                <w:color w:val="auto"/>
              </w:rPr>
            </w:pPr>
            <w:r>
              <w:rPr>
                <w:rFonts w:ascii="Arial" w:cs="Arial" w:eastAsia="Arial" w:hAnsi="Arial"/>
                <w:sz w:val="11"/>
                <w:szCs w:val="11"/>
                <w:color w:val="auto"/>
              </w:rPr>
              <w:t>Compensation expense as percentage of</w:t>
            </w:r>
          </w:p>
        </w:tc>
        <w:tc>
          <w:tcPr>
            <w:tcW w:w="12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31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28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30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29</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ind w:right="86"/>
              <w:spacing w:after="0"/>
              <w:rPr>
                <w:sz w:val="20"/>
                <w:szCs w:val="20"/>
                <w:color w:val="auto"/>
              </w:rPr>
            </w:pPr>
            <w:r>
              <w:rPr>
                <w:rFonts w:ascii="Arial" w:cs="Arial" w:eastAsia="Arial" w:hAnsi="Arial"/>
                <w:sz w:val="11"/>
                <w:szCs w:val="11"/>
                <w:color w:val="auto"/>
              </w:rPr>
              <w:t>29</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00" w:type="dxa"/>
            <w:vAlign w:val="bottom"/>
            <w:gridSpan w:val="4"/>
          </w:tcPr>
          <w:p>
            <w:pPr>
              <w:spacing w:after="0"/>
              <w:rPr>
                <w:sz w:val="20"/>
                <w:szCs w:val="20"/>
                <w:color w:val="auto"/>
              </w:rPr>
            </w:pPr>
            <w:r>
              <w:rPr>
                <w:rFonts w:ascii="Arial" w:cs="Arial" w:eastAsia="Arial" w:hAnsi="Arial"/>
                <w:sz w:val="11"/>
                <w:szCs w:val="11"/>
                <w:color w:val="auto"/>
              </w:rPr>
              <w:t>total net revenue</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REVENUE BY BUSINESS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100" w:type="dxa"/>
            <w:vAlign w:val="bottom"/>
            <w:gridSpan w:val="4"/>
          </w:tcPr>
          <w:p>
            <w:pPr>
              <w:spacing w:after="0"/>
              <w:rPr>
                <w:sz w:val="20"/>
                <w:szCs w:val="20"/>
                <w:color w:val="auto"/>
              </w:rPr>
            </w:pPr>
            <w:r>
              <w:rPr>
                <w:rFonts w:ascii="Arial" w:cs="Arial" w:eastAsia="Arial" w:hAnsi="Arial"/>
                <w:sz w:val="11"/>
                <w:szCs w:val="11"/>
                <w:color w:val="auto"/>
              </w:rPr>
              <w:t>Investment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1,576</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1,613</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1,494</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1,560</w:t>
            </w:r>
          </w:p>
        </w:tc>
        <w:tc>
          <w:tcPr>
            <w:tcW w:w="22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1,389</w:t>
            </w:r>
          </w:p>
        </w:tc>
        <w:tc>
          <w:tcPr>
            <w:tcW w:w="24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4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6,243</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6,510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100" w:type="dxa"/>
            <w:vAlign w:val="bottom"/>
            <w:gridSpan w:val="4"/>
          </w:tcPr>
          <w:p>
            <w:pPr>
              <w:spacing w:after="0"/>
              <w:rPr>
                <w:sz w:val="20"/>
                <w:szCs w:val="20"/>
                <w:color w:val="auto"/>
              </w:rPr>
            </w:pPr>
            <w:r>
              <w:rPr>
                <w:rFonts w:ascii="Arial" w:cs="Arial" w:eastAsia="Arial" w:hAnsi="Arial"/>
                <w:sz w:val="11"/>
                <w:szCs w:val="11"/>
                <w:color w:val="auto"/>
              </w:rPr>
              <w:t>Payments</w:t>
            </w: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2,332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2,094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2,451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2,396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2,120</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9,273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7,579</w:t>
            </w:r>
          </w:p>
        </w:tc>
        <w:tc>
          <w:tcPr>
            <w:tcW w:w="2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1"/>
                <w:szCs w:val="11"/>
                <w:color w:val="auto"/>
              </w:rPr>
              <w:t>(d)</w:t>
            </w: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75"/>
        </w:trPr>
        <w:tc>
          <w:tcPr>
            <w:tcW w:w="2100" w:type="dxa"/>
            <w:vAlign w:val="bottom"/>
            <w:gridSpan w:val="4"/>
          </w:tcPr>
          <w:p>
            <w:pPr>
              <w:spacing w:after="0"/>
              <w:rPr>
                <w:sz w:val="20"/>
                <w:szCs w:val="20"/>
                <w:color w:val="auto"/>
              </w:rPr>
            </w:pPr>
            <w:r>
              <w:rPr>
                <w:rFonts w:ascii="Arial" w:cs="Arial" w:eastAsia="Arial" w:hAnsi="Arial"/>
                <w:sz w:val="11"/>
                <w:szCs w:val="11"/>
                <w:color w:val="auto"/>
              </w:rPr>
              <w:t>Lending</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150</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291</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299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267</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323</w:t>
            </w:r>
          </w:p>
        </w:tc>
        <w:tc>
          <w:tcPr>
            <w:tcW w:w="24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(48)</w:t>
            </w:r>
          </w:p>
        </w:tc>
        <w:tc>
          <w:tcPr>
            <w:tcW w:w="200" w:type="dxa"/>
            <w:vAlign w:val="bottom"/>
          </w:tcPr>
          <w:p>
            <w:pPr>
              <w:spacing w:after="0"/>
              <w:rPr>
                <w:sz w:val="15"/>
                <w:szCs w:val="15"/>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(54)</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1,007</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1,377</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48"/>
        </w:trPr>
        <w:tc>
          <w:tcPr>
            <w:tcW w:w="21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Banking</w:t>
            </w: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4,058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3,998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4,244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4,223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3,832</w:t>
            </w:r>
          </w:p>
        </w:tc>
        <w:tc>
          <w:tcPr>
            <w:tcW w:w="24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16,523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b w:val="1"/>
                <w:bCs w:val="1"/>
                <w:color w:val="auto"/>
              </w:rPr>
              <w:t>15,466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6"/>
        </w:trPr>
        <w:tc>
          <w:tcPr>
            <w:tcW w:w="2100" w:type="dxa"/>
            <w:vAlign w:val="bottom"/>
            <w:gridSpan w:val="4"/>
          </w:tcPr>
          <w:p>
            <w:pPr>
              <w:spacing w:after="0"/>
              <w:rPr>
                <w:sz w:val="20"/>
                <w:szCs w:val="20"/>
                <w:color w:val="auto"/>
              </w:rPr>
            </w:pPr>
            <w:r>
              <w:rPr>
                <w:rFonts w:ascii="Arial" w:cs="Arial" w:eastAsia="Arial" w:hAnsi="Arial"/>
                <w:sz w:val="11"/>
                <w:szCs w:val="11"/>
                <w:color w:val="auto"/>
              </w:rPr>
              <w:t>Fixed Income Markets</w:t>
            </w:r>
          </w:p>
        </w:tc>
        <w:tc>
          <w:tcPr>
            <w:tcW w:w="12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4,033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4,514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4,567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5,699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3,739</w:t>
            </w:r>
          </w:p>
        </w:tc>
        <w:tc>
          <w:tcPr>
            <w:tcW w:w="24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18,813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18,617</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2100" w:type="dxa"/>
            <w:vAlign w:val="bottom"/>
            <w:gridSpan w:val="4"/>
          </w:tcPr>
          <w:p>
            <w:pPr>
              <w:spacing w:after="0"/>
              <w:rPr>
                <w:sz w:val="20"/>
                <w:szCs w:val="20"/>
                <w:color w:val="auto"/>
              </w:rPr>
            </w:pPr>
            <w:r>
              <w:rPr>
                <w:rFonts w:ascii="Arial" w:cs="Arial" w:eastAsia="Arial" w:hAnsi="Arial"/>
                <w:sz w:val="11"/>
                <w:szCs w:val="11"/>
                <w:color w:val="auto"/>
              </w:rPr>
              <w:t>Equity Markets</w:t>
            </w: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1,778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2,067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2,451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2,683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1,931</w:t>
            </w:r>
          </w:p>
        </w:tc>
        <w:tc>
          <w:tcPr>
            <w:tcW w:w="24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8,979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10,367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2100" w:type="dxa"/>
            <w:vAlign w:val="bottom"/>
            <w:gridSpan w:val="4"/>
          </w:tcPr>
          <w:p>
            <w:pPr>
              <w:spacing w:after="0"/>
              <w:rPr>
                <w:sz w:val="20"/>
                <w:szCs w:val="20"/>
                <w:color w:val="auto"/>
              </w:rPr>
            </w:pPr>
            <w:r>
              <w:rPr>
                <w:rFonts w:ascii="Arial" w:cs="Arial" w:eastAsia="Arial" w:hAnsi="Arial"/>
                <w:sz w:val="11"/>
                <w:szCs w:val="11"/>
                <w:color w:val="auto"/>
              </w:rPr>
              <w:t>Securities Services</w:t>
            </w: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1,191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1,212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1,221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1,148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1,159</w:t>
            </w:r>
          </w:p>
        </w:tc>
        <w:tc>
          <w:tcPr>
            <w:tcW w:w="24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4,772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4,488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5"/>
        </w:trPr>
        <w:tc>
          <w:tcPr>
            <w:tcW w:w="2100" w:type="dxa"/>
            <w:vAlign w:val="bottom"/>
            <w:gridSpan w:val="4"/>
          </w:tcPr>
          <w:p>
            <w:pPr>
              <w:spacing w:after="0"/>
              <w:rPr>
                <w:sz w:val="20"/>
                <w:szCs w:val="20"/>
                <w:color w:val="auto"/>
              </w:rPr>
            </w:pPr>
            <w:r>
              <w:rPr>
                <w:rFonts w:ascii="Arial" w:cs="Arial" w:eastAsia="Arial" w:hAnsi="Arial"/>
                <w:sz w:val="11"/>
                <w:szCs w:val="11"/>
                <w:color w:val="auto"/>
              </w:rPr>
              <w:t>Credit Adjustments &amp; Other (c)</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(102)</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(61)</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(153)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(63)</w:t>
            </w:r>
          </w:p>
        </w:tc>
        <w:tc>
          <w:tcPr>
            <w:tcW w:w="24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(67)</w:t>
            </w:r>
          </w:p>
        </w:tc>
        <w:tc>
          <w:tcPr>
            <w:tcW w:w="200" w:type="dxa"/>
            <w:vAlign w:val="bottom"/>
          </w:tcPr>
          <w:p>
            <w:pPr>
              <w:spacing w:after="0"/>
              <w:rPr>
                <w:sz w:val="15"/>
                <w:szCs w:val="15"/>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(62)</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(280)</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(836)</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55"/>
        </w:trPr>
        <w:tc>
          <w:tcPr>
            <w:tcW w:w="21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Markets &amp; Securities Services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6,900</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7,732</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8,275</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9,377</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6,766</w:t>
            </w:r>
          </w:p>
        </w:tc>
        <w:tc>
          <w:tcPr>
            <w:tcW w:w="24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32,284</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32,636</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9"/>
        </w:trPr>
        <w:tc>
          <w:tcPr>
            <w:tcW w:w="21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10,958</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11,730</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12,519</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13,600</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10,598</w:t>
            </w:r>
          </w:p>
        </w:tc>
        <w:tc>
          <w:tcPr>
            <w:tcW w:w="24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48,807</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48,102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3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385" w:lineRule="exact"/>
        <w:rPr>
          <w:sz w:val="20"/>
          <w:szCs w:val="20"/>
          <w:color w:val="auto"/>
        </w:rPr>
      </w:pPr>
    </w:p>
    <w:p>
      <w:pPr>
        <w:ind w:left="160" w:hanging="152"/>
        <w:spacing w:after="0"/>
        <w:tabs>
          <w:tab w:leader="none" w:pos="1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Includes CB's share of revenue from investment banking products sold to CB clients through the CIB that is subject to a revenue sharing arrangement which is reported as a reduction in All other income.</w:t>
      </w:r>
    </w:p>
    <w:p>
      <w:pPr>
        <w:spacing w:after="0" w:line="5" w:lineRule="exact"/>
        <w:rPr>
          <w:rFonts w:ascii="Arial" w:cs="Arial" w:eastAsia="Arial" w:hAnsi="Arial"/>
          <w:sz w:val="11"/>
          <w:szCs w:val="11"/>
          <w:color w:val="auto"/>
        </w:rPr>
      </w:pPr>
    </w:p>
    <w:p>
      <w:pPr>
        <w:ind w:left="180" w:right="160" w:hanging="172"/>
        <w:spacing w:after="0" w:line="245" w:lineRule="auto"/>
        <w:tabs>
          <w:tab w:leader="none" w:pos="177"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Includes tax-equivalent adjustments, predominantly due to income tax credits and other tax benefits related to alternative energy investments; income tax credits and amortization of the cost of investments in affordable housing projects; and tax-exempt income from municipal bonds of $1.2 billion, $643 million, $953 million, $839 million and $854 million for the three months ended December 31, 2023, September 30, 2023, June 30, 2023, March 31, 2023 and December 31, 2022, respectively, and $3.6 billion and $3.0 billion for the full year 2023 and 2022, respectively.</w:t>
      </w:r>
    </w:p>
    <w:p>
      <w:pPr>
        <w:ind w:left="180" w:right="40" w:hanging="172"/>
        <w:spacing w:after="0" w:line="246" w:lineRule="auto"/>
        <w:tabs>
          <w:tab w:leader="none" w:pos="171" w:val="left"/>
        </w:tabs>
        <w:numPr>
          <w:ilvl w:val="0"/>
          <w:numId w:val="22"/>
        </w:numPr>
        <w:rPr>
          <w:rFonts w:ascii="Arial" w:cs="Arial" w:eastAsia="Arial" w:hAnsi="Arial"/>
          <w:sz w:val="11"/>
          <w:szCs w:val="11"/>
          <w:color w:val="auto"/>
        </w:rPr>
      </w:pPr>
      <w:r>
        <w:rPr>
          <w:rFonts w:ascii="Arial" w:cs="Arial" w:eastAsia="Arial" w:hAnsi="Arial"/>
          <w:sz w:val="11"/>
          <w:szCs w:val="11"/>
          <w:color w:val="auto"/>
        </w:rPr>
        <w:t>Consists primarily of centrally managed credit valuation adjustments (“CVA”), funding valuation adjustments (“FVA”) on derivatives, other valuation adjustments, and certain components of fair value option elected liabilities, which are primarily reported in principal transactions revenue. Results are presented net of associated hedging activities and net of CVA and FVA amounts allocated to Fixed Income Markets and Equity Markets.</w:t>
      </w:r>
    </w:p>
    <w:p>
      <w:pPr>
        <w:ind w:left="180" w:right="160" w:hanging="172"/>
        <w:spacing w:after="0" w:line="266" w:lineRule="auto"/>
        <w:tabs>
          <w:tab w:leader="none" w:pos="177"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 the first quarter of 2023, the allocations of revenue and expense to CCB associated with a Merchant Services revenue sharing agreement were discontinued and are now retained in Payments in CIB. Prior-period amounts have been revised to conform with the current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16</w:t>
      </w:r>
    </w:p>
    <w:p>
      <w:pPr>
        <w:sectPr>
          <w:pgSz w:w="11900" w:h="16838" w:orient="portrait"/>
          <w:cols w:equalWidth="0" w:num="1">
            <w:col w:w="11240"/>
          </w:cols>
          <w:pgMar w:left="320" w:top="936"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CORPORATE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-78740</wp:posOffset>
            </wp:positionV>
            <wp:extent cx="237426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INVESTMENT BANK</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ind w:left="20"/>
        <w:spacing w:after="0"/>
        <w:rPr>
          <w:sz w:val="20"/>
          <w:szCs w:val="20"/>
          <w:color w:val="auto"/>
        </w:rPr>
      </w:pPr>
      <w:r>
        <w:rPr>
          <w:rFonts w:ascii="Arial" w:cs="Arial" w:eastAsia="Arial" w:hAnsi="Arial"/>
          <w:sz w:val="11"/>
          <w:szCs w:val="11"/>
          <w:b w:val="1"/>
          <w:bCs w:val="1"/>
          <w:color w:val="auto"/>
        </w:rPr>
        <w:t>CONTINUED</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and</w:t>
      </w:r>
    </w:p>
    <w:p>
      <w:pPr>
        <w:ind w:left="20"/>
        <w:spacing w:after="0"/>
        <w:rPr>
          <w:sz w:val="20"/>
          <w:szCs w:val="20"/>
          <w:color w:val="auto"/>
        </w:rPr>
      </w:pPr>
      <w:r>
        <w:rPr>
          <w:rFonts w:ascii="Arial" w:cs="Arial" w:eastAsia="Arial" w:hAnsi="Arial"/>
          <w:sz w:val="11"/>
          <w:szCs w:val="11"/>
          <w:b w:val="1"/>
          <w:bCs w:val="1"/>
          <w:color w:val="auto"/>
        </w:rPr>
        <w:t>employee data)</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QUARTERLY TRENDS</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1"/>
                <w:szCs w:val="11"/>
                <w:b w:val="1"/>
                <w:bCs w:val="1"/>
                <w:color w:val="auto"/>
              </w:rPr>
              <w:t>FULL YEAR</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Borders>
              <w:bottom w:val="single" w:sz="8" w:color="auto"/>
            </w:tcBorders>
            <w:gridSpan w:val="3"/>
          </w:tcPr>
          <w:p>
            <w:pPr>
              <w:jc w:val="right"/>
              <w:ind w:right="206"/>
              <w:spacing w:after="0"/>
              <w:rPr>
                <w:sz w:val="20"/>
                <w:szCs w:val="20"/>
                <w:color w:val="auto"/>
              </w:rPr>
            </w:pPr>
            <w:r>
              <w:rPr>
                <w:rFonts w:ascii="Arial" w:cs="Arial" w:eastAsia="Arial" w:hAnsi="Arial"/>
                <w:sz w:val="11"/>
                <w:szCs w:val="11"/>
                <w:b w:val="1"/>
                <w:bCs w:val="1"/>
                <w:color w:val="auto"/>
              </w:rPr>
              <w:t>4Q23 Change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2023 Change</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4Q23</w:t>
            </w: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3Q23</w:t>
            </w: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2Q23</w:t>
            </w:r>
          </w:p>
        </w:tc>
        <w:tc>
          <w:tcPr>
            <w:tcW w:w="100" w:type="dxa"/>
            <w:vAlign w:val="bottom"/>
          </w:tcPr>
          <w:p>
            <w:pPr>
              <w:spacing w:after="0"/>
              <w:rPr>
                <w:sz w:val="13"/>
                <w:szCs w:val="13"/>
                <w:color w:val="auto"/>
              </w:rPr>
            </w:pPr>
          </w:p>
        </w:tc>
        <w:tc>
          <w:tcPr>
            <w:tcW w:w="840" w:type="dxa"/>
            <w:vAlign w:val="bottom"/>
            <w:gridSpan w:val="2"/>
          </w:tcPr>
          <w:p>
            <w:pPr>
              <w:ind w:left="140"/>
              <w:spacing w:after="0"/>
              <w:rPr>
                <w:sz w:val="20"/>
                <w:szCs w:val="20"/>
                <w:color w:val="auto"/>
              </w:rPr>
            </w:pPr>
            <w:r>
              <w:rPr>
                <w:rFonts w:ascii="Arial" w:cs="Arial" w:eastAsia="Arial" w:hAnsi="Arial"/>
                <w:sz w:val="11"/>
                <w:szCs w:val="11"/>
                <w:b w:val="1"/>
                <w:bCs w:val="1"/>
                <w:color w:val="auto"/>
              </w:rPr>
              <w:t>1Q23</w:t>
            </w:r>
          </w:p>
        </w:tc>
        <w:tc>
          <w:tcPr>
            <w:tcW w:w="80" w:type="dxa"/>
            <w:vAlign w:val="bottom"/>
          </w:tcPr>
          <w:p>
            <w:pPr>
              <w:spacing w:after="0"/>
              <w:rPr>
                <w:sz w:val="13"/>
                <w:szCs w:val="13"/>
                <w:color w:val="auto"/>
              </w:rPr>
            </w:pP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auto"/>
              </w:rPr>
              <w:t>4Q22</w:t>
            </w:r>
          </w:p>
        </w:tc>
        <w:tc>
          <w:tcPr>
            <w:tcW w:w="18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3Q23</w:t>
            </w: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4Q22</w:t>
            </w:r>
          </w:p>
        </w:tc>
        <w:tc>
          <w:tcPr>
            <w:tcW w:w="10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2022</w:t>
            </w:r>
          </w:p>
        </w:tc>
        <w:tc>
          <w:tcPr>
            <w:tcW w:w="880" w:type="dxa"/>
            <w:vAlign w:val="bottom"/>
            <w:gridSpan w:val="2"/>
          </w:tcPr>
          <w:p>
            <w:pPr>
              <w:jc w:val="right"/>
              <w:ind w:right="16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8"/>
        </w:trPr>
        <w:tc>
          <w:tcPr>
            <w:tcW w:w="1940" w:type="dxa"/>
            <w:vAlign w:val="bottom"/>
            <w:gridSpan w:val="6"/>
          </w:tcPr>
          <w:p>
            <w:pPr>
              <w:spacing w:after="0" w:line="108" w:lineRule="exact"/>
              <w:rPr>
                <w:sz w:val="20"/>
                <w:szCs w:val="20"/>
                <w:color w:val="auto"/>
              </w:rPr>
            </w:pPr>
            <w:r>
              <w:rPr>
                <w:rFonts w:ascii="Arial" w:cs="Arial" w:eastAsia="Arial" w:hAnsi="Arial"/>
                <w:sz w:val="11"/>
                <w:szCs w:val="11"/>
                <w:b w:val="1"/>
                <w:bCs w:val="1"/>
                <w:color w:val="auto"/>
              </w:rPr>
              <w:t>SELECTED BALANCE SHEET DATA</w:t>
            </w: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40" w:type="dxa"/>
            <w:vAlign w:val="bottom"/>
            <w:tcBorders>
              <w:top w:val="single" w:sz="8" w:color="auto"/>
              <w:bottom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(period-end)</w:t>
            </w:r>
          </w:p>
        </w:tc>
        <w:tc>
          <w:tcPr>
            <w:tcW w:w="1200" w:type="dxa"/>
            <w:vAlign w:val="bottom"/>
            <w:tcBorders>
              <w:top w:val="single" w:sz="8" w:color="auto"/>
            </w:tcBorders>
            <w:gridSpan w:val="2"/>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940" w:type="dxa"/>
            <w:vAlign w:val="bottom"/>
            <w:gridSpan w:val="6"/>
          </w:tcPr>
          <w:p>
            <w:pPr>
              <w:spacing w:after="0"/>
              <w:rPr>
                <w:sz w:val="20"/>
                <w:szCs w:val="20"/>
                <w:color w:val="auto"/>
              </w:rPr>
            </w:pPr>
            <w:r>
              <w:rPr>
                <w:rFonts w:ascii="Arial" w:cs="Arial" w:eastAsia="Arial" w:hAnsi="Arial"/>
                <w:sz w:val="11"/>
                <w:szCs w:val="11"/>
                <w:color w:val="auto"/>
              </w:rPr>
              <w:t>Total assets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1,338,168</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1,446,231</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1,432,054</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1,436,237</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1,334,296</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1"/>
                <w:szCs w:val="11"/>
                <w:color w:val="auto"/>
              </w:rPr>
              <w:t>— %</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1,338,168</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1,334,296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62"/>
        </w:trPr>
        <w:tc>
          <w:tcPr>
            <w:tcW w:w="1940" w:type="dxa"/>
            <w:vAlign w:val="bottom"/>
            <w:gridSpan w:val="6"/>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Loans retained (a)</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197,523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194,255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194,450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187,133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187,642</w:t>
            </w:r>
          </w:p>
        </w:tc>
        <w:tc>
          <w:tcPr>
            <w:tcW w:w="68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197,523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187,642</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8"/>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Loans held-for-sale and loans at fair</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38,919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39,069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38,959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38,335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42,304</w:t>
            </w:r>
          </w:p>
        </w:tc>
        <w:tc>
          <w:tcPr>
            <w:tcW w:w="180" w:type="dxa"/>
            <w:vAlign w:val="bottom"/>
          </w:tcPr>
          <w:p>
            <w:pPr>
              <w:spacing w:after="0"/>
              <w:rPr>
                <w:sz w:val="11"/>
                <w:szCs w:val="11"/>
                <w:color w:val="auto"/>
              </w:rPr>
            </w:pPr>
          </w:p>
        </w:tc>
        <w:tc>
          <w:tcPr>
            <w:tcW w:w="700" w:type="dxa"/>
            <w:vAlign w:val="bottom"/>
            <w:gridSpan w:val="2"/>
            <w:vMerge w:val="restart"/>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38,919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42,304</w:t>
            </w:r>
          </w:p>
        </w:tc>
        <w:tc>
          <w:tcPr>
            <w:tcW w:w="88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5"/>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value (b)</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40" w:type="dxa"/>
            <w:vAlign w:val="bottom"/>
            <w:gridSpan w:val="6"/>
          </w:tcPr>
          <w:p>
            <w:pPr>
              <w:ind w:left="200"/>
              <w:spacing w:after="0"/>
              <w:rPr>
                <w:sz w:val="20"/>
                <w:szCs w:val="20"/>
                <w:color w:val="auto"/>
              </w:rPr>
            </w:pPr>
            <w:r>
              <w:rPr>
                <w:rFonts w:ascii="Arial" w:cs="Arial" w:eastAsia="Arial" w:hAnsi="Arial"/>
                <w:sz w:val="11"/>
                <w:szCs w:val="11"/>
                <w:b w:val="1"/>
                <w:bCs w:val="1"/>
                <w:color w:val="auto"/>
              </w:rPr>
              <w:t>Total loans</w:t>
            </w: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236,442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233,324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233,409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225,468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229,946</w:t>
            </w:r>
          </w:p>
        </w:tc>
        <w:tc>
          <w:tcPr>
            <w:tcW w:w="68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236,442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229,946</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0"/>
        </w:trPr>
        <w:tc>
          <w:tcPr>
            <w:tcW w:w="1940" w:type="dxa"/>
            <w:vAlign w:val="bottom"/>
            <w:gridSpan w:val="6"/>
          </w:tcPr>
          <w:p>
            <w:pPr>
              <w:spacing w:after="0"/>
              <w:rPr>
                <w:sz w:val="20"/>
                <w:szCs w:val="20"/>
                <w:color w:val="auto"/>
              </w:rPr>
            </w:pPr>
            <w:r>
              <w:rPr>
                <w:rFonts w:ascii="Arial" w:cs="Arial" w:eastAsia="Arial" w:hAnsi="Arial"/>
                <w:sz w:val="11"/>
                <w:szCs w:val="11"/>
                <w:color w:val="auto"/>
              </w:rPr>
              <w:t>Equity</w:t>
            </w: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108,000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108,000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108,000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108,000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103,000</w:t>
            </w:r>
          </w:p>
        </w:tc>
        <w:tc>
          <w:tcPr>
            <w:tcW w:w="1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108,000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103,000</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95"/>
        </w:trPr>
        <w:tc>
          <w:tcPr>
            <w:tcW w:w="1940" w:type="dxa"/>
            <w:vAlign w:val="bottom"/>
            <w:gridSpan w:val="6"/>
          </w:tcPr>
          <w:p>
            <w:pPr>
              <w:spacing w:after="0"/>
              <w:rPr>
                <w:sz w:val="20"/>
                <w:szCs w:val="20"/>
                <w:color w:val="auto"/>
              </w:rPr>
            </w:pPr>
            <w:r>
              <w:rPr>
                <w:rFonts w:ascii="Arial" w:cs="Arial" w:eastAsia="Arial" w:hAnsi="Arial"/>
                <w:sz w:val="11"/>
                <w:szCs w:val="11"/>
                <w:b w:val="1"/>
                <w:bCs w:val="1"/>
                <w:color w:val="auto"/>
              </w:rPr>
              <w:t>SELECTED BALANCE SHEET DATA</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840" w:type="dxa"/>
            <w:vAlign w:val="bottom"/>
            <w:tcBorders>
              <w:top w:val="single" w:sz="8" w:color="auto"/>
            </w:tcBorders>
            <w:gridSpan w:val="5"/>
          </w:tcPr>
          <w:p>
            <w:pPr>
              <w:spacing w:after="0" w:line="88" w:lineRule="exact"/>
              <w:rPr>
                <w:sz w:val="20"/>
                <w:szCs w:val="20"/>
                <w:color w:val="auto"/>
              </w:rPr>
            </w:pPr>
            <w:r>
              <w:rPr>
                <w:rFonts w:ascii="Arial" w:cs="Arial" w:eastAsia="Arial" w:hAnsi="Arial"/>
                <w:sz w:val="10"/>
                <w:szCs w:val="10"/>
                <w:b w:val="1"/>
                <w:bCs w:val="1"/>
                <w:color w:val="auto"/>
              </w:rPr>
              <w:t>(average)</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40" w:type="dxa"/>
            <w:vAlign w:val="bottom"/>
            <w:gridSpan w:val="6"/>
          </w:tcPr>
          <w:p>
            <w:pPr>
              <w:spacing w:after="0"/>
              <w:rPr>
                <w:sz w:val="20"/>
                <w:szCs w:val="20"/>
                <w:color w:val="auto"/>
              </w:rPr>
            </w:pPr>
            <w:r>
              <w:rPr>
                <w:rFonts w:ascii="Arial" w:cs="Arial" w:eastAsia="Arial" w:hAnsi="Arial"/>
                <w:sz w:val="11"/>
                <w:szCs w:val="11"/>
                <w:color w:val="auto"/>
              </w:rPr>
              <w:t>Total assets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1,401,288</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1,423,182</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1,461,857</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1,429,662</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1,384,255</w:t>
            </w:r>
          </w:p>
        </w:tc>
        <w:tc>
          <w:tcPr>
            <w:tcW w:w="68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1,428,904</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1,406,250</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28"/>
        </w:trPr>
        <w:tc>
          <w:tcPr>
            <w:tcW w:w="1940" w:type="dxa"/>
            <w:vAlign w:val="bottom"/>
            <w:gridSpan w:val="6"/>
          </w:tcPr>
          <w:p>
            <w:pPr>
              <w:spacing w:after="0"/>
              <w:rPr>
                <w:sz w:val="20"/>
                <w:szCs w:val="20"/>
                <w:color w:val="auto"/>
              </w:rPr>
            </w:pPr>
            <w:r>
              <w:rPr>
                <w:rFonts w:ascii="Arial" w:cs="Arial" w:eastAsia="Arial" w:hAnsi="Arial"/>
                <w:sz w:val="11"/>
                <w:szCs w:val="11"/>
                <w:color w:val="auto"/>
              </w:rPr>
              <w:t>Trading assets - debt and equity</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490,329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522,845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533,082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488,767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406,692</w:t>
            </w:r>
          </w:p>
        </w:tc>
        <w:tc>
          <w:tcPr>
            <w:tcW w:w="68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1"/>
                <w:szCs w:val="11"/>
                <w:color w:val="auto"/>
              </w:rPr>
            </w:pPr>
          </w:p>
        </w:tc>
        <w:tc>
          <w:tcPr>
            <w:tcW w:w="500" w:type="dxa"/>
            <w:vAlign w:val="bottom"/>
            <w:vMerge w:val="restart"/>
          </w:tcPr>
          <w:p>
            <w:pPr>
              <w:jc w:val="right"/>
              <w:ind w:right="86"/>
              <w:spacing w:after="0"/>
              <w:rPr>
                <w:sz w:val="20"/>
                <w:szCs w:val="20"/>
                <w:color w:val="auto"/>
              </w:rPr>
            </w:pPr>
            <w:r>
              <w:rPr>
                <w:rFonts w:ascii="Arial" w:cs="Arial" w:eastAsia="Arial" w:hAnsi="Arial"/>
                <w:sz w:val="11"/>
                <w:szCs w:val="11"/>
                <w:color w:val="auto"/>
              </w:rPr>
              <w:t>21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508,799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405,916</w:t>
            </w:r>
          </w:p>
        </w:tc>
        <w:tc>
          <w:tcPr>
            <w:tcW w:w="88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42"/>
        </w:trPr>
        <w:tc>
          <w:tcPr>
            <w:tcW w:w="1940" w:type="dxa"/>
            <w:vAlign w:val="bottom"/>
            <w:gridSpan w:val="6"/>
          </w:tcPr>
          <w:p>
            <w:pPr>
              <w:spacing w:after="0"/>
              <w:rPr>
                <w:sz w:val="20"/>
                <w:szCs w:val="20"/>
                <w:color w:val="auto"/>
              </w:rPr>
            </w:pPr>
            <w:r>
              <w:rPr>
                <w:rFonts w:ascii="Arial" w:cs="Arial" w:eastAsia="Arial" w:hAnsi="Arial"/>
                <w:sz w:val="11"/>
                <w:szCs w:val="11"/>
                <w:color w:val="auto"/>
              </w:rPr>
              <w:t>instruments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gridSpan w:val="6"/>
          </w:tcPr>
          <w:p>
            <w:pPr>
              <w:spacing w:after="0"/>
              <w:rPr>
                <w:sz w:val="20"/>
                <w:szCs w:val="20"/>
                <w:color w:val="auto"/>
              </w:rPr>
            </w:pPr>
            <w:r>
              <w:rPr>
                <w:rFonts w:ascii="Arial" w:cs="Arial" w:eastAsia="Arial" w:hAnsi="Arial"/>
                <w:sz w:val="11"/>
                <w:szCs w:val="11"/>
                <w:color w:val="auto"/>
              </w:rPr>
              <w:t>Trading assets - derivative receivables</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62,454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65,774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63,094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64,016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77,669</w:t>
            </w:r>
          </w:p>
        </w:tc>
        <w:tc>
          <w:tcPr>
            <w:tcW w:w="68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63,836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77,802</w:t>
            </w:r>
          </w:p>
        </w:tc>
        <w:tc>
          <w:tcPr>
            <w:tcW w:w="880" w:type="dxa"/>
            <w:vAlign w:val="bottom"/>
            <w:gridSpan w:val="2"/>
          </w:tcPr>
          <w:p>
            <w:pPr>
              <w:jc w:val="right"/>
              <w:ind w:right="6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2"/>
        </w:trPr>
        <w:tc>
          <w:tcPr>
            <w:tcW w:w="1940" w:type="dxa"/>
            <w:vAlign w:val="bottom"/>
            <w:gridSpan w:val="6"/>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Loans retained (a)</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193,870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193,683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189,153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185,572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182,873</w:t>
            </w:r>
          </w:p>
        </w:tc>
        <w:tc>
          <w:tcPr>
            <w:tcW w:w="18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190,601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172,627</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28"/>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Loans held-for-sale and loans at fair</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39,438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39,227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38,132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42,569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42,895</w:t>
            </w:r>
          </w:p>
        </w:tc>
        <w:tc>
          <w:tcPr>
            <w:tcW w:w="68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1"/>
                <w:szCs w:val="11"/>
                <w:color w:val="auto"/>
              </w:rPr>
            </w:pP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39,831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46,846</w:t>
            </w:r>
          </w:p>
        </w:tc>
        <w:tc>
          <w:tcPr>
            <w:tcW w:w="88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5"/>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value (b)</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40" w:type="dxa"/>
            <w:vAlign w:val="bottom"/>
            <w:gridSpan w:val="6"/>
          </w:tcPr>
          <w:p>
            <w:pPr>
              <w:ind w:left="200"/>
              <w:spacing w:after="0"/>
              <w:rPr>
                <w:sz w:val="20"/>
                <w:szCs w:val="20"/>
                <w:color w:val="auto"/>
              </w:rPr>
            </w:pPr>
            <w:r>
              <w:rPr>
                <w:rFonts w:ascii="Arial" w:cs="Arial" w:eastAsia="Arial" w:hAnsi="Arial"/>
                <w:sz w:val="11"/>
                <w:szCs w:val="11"/>
                <w:b w:val="1"/>
                <w:bCs w:val="1"/>
                <w:color w:val="auto"/>
              </w:rPr>
              <w:t>Total loans</w:t>
            </w: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233,308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232,910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227,285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228,141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225,768</w:t>
            </w:r>
          </w:p>
        </w:tc>
        <w:tc>
          <w:tcPr>
            <w:tcW w:w="180" w:type="dxa"/>
            <w:vAlign w:val="bottom"/>
          </w:tcPr>
          <w:p>
            <w:pPr>
              <w:spacing w:after="0"/>
              <w:rPr>
                <w:sz w:val="12"/>
                <w:szCs w:val="12"/>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230,432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219,473</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0"/>
        </w:trPr>
        <w:tc>
          <w:tcPr>
            <w:tcW w:w="1940" w:type="dxa"/>
            <w:vAlign w:val="bottom"/>
            <w:gridSpan w:val="6"/>
          </w:tcPr>
          <w:p>
            <w:pPr>
              <w:spacing w:after="0"/>
              <w:rPr>
                <w:sz w:val="20"/>
                <w:szCs w:val="20"/>
                <w:color w:val="auto"/>
              </w:rPr>
            </w:pPr>
            <w:r>
              <w:rPr>
                <w:rFonts w:ascii="Arial" w:cs="Arial" w:eastAsia="Arial" w:hAnsi="Arial"/>
                <w:sz w:val="11"/>
                <w:szCs w:val="11"/>
                <w:color w:val="auto"/>
              </w:rPr>
              <w:t>Deposits</w:t>
            </w: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764,438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726,617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722,818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699,586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707,541</w:t>
            </w:r>
          </w:p>
        </w:tc>
        <w:tc>
          <w:tcPr>
            <w:tcW w:w="68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8"/>
                <w:szCs w:val="18"/>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728,537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739,700</w:t>
            </w:r>
          </w:p>
        </w:tc>
        <w:tc>
          <w:tcPr>
            <w:tcW w:w="88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1940" w:type="dxa"/>
            <w:vAlign w:val="bottom"/>
            <w:gridSpan w:val="6"/>
          </w:tcPr>
          <w:p>
            <w:pPr>
              <w:spacing w:after="0"/>
              <w:rPr>
                <w:sz w:val="20"/>
                <w:szCs w:val="20"/>
                <w:color w:val="auto"/>
              </w:rPr>
            </w:pPr>
            <w:r>
              <w:rPr>
                <w:rFonts w:ascii="Arial" w:cs="Arial" w:eastAsia="Arial" w:hAnsi="Arial"/>
                <w:sz w:val="11"/>
                <w:szCs w:val="11"/>
                <w:color w:val="auto"/>
              </w:rPr>
              <w:t>Equity</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108,000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108,000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108,000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108,000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103,000</w:t>
            </w:r>
          </w:p>
        </w:tc>
        <w:tc>
          <w:tcPr>
            <w:tcW w:w="18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108,000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103,000</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317"/>
        </w:trPr>
        <w:tc>
          <w:tcPr>
            <w:tcW w:w="1940" w:type="dxa"/>
            <w:vAlign w:val="bottom"/>
            <w:gridSpan w:val="6"/>
          </w:tcPr>
          <w:p>
            <w:pPr>
              <w:spacing w:after="0"/>
              <w:rPr>
                <w:sz w:val="20"/>
                <w:szCs w:val="20"/>
                <w:color w:val="auto"/>
              </w:rPr>
            </w:pPr>
            <w:r>
              <w:rPr>
                <w:rFonts w:ascii="Arial" w:cs="Arial" w:eastAsia="Arial" w:hAnsi="Arial"/>
                <w:sz w:val="11"/>
                <w:szCs w:val="11"/>
                <w:b w:val="1"/>
                <w:bCs w:val="1"/>
                <w:color w:val="auto"/>
              </w:rPr>
              <w:t>Employees</w:t>
            </w:r>
          </w:p>
        </w:tc>
        <w:tc>
          <w:tcPr>
            <w:tcW w:w="100" w:type="dxa"/>
            <w:vAlign w:val="bottom"/>
          </w:tcPr>
          <w:p>
            <w:pPr>
              <w:spacing w:after="0"/>
              <w:rPr>
                <w:sz w:val="24"/>
                <w:szCs w:val="2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74,404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74,900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74,822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74,352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73,452</w:t>
            </w:r>
          </w:p>
        </w:tc>
        <w:tc>
          <w:tcPr>
            <w:tcW w:w="68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24"/>
                <w:szCs w:val="2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74,404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73,452</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89"/>
        </w:trPr>
        <w:tc>
          <w:tcPr>
            <w:tcW w:w="1940" w:type="dxa"/>
            <w:vAlign w:val="bottom"/>
            <w:gridSpan w:val="6"/>
          </w:tcPr>
          <w:p>
            <w:pPr>
              <w:spacing w:after="0"/>
              <w:rPr>
                <w:sz w:val="20"/>
                <w:szCs w:val="20"/>
                <w:color w:val="auto"/>
              </w:rPr>
            </w:pPr>
            <w:r>
              <w:rPr>
                <w:rFonts w:ascii="Arial" w:cs="Arial" w:eastAsia="Arial" w:hAnsi="Arial"/>
                <w:sz w:val="11"/>
                <w:szCs w:val="11"/>
                <w:b w:val="1"/>
                <w:bCs w:val="1"/>
                <w:color w:val="auto"/>
              </w:rPr>
              <w:t>CREDIT DATA AND QUALITY</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62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STATISTICS</w:t>
            </w:r>
          </w:p>
        </w:tc>
        <w:tc>
          <w:tcPr>
            <w:tcW w:w="860" w:type="dxa"/>
            <w:vAlign w:val="bottom"/>
            <w:tcBorders>
              <w:top w:val="single" w:sz="8" w:color="auto"/>
            </w:tcBorders>
            <w:gridSpan w:val="2"/>
          </w:tcPr>
          <w:p>
            <w:pPr>
              <w:spacing w:after="0"/>
              <w:rPr>
                <w:sz w:val="7"/>
                <w:szCs w:val="7"/>
                <w:color w:val="auto"/>
              </w:rPr>
            </w:pPr>
          </w:p>
        </w:tc>
        <w:tc>
          <w:tcPr>
            <w:tcW w:w="46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940" w:type="dxa"/>
            <w:vAlign w:val="bottom"/>
            <w:gridSpan w:val="6"/>
          </w:tcPr>
          <w:p>
            <w:pPr>
              <w:spacing w:after="0"/>
              <w:rPr>
                <w:sz w:val="20"/>
                <w:szCs w:val="20"/>
                <w:color w:val="auto"/>
              </w:rPr>
            </w:pPr>
            <w:r>
              <w:rPr>
                <w:rFonts w:ascii="Arial" w:cs="Arial" w:eastAsia="Arial" w:hAnsi="Arial"/>
                <w:sz w:val="11"/>
                <w:szCs w:val="11"/>
                <w:color w:val="auto"/>
              </w:rPr>
              <w:t>Net charge-offs/(recoveries)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121</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45</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56</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680" w:type="dxa"/>
            <w:vAlign w:val="bottom"/>
            <w:gridSpan w:val="2"/>
          </w:tcPr>
          <w:p>
            <w:pPr>
              <w:jc w:val="right"/>
              <w:ind w:right="86"/>
              <w:spacing w:after="0"/>
              <w:rPr>
                <w:sz w:val="20"/>
                <w:szCs w:val="20"/>
                <w:color w:val="auto"/>
              </w:rPr>
            </w:pPr>
            <w:r>
              <w:rPr>
                <w:rFonts w:ascii="Arial" w:cs="Arial" w:eastAsia="Arial" w:hAnsi="Arial"/>
                <w:sz w:val="11"/>
                <w:szCs w:val="11"/>
                <w:color w:val="auto"/>
              </w:rPr>
              <w:t>169</w:t>
            </w:r>
          </w:p>
        </w:tc>
        <w:tc>
          <w:tcPr>
            <w:tcW w:w="2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1"/>
                <w:szCs w:val="11"/>
                <w:color w:val="auto"/>
              </w:rPr>
              <w:t>NM</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272</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82</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232</w:t>
            </w:r>
          </w:p>
        </w:tc>
        <w:tc>
          <w:tcPr>
            <w:tcW w:w="0" w:type="dxa"/>
            <w:vAlign w:val="bottom"/>
          </w:tcPr>
          <w:p>
            <w:pPr>
              <w:spacing w:after="0"/>
              <w:rPr>
                <w:sz w:val="1"/>
                <w:szCs w:val="1"/>
                <w:color w:val="auto"/>
              </w:rPr>
            </w:pPr>
          </w:p>
        </w:tc>
      </w:tr>
      <w:tr>
        <w:trPr>
          <w:trHeight w:val="162"/>
        </w:trPr>
        <w:tc>
          <w:tcPr>
            <w:tcW w:w="1940" w:type="dxa"/>
            <w:vAlign w:val="bottom"/>
            <w:gridSpan w:val="6"/>
          </w:tcPr>
          <w:p>
            <w:pPr>
              <w:spacing w:after="0"/>
              <w:rPr>
                <w:sz w:val="20"/>
                <w:szCs w:val="20"/>
                <w:color w:val="auto"/>
              </w:rPr>
            </w:pPr>
            <w:r>
              <w:rPr>
                <w:rFonts w:ascii="Arial" w:cs="Arial" w:eastAsia="Arial" w:hAnsi="Arial"/>
                <w:sz w:val="11"/>
                <w:szCs w:val="11"/>
                <w:color w:val="auto"/>
              </w:rPr>
              <w:t>Nonperforming assets: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Nonaccrual loans: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6"/>
          </w:tcPr>
          <w:p>
            <w:pPr>
              <w:ind w:left="200"/>
              <w:spacing w:after="0"/>
              <w:rPr>
                <w:sz w:val="20"/>
                <w:szCs w:val="20"/>
                <w:color w:val="auto"/>
              </w:rPr>
            </w:pPr>
            <w:r>
              <w:rPr>
                <w:rFonts w:ascii="Arial" w:cs="Arial" w:eastAsia="Arial" w:hAnsi="Arial"/>
                <w:sz w:val="11"/>
                <w:szCs w:val="11"/>
                <w:color w:val="auto"/>
              </w:rPr>
              <w:t>Nonaccrual loans retained (c)</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866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978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924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832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718</w:t>
            </w:r>
          </w:p>
        </w:tc>
        <w:tc>
          <w:tcPr>
            <w:tcW w:w="680" w:type="dxa"/>
            <w:vAlign w:val="bottom"/>
            <w:gridSpan w:val="2"/>
          </w:tcPr>
          <w:p>
            <w:pPr>
              <w:jc w:val="right"/>
              <w:ind w:right="6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866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718</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28"/>
        </w:trPr>
        <w:tc>
          <w:tcPr>
            <w:tcW w:w="1940" w:type="dxa"/>
            <w:vAlign w:val="bottom"/>
            <w:gridSpan w:val="6"/>
          </w:tcPr>
          <w:p>
            <w:pPr>
              <w:ind w:left="200"/>
              <w:spacing w:after="0"/>
              <w:rPr>
                <w:sz w:val="20"/>
                <w:szCs w:val="20"/>
                <w:color w:val="auto"/>
              </w:rPr>
            </w:pPr>
            <w:r>
              <w:rPr>
                <w:rFonts w:ascii="Arial" w:cs="Arial" w:eastAsia="Arial" w:hAnsi="Arial"/>
                <w:sz w:val="11"/>
                <w:szCs w:val="11"/>
                <w:color w:val="auto"/>
              </w:rPr>
              <w:t>Nonaccrual loans held-for-sale and</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828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801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818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808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848</w:t>
            </w:r>
          </w:p>
        </w:tc>
        <w:tc>
          <w:tcPr>
            <w:tcW w:w="68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1"/>
                <w:szCs w:val="11"/>
                <w:color w:val="auto"/>
              </w:rPr>
            </w:pP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(2)</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828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848</w:t>
            </w:r>
          </w:p>
        </w:tc>
        <w:tc>
          <w:tcPr>
            <w:tcW w:w="88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5"/>
        </w:trPr>
        <w:tc>
          <w:tcPr>
            <w:tcW w:w="1940" w:type="dxa"/>
            <w:vAlign w:val="bottom"/>
            <w:gridSpan w:val="6"/>
          </w:tcPr>
          <w:p>
            <w:pPr>
              <w:ind w:left="200"/>
              <w:spacing w:after="0"/>
              <w:rPr>
                <w:sz w:val="20"/>
                <w:szCs w:val="20"/>
                <w:color w:val="auto"/>
              </w:rPr>
            </w:pPr>
            <w:r>
              <w:rPr>
                <w:rFonts w:ascii="Arial" w:cs="Arial" w:eastAsia="Arial" w:hAnsi="Arial"/>
                <w:sz w:val="11"/>
                <w:szCs w:val="11"/>
                <w:color w:val="auto"/>
              </w:rPr>
              <w:t>loans at fair value (d)</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40" w:type="dxa"/>
            <w:vAlign w:val="bottom"/>
            <w:gridSpan w:val="6"/>
          </w:tcPr>
          <w:p>
            <w:pPr>
              <w:ind w:left="200"/>
              <w:spacing w:after="0"/>
              <w:rPr>
                <w:sz w:val="20"/>
                <w:szCs w:val="20"/>
                <w:color w:val="auto"/>
              </w:rPr>
            </w:pPr>
            <w:r>
              <w:rPr>
                <w:rFonts w:ascii="Arial" w:cs="Arial" w:eastAsia="Arial" w:hAnsi="Arial"/>
                <w:sz w:val="11"/>
                <w:szCs w:val="11"/>
                <w:b w:val="1"/>
                <w:bCs w:val="1"/>
                <w:color w:val="auto"/>
              </w:rPr>
              <w:t>Total nonaccrual loans</w:t>
            </w: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1,694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1,779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1,742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1,640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1,566</w:t>
            </w:r>
          </w:p>
        </w:tc>
        <w:tc>
          <w:tcPr>
            <w:tcW w:w="68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1,694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1,566</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10"/>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Derivative receivables</w:t>
            </w: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291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296</w:t>
            </w:r>
          </w:p>
        </w:tc>
        <w:tc>
          <w:tcPr>
            <w:tcW w:w="680" w:type="dxa"/>
            <w:vAlign w:val="bottom"/>
            <w:gridSpan w:val="2"/>
          </w:tcPr>
          <w:p>
            <w:pPr>
              <w:jc w:val="right"/>
              <w:ind w:right="86"/>
              <w:spacing w:after="0"/>
              <w:rPr>
                <w:sz w:val="20"/>
                <w:szCs w:val="20"/>
                <w:color w:val="auto"/>
              </w:rPr>
            </w:pPr>
            <w:r>
              <w:rPr>
                <w:rFonts w:ascii="Arial" w:cs="Arial" w:eastAsia="Arial" w:hAnsi="Arial"/>
                <w:sz w:val="11"/>
                <w:szCs w:val="11"/>
                <w:color w:val="auto"/>
              </w:rPr>
              <w:t>24</w:t>
            </w:r>
          </w:p>
        </w:tc>
        <w:tc>
          <w:tcPr>
            <w:tcW w:w="200" w:type="dxa"/>
            <w:vAlign w:val="bottom"/>
          </w:tcPr>
          <w:p>
            <w:pPr>
              <w:spacing w:after="0"/>
              <w:rPr>
                <w:sz w:val="18"/>
                <w:szCs w:val="18"/>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296</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75"/>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Assets acquired in loan satisfactions</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115</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133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86</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87</w:t>
            </w:r>
          </w:p>
        </w:tc>
        <w:tc>
          <w:tcPr>
            <w:tcW w:w="680" w:type="dxa"/>
            <w:vAlign w:val="bottom"/>
            <w:gridSpan w:val="2"/>
          </w:tcPr>
          <w:p>
            <w:pPr>
              <w:jc w:val="right"/>
              <w:ind w:right="66"/>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5"/>
                <w:szCs w:val="15"/>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32</w:t>
            </w: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87</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48"/>
        </w:trPr>
        <w:tc>
          <w:tcPr>
            <w:tcW w:w="1940" w:type="dxa"/>
            <w:vAlign w:val="bottom"/>
            <w:gridSpan w:val="6"/>
          </w:tcPr>
          <w:p>
            <w:pPr>
              <w:ind w:left="200"/>
              <w:spacing w:after="0"/>
              <w:rPr>
                <w:sz w:val="20"/>
                <w:szCs w:val="20"/>
                <w:color w:val="auto"/>
              </w:rPr>
            </w:pPr>
            <w:r>
              <w:rPr>
                <w:rFonts w:ascii="Arial" w:cs="Arial" w:eastAsia="Arial" w:hAnsi="Arial"/>
                <w:sz w:val="11"/>
                <w:szCs w:val="11"/>
                <w:b w:val="1"/>
                <w:bCs w:val="1"/>
                <w:color w:val="auto"/>
              </w:rPr>
              <w:t>Total nonperforming assets</w:t>
            </w: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2,173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2,198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2,161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2,017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1,949</w:t>
            </w:r>
          </w:p>
        </w:tc>
        <w:tc>
          <w:tcPr>
            <w:tcW w:w="68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2,173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1,949</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6"/>
        </w:trPr>
        <w:tc>
          <w:tcPr>
            <w:tcW w:w="1940" w:type="dxa"/>
            <w:vAlign w:val="bottom"/>
            <w:gridSpan w:val="6"/>
          </w:tcPr>
          <w:p>
            <w:pPr>
              <w:spacing w:after="0"/>
              <w:rPr>
                <w:sz w:val="20"/>
                <w:szCs w:val="20"/>
                <w:color w:val="auto"/>
              </w:rPr>
            </w:pPr>
            <w:r>
              <w:rPr>
                <w:rFonts w:ascii="Arial" w:cs="Arial" w:eastAsia="Arial" w:hAnsi="Arial"/>
                <w:sz w:val="11"/>
                <w:szCs w:val="11"/>
                <w:color w:val="auto"/>
              </w:rPr>
              <w:t>Allowance for credit losses: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Allowance for loan losses</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2,414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2,531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2,454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2,292</w:t>
            </w:r>
          </w:p>
        </w:tc>
        <w:tc>
          <w:tcPr>
            <w:tcW w:w="68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2,321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2,292</w:t>
            </w:r>
          </w:p>
        </w:tc>
        <w:tc>
          <w:tcPr>
            <w:tcW w:w="88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28"/>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Allowance for lending-related</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1,048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1,095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1,207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1,301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1,448</w:t>
            </w:r>
          </w:p>
        </w:tc>
        <w:tc>
          <w:tcPr>
            <w:tcW w:w="68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1"/>
                <w:szCs w:val="11"/>
                <w:color w:val="auto"/>
              </w:rPr>
            </w:pP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(28)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1,048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1,448</w:t>
            </w:r>
          </w:p>
        </w:tc>
        <w:tc>
          <w:tcPr>
            <w:tcW w:w="88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55"/>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commitments</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40" w:type="dxa"/>
            <w:vAlign w:val="bottom"/>
            <w:gridSpan w:val="6"/>
          </w:tcPr>
          <w:p>
            <w:pPr>
              <w:ind w:left="200"/>
              <w:spacing w:after="0"/>
              <w:rPr>
                <w:sz w:val="20"/>
                <w:szCs w:val="20"/>
                <w:color w:val="auto"/>
              </w:rPr>
            </w:pPr>
            <w:r>
              <w:rPr>
                <w:rFonts w:ascii="Arial" w:cs="Arial" w:eastAsia="Arial" w:hAnsi="Arial"/>
                <w:sz w:val="11"/>
                <w:szCs w:val="11"/>
                <w:b w:val="1"/>
                <w:bCs w:val="1"/>
                <w:color w:val="auto"/>
              </w:rPr>
              <w:t>Total allowance for credit losses</w:t>
            </w: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3,369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3,509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3,738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3,755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3,740</w:t>
            </w:r>
          </w:p>
        </w:tc>
        <w:tc>
          <w:tcPr>
            <w:tcW w:w="68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3,369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3,740</w:t>
            </w:r>
          </w:p>
        </w:tc>
        <w:tc>
          <w:tcPr>
            <w:tcW w:w="880" w:type="dxa"/>
            <w:vAlign w:val="bottom"/>
            <w:gridSpan w:val="2"/>
          </w:tcPr>
          <w:p>
            <w:pPr>
              <w:jc w:val="right"/>
              <w:ind w:right="6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10"/>
        </w:trPr>
        <w:tc>
          <w:tcPr>
            <w:tcW w:w="1940" w:type="dxa"/>
            <w:vAlign w:val="bottom"/>
            <w:gridSpan w:val="6"/>
          </w:tcPr>
          <w:p>
            <w:pPr>
              <w:spacing w:after="0"/>
              <w:rPr>
                <w:sz w:val="20"/>
                <w:szCs w:val="20"/>
                <w:color w:val="auto"/>
              </w:rPr>
            </w:pPr>
            <w:r>
              <w:rPr>
                <w:rFonts w:ascii="Arial" w:cs="Arial" w:eastAsia="Arial" w:hAnsi="Arial"/>
                <w:sz w:val="11"/>
                <w:szCs w:val="11"/>
                <w:color w:val="auto"/>
              </w:rPr>
              <w:t>Net charge-off/(recovery) rate (a)(e)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0.25 %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0.09 %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0.12 %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0.11 %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0.02 %</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0.14 %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0.05 %</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940" w:type="dxa"/>
            <w:vAlign w:val="bottom"/>
            <w:gridSpan w:val="6"/>
          </w:tcPr>
          <w:p>
            <w:pPr>
              <w:spacing w:after="0"/>
              <w:rPr>
                <w:sz w:val="20"/>
                <w:szCs w:val="20"/>
                <w:color w:val="auto"/>
              </w:rPr>
            </w:pPr>
            <w:r>
              <w:rPr>
                <w:rFonts w:ascii="Arial" w:cs="Arial" w:eastAsia="Arial" w:hAnsi="Arial"/>
                <w:sz w:val="11"/>
                <w:szCs w:val="11"/>
                <w:color w:val="auto"/>
                <w:w w:val="99"/>
              </w:rPr>
              <w:t>Allowance for loan losses to period-end</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1.18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1.24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1.30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1.31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1.22</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1.18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1.22</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40" w:type="dxa"/>
            <w:vAlign w:val="bottom"/>
            <w:gridSpan w:val="6"/>
          </w:tcPr>
          <w:p>
            <w:pPr>
              <w:spacing w:after="0"/>
              <w:rPr>
                <w:sz w:val="20"/>
                <w:szCs w:val="20"/>
                <w:color w:val="auto"/>
              </w:rPr>
            </w:pPr>
            <w:r>
              <w:rPr>
                <w:rFonts w:ascii="Arial" w:cs="Arial" w:eastAsia="Arial" w:hAnsi="Arial"/>
                <w:sz w:val="11"/>
                <w:szCs w:val="11"/>
                <w:color w:val="auto"/>
              </w:rPr>
              <w:t>loans retained (a)</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40" w:type="dxa"/>
            <w:vAlign w:val="bottom"/>
            <w:gridSpan w:val="6"/>
          </w:tcPr>
          <w:p>
            <w:pPr>
              <w:spacing w:after="0"/>
              <w:rPr>
                <w:sz w:val="20"/>
                <w:szCs w:val="20"/>
                <w:color w:val="auto"/>
              </w:rPr>
            </w:pPr>
            <w:r>
              <w:rPr>
                <w:rFonts w:ascii="Arial" w:cs="Arial" w:eastAsia="Arial" w:hAnsi="Arial"/>
                <w:sz w:val="11"/>
                <w:szCs w:val="11"/>
                <w:color w:val="auto"/>
                <w:w w:val="99"/>
              </w:rPr>
              <w:t>Allowance for loan losses to period-end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40" w:type="dxa"/>
            <w:vAlign w:val="bottom"/>
            <w:gridSpan w:val="6"/>
          </w:tcPr>
          <w:p>
            <w:pPr>
              <w:spacing w:after="0"/>
              <w:rPr>
                <w:sz w:val="20"/>
                <w:szCs w:val="20"/>
                <w:color w:val="auto"/>
              </w:rPr>
            </w:pPr>
            <w:r>
              <w:rPr>
                <w:rFonts w:ascii="Arial" w:cs="Arial" w:eastAsia="Arial" w:hAnsi="Arial"/>
                <w:sz w:val="11"/>
                <w:szCs w:val="11"/>
                <w:color w:val="auto"/>
              </w:rPr>
              <w:t>loans retained,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excluding trade finance and conduits</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1.64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1.74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1.86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1.81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1.67</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1.64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1.67</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40" w:type="dxa"/>
            <w:vAlign w:val="bottom"/>
            <w:gridSpan w:val="6"/>
          </w:tcPr>
          <w:p>
            <w:pPr>
              <w:ind w:left="1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40" w:type="dxa"/>
            <w:vAlign w:val="bottom"/>
            <w:gridSpan w:val="6"/>
          </w:tcPr>
          <w:p>
            <w:pPr>
              <w:spacing w:after="0"/>
              <w:rPr>
                <w:sz w:val="20"/>
                <w:szCs w:val="20"/>
                <w:color w:val="auto"/>
              </w:rPr>
            </w:pPr>
            <w:r>
              <w:rPr>
                <w:rFonts w:ascii="Arial" w:cs="Arial" w:eastAsia="Arial" w:hAnsi="Arial"/>
                <w:sz w:val="11"/>
                <w:szCs w:val="11"/>
                <w:color w:val="auto"/>
                <w:w w:val="99"/>
              </w:rPr>
              <w:t>Allowance for loan losses to nonaccrual</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268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247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274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295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319</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268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319</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40" w:type="dxa"/>
            <w:vAlign w:val="bottom"/>
            <w:gridSpan w:val="6"/>
          </w:tcPr>
          <w:p>
            <w:pPr>
              <w:spacing w:after="0"/>
              <w:rPr>
                <w:sz w:val="20"/>
                <w:szCs w:val="20"/>
                <w:color w:val="auto"/>
              </w:rPr>
            </w:pPr>
            <w:r>
              <w:rPr>
                <w:rFonts w:ascii="Arial" w:cs="Arial" w:eastAsia="Arial" w:hAnsi="Arial"/>
                <w:sz w:val="11"/>
                <w:szCs w:val="11"/>
                <w:color w:val="auto"/>
              </w:rPr>
              <w:t>loans retained (a)(c)</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40" w:type="dxa"/>
            <w:vAlign w:val="bottom"/>
            <w:gridSpan w:val="6"/>
          </w:tcPr>
          <w:p>
            <w:pPr>
              <w:spacing w:after="0"/>
              <w:rPr>
                <w:sz w:val="20"/>
                <w:szCs w:val="20"/>
                <w:color w:val="auto"/>
              </w:rPr>
            </w:pPr>
            <w:r>
              <w:rPr>
                <w:rFonts w:ascii="Arial" w:cs="Arial" w:eastAsia="Arial" w:hAnsi="Arial"/>
                <w:sz w:val="11"/>
                <w:szCs w:val="11"/>
                <w:color w:val="auto"/>
              </w:rPr>
              <w:t>Nonaccrual loans to total period-end</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0.72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0.76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0.75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0.73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0.68</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0.72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0.68</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40" w:type="dxa"/>
            <w:vAlign w:val="bottom"/>
            <w:gridSpan w:val="6"/>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2426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43"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Loans retained includes credit portfolio loans, loans held by consolidated Firm-administered multi-seller conduits, trade finance loans, other held-for-investment loans and overdrafts.</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Loans held-for-sale and loans at fair value primarily reflect lending related positions originated and purchased in CIB Markets, including loans held for securitization.</w:t>
      </w:r>
    </w:p>
    <w:p>
      <w:pPr>
        <w:spacing w:after="0" w:line="5" w:lineRule="exact"/>
        <w:rPr>
          <w:rFonts w:ascii="Arial" w:cs="Arial" w:eastAsia="Arial" w:hAnsi="Arial"/>
          <w:sz w:val="11"/>
          <w:szCs w:val="11"/>
          <w:color w:val="auto"/>
        </w:rPr>
      </w:pPr>
    </w:p>
    <w:p>
      <w:pPr>
        <w:ind w:left="180" w:right="20" w:hanging="172"/>
        <w:spacing w:after="0" w:line="243" w:lineRule="auto"/>
        <w:tabs>
          <w:tab w:leader="none" w:pos="171" w:val="left"/>
        </w:tabs>
        <w:numPr>
          <w:ilvl w:val="0"/>
          <w:numId w:val="23"/>
        </w:numPr>
        <w:rPr>
          <w:rFonts w:ascii="Arial" w:cs="Arial" w:eastAsia="Arial" w:hAnsi="Arial"/>
          <w:sz w:val="11"/>
          <w:szCs w:val="11"/>
          <w:color w:val="auto"/>
        </w:rPr>
      </w:pPr>
      <w:r>
        <w:rPr>
          <w:rFonts w:ascii="Arial" w:cs="Arial" w:eastAsia="Arial" w:hAnsi="Arial"/>
          <w:sz w:val="11"/>
          <w:szCs w:val="11"/>
          <w:color w:val="auto"/>
        </w:rPr>
        <w:t>Allowance for loan losses of $95 million, $182 million, $145 million, $153 million and $104 million were held against these nonaccrual loans at December 31, 2023, September 30, 2023, June 30, 2023, March 31, 2023 and December 31, 2022, respectively.</w:t>
      </w:r>
    </w:p>
    <w:p>
      <w:pPr>
        <w:ind w:left="180" w:right="100" w:hanging="172"/>
        <w:spacing w:after="0" w:line="246" w:lineRule="auto"/>
        <w:tabs>
          <w:tab w:leader="none" w:pos="177" w:val="left"/>
        </w:tabs>
        <w:numPr>
          <w:ilvl w:val="0"/>
          <w:numId w:val="23"/>
        </w:numPr>
        <w:rPr>
          <w:rFonts w:ascii="Arial" w:cs="Arial" w:eastAsia="Arial" w:hAnsi="Arial"/>
          <w:sz w:val="11"/>
          <w:szCs w:val="11"/>
          <w:color w:val="auto"/>
        </w:rPr>
      </w:pPr>
      <w:r>
        <w:rPr>
          <w:rFonts w:ascii="Arial" w:cs="Arial" w:eastAsia="Arial" w:hAnsi="Arial"/>
          <w:sz w:val="11"/>
          <w:szCs w:val="11"/>
          <w:color w:val="auto"/>
        </w:rPr>
        <w:t>At December 31, 2023, September 30, 2023, June 30, 2023, March 31, 2023 and December 31, 2022, nonaccrual loans excluded mortgage loans 90 or more days past due and insured by U.S. government agencies of $59 million, $65 million, $76 million, $99 million and $115 million, respectively. These amounts have been excluded based upon the government guarantee.</w:t>
      </w:r>
    </w:p>
    <w:p>
      <w:pPr>
        <w:ind w:left="160" w:hanging="152"/>
        <w:spacing w:after="0"/>
        <w:tabs>
          <w:tab w:leader="none" w:pos="1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Loans held-for-sale and loans at fair value were excluded when calculating the net charge-off/(recovery) rate.</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Management uses allowance for loan losses to period-end loans retained, excluding trade finance and conduits, a non-GAAP financial measure, to provide a more meaningful assessment of CIB’s allowance coverage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17</w:t>
      </w:r>
    </w:p>
    <w:p>
      <w:pPr>
        <w:sectPr>
          <w:pgSz w:w="11900" w:h="16838" w:orient="portrait"/>
          <w:cols w:equalWidth="0" w:num="1">
            <w:col w:w="11240"/>
          </w:cols>
          <w:pgMar w:left="320" w:top="936"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13970</wp:posOffset>
            </wp:positionV>
            <wp:extent cx="237426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CORPORATE &amp; INVESTMENT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BANK</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2340" w:type="dxa"/>
            <w:vAlign w:val="bottom"/>
            <w:gridSpan w:val="4"/>
          </w:tcPr>
          <w:p>
            <w:pPr>
              <w:spacing w:after="0"/>
              <w:rPr>
                <w:sz w:val="20"/>
                <w:szCs w:val="20"/>
                <w:color w:val="auto"/>
              </w:rPr>
            </w:pPr>
            <w:r>
              <w:rPr>
                <w:rFonts w:ascii="Arial" w:cs="Arial" w:eastAsia="Arial" w:hAnsi="Arial"/>
                <w:sz w:val="11"/>
                <w:szCs w:val="11"/>
                <w:b w:val="1"/>
                <w:bCs w:val="1"/>
                <w:color w:val="auto"/>
              </w:rPr>
              <w:t>(in millions, except where otherwise noted)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center"/>
              <w:ind w:left="286"/>
              <w:spacing w:after="0"/>
              <w:rPr>
                <w:sz w:val="20"/>
                <w:szCs w:val="20"/>
                <w:color w:val="auto"/>
              </w:rPr>
            </w:pPr>
            <w:r>
              <w:rPr>
                <w:rFonts w:ascii="Arial" w:cs="Arial" w:eastAsia="Arial" w:hAnsi="Arial"/>
                <w:sz w:val="11"/>
                <w:szCs w:val="11"/>
                <w:b w:val="1"/>
                <w:bCs w:val="1"/>
                <w:color w:val="auto"/>
                <w:w w:val="97"/>
              </w:rPr>
              <w:t>QUARTERLY TRENDS</w:t>
            </w: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FULL YEAR</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1"/>
                <w:szCs w:val="11"/>
                <w:b w:val="1"/>
                <w:bCs w:val="1"/>
                <w:color w:val="auto"/>
                <w:w w:val="96"/>
              </w:rPr>
              <w:t>4Q23 Change</w:t>
            </w:r>
          </w:p>
        </w:tc>
        <w:tc>
          <w:tcPr>
            <w:tcW w:w="3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 Change</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4Q23</w:t>
            </w:r>
          </w:p>
        </w:tc>
        <w:tc>
          <w:tcPr>
            <w:tcW w:w="10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3Q23</w:t>
            </w:r>
          </w:p>
        </w:tc>
        <w:tc>
          <w:tcPr>
            <w:tcW w:w="10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2Q23</w:t>
            </w:r>
          </w:p>
        </w:tc>
        <w:tc>
          <w:tcPr>
            <w:tcW w:w="100" w:type="dxa"/>
            <w:vAlign w:val="bottom"/>
          </w:tcPr>
          <w:p>
            <w:pPr>
              <w:spacing w:after="0"/>
              <w:rPr>
                <w:sz w:val="13"/>
                <w:szCs w:val="13"/>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6"/>
              </w:rPr>
              <w:t>1Q23</w:t>
            </w:r>
          </w:p>
        </w:tc>
        <w:tc>
          <w:tcPr>
            <w:tcW w:w="10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4Q22</w:t>
            </w:r>
          </w:p>
        </w:tc>
        <w:tc>
          <w:tcPr>
            <w:tcW w:w="220" w:type="dxa"/>
            <w:vAlign w:val="bottom"/>
          </w:tcPr>
          <w:p>
            <w:pPr>
              <w:spacing w:after="0"/>
              <w:rPr>
                <w:sz w:val="13"/>
                <w:szCs w:val="13"/>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3Q23</w:t>
            </w:r>
          </w:p>
        </w:tc>
        <w:tc>
          <w:tcPr>
            <w:tcW w:w="1000" w:type="dxa"/>
            <w:vAlign w:val="bottom"/>
            <w:gridSpan w:val="3"/>
          </w:tcPr>
          <w:p>
            <w:pPr>
              <w:jc w:val="right"/>
              <w:ind w:right="580"/>
              <w:spacing w:after="0"/>
              <w:rPr>
                <w:sz w:val="20"/>
                <w:szCs w:val="20"/>
                <w:color w:val="auto"/>
              </w:rPr>
            </w:pPr>
            <w:r>
              <w:rPr>
                <w:rFonts w:ascii="Arial" w:cs="Arial" w:eastAsia="Arial" w:hAnsi="Arial"/>
                <w:sz w:val="11"/>
                <w:szCs w:val="11"/>
                <w:b w:val="1"/>
                <w:bCs w:val="1"/>
                <w:color w:val="auto"/>
              </w:rPr>
              <w:t>4Q22</w:t>
            </w: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2023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3"/>
                <w:szCs w:val="13"/>
                <w:color w:val="auto"/>
              </w:rPr>
            </w:pPr>
          </w:p>
        </w:tc>
        <w:tc>
          <w:tcPr>
            <w:tcW w:w="7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8"/>
        </w:trPr>
        <w:tc>
          <w:tcPr>
            <w:tcW w:w="1080" w:type="dxa"/>
            <w:vAlign w:val="bottom"/>
            <w:tcBorders>
              <w:bottom w:val="single" w:sz="8" w:color="auto"/>
            </w:tcBorders>
            <w:gridSpan w:val="2"/>
          </w:tcPr>
          <w:p>
            <w:pPr>
              <w:spacing w:after="0" w:line="108" w:lineRule="exact"/>
              <w:rPr>
                <w:sz w:val="20"/>
                <w:szCs w:val="20"/>
                <w:color w:val="auto"/>
              </w:rPr>
            </w:pPr>
            <w:r>
              <w:rPr>
                <w:rFonts w:ascii="Arial" w:cs="Arial" w:eastAsia="Arial" w:hAnsi="Arial"/>
                <w:sz w:val="11"/>
                <w:szCs w:val="11"/>
                <w:b w:val="1"/>
                <w:bCs w:val="1"/>
                <w:color w:val="auto"/>
                <w:w w:val="97"/>
              </w:rPr>
              <w:t>BUSINESS METRICS</w:t>
            </w:r>
          </w:p>
        </w:tc>
        <w:tc>
          <w:tcPr>
            <w:tcW w:w="1260" w:type="dxa"/>
            <w:vAlign w:val="bottom"/>
            <w:gridSpan w:val="2"/>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340" w:type="dxa"/>
            <w:vAlign w:val="bottom"/>
            <w:gridSpan w:val="4"/>
          </w:tcPr>
          <w:p>
            <w:pPr>
              <w:spacing w:after="0"/>
              <w:rPr>
                <w:sz w:val="20"/>
                <w:szCs w:val="20"/>
                <w:color w:val="auto"/>
              </w:rPr>
            </w:pPr>
            <w:r>
              <w:rPr>
                <w:rFonts w:ascii="Arial" w:cs="Arial" w:eastAsia="Arial" w:hAnsi="Arial"/>
                <w:sz w:val="11"/>
                <w:szCs w:val="11"/>
                <w:color w:val="auto"/>
              </w:rPr>
              <w:t>Advisory</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751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767</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540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756</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738</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2 %</w:t>
            </w: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2,814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3,051</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2340" w:type="dxa"/>
            <w:vAlign w:val="bottom"/>
            <w:gridSpan w:val="4"/>
          </w:tcPr>
          <w:p>
            <w:pPr>
              <w:spacing w:after="0"/>
              <w:rPr>
                <w:sz w:val="20"/>
                <w:szCs w:val="20"/>
                <w:color w:val="auto"/>
              </w:rPr>
            </w:pPr>
            <w:r>
              <w:rPr>
                <w:rFonts w:ascii="Arial" w:cs="Arial" w:eastAsia="Arial" w:hAnsi="Arial"/>
                <w:sz w:val="11"/>
                <w:szCs w:val="11"/>
                <w:color w:val="auto"/>
              </w:rPr>
              <w:t>Equity underwriting</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274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235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250</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18</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30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1,151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1,034</w:t>
            </w: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5"/>
        </w:trPr>
        <w:tc>
          <w:tcPr>
            <w:tcW w:w="2340" w:type="dxa"/>
            <w:vAlign w:val="bottom"/>
            <w:gridSpan w:val="4"/>
          </w:tcPr>
          <w:p>
            <w:pPr>
              <w:spacing w:after="0"/>
              <w:rPr>
                <w:sz w:val="20"/>
                <w:szCs w:val="20"/>
                <w:color w:val="auto"/>
              </w:rPr>
            </w:pPr>
            <w:r>
              <w:rPr>
                <w:rFonts w:ascii="Arial" w:cs="Arial" w:eastAsia="Arial" w:hAnsi="Arial"/>
                <w:sz w:val="11"/>
                <w:szCs w:val="11"/>
                <w:color w:val="auto"/>
              </w:rPr>
              <w:t>Debt underwriting</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579</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676</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699</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663</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479</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21</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2,617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2,844</w:t>
            </w:r>
          </w:p>
        </w:tc>
        <w:tc>
          <w:tcPr>
            <w:tcW w:w="220" w:type="dxa"/>
            <w:vAlign w:val="bottom"/>
          </w:tcPr>
          <w:p>
            <w:pPr>
              <w:spacing w:after="0"/>
              <w:rPr>
                <w:sz w:val="15"/>
                <w:szCs w:val="15"/>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8"/>
        </w:trPr>
        <w:tc>
          <w:tcPr>
            <w:tcW w:w="234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investment banking fees</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1,654</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1,717</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1,557</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1,654</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1,467</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6,582</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6,929</w:t>
            </w:r>
          </w:p>
        </w:tc>
        <w:tc>
          <w:tcPr>
            <w:tcW w:w="22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84"/>
        </w:trPr>
        <w:tc>
          <w:tcPr>
            <w:tcW w:w="2340" w:type="dxa"/>
            <w:vAlign w:val="bottom"/>
            <w:gridSpan w:val="4"/>
          </w:tcPr>
          <w:p>
            <w:pPr>
              <w:spacing w:after="0"/>
              <w:rPr>
                <w:sz w:val="20"/>
                <w:szCs w:val="20"/>
                <w:color w:val="auto"/>
              </w:rPr>
            </w:pPr>
            <w:r>
              <w:rPr>
                <w:rFonts w:ascii="Arial" w:cs="Arial" w:eastAsia="Arial" w:hAnsi="Arial"/>
                <w:sz w:val="11"/>
                <w:szCs w:val="11"/>
                <w:color w:val="auto"/>
              </w:rPr>
              <w:t>Client deposits and other third-party liabilities</w:t>
            </w:r>
          </w:p>
        </w:tc>
        <w:tc>
          <w:tcPr>
            <w:tcW w:w="100" w:type="dxa"/>
            <w:vAlign w:val="bottom"/>
          </w:tcPr>
          <w:p>
            <w:pPr>
              <w:spacing w:after="0"/>
              <w:rPr>
                <w:sz w:val="24"/>
                <w:szCs w:val="24"/>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w w:val="95"/>
              </w:rPr>
              <w:t>660,750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638,119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w w:val="95"/>
              </w:rPr>
              <w:t>647,479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w w:val="95"/>
              </w:rPr>
              <w:t>633,729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649,694</w:t>
            </w:r>
          </w:p>
        </w:tc>
        <w:tc>
          <w:tcPr>
            <w:tcW w:w="78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vMerge w:val="restart"/>
          </w:tcPr>
          <w:p>
            <w:pPr>
              <w:jc w:val="right"/>
              <w:ind w:right="106"/>
              <w:spacing w:after="0"/>
              <w:rPr>
                <w:sz w:val="20"/>
                <w:szCs w:val="20"/>
                <w:color w:val="auto"/>
              </w:rPr>
            </w:pPr>
            <w:r>
              <w:rPr>
                <w:rFonts w:ascii="Arial" w:cs="Arial" w:eastAsia="Arial" w:hAnsi="Arial"/>
                <w:sz w:val="11"/>
                <w:szCs w:val="11"/>
                <w:color w:val="auto"/>
              </w:rPr>
              <w:t>2</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645,074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687,391</w:t>
            </w:r>
          </w:p>
        </w:tc>
        <w:tc>
          <w:tcPr>
            <w:tcW w:w="220" w:type="dxa"/>
            <w:vAlign w:val="bottom"/>
          </w:tcPr>
          <w:p>
            <w:pPr>
              <w:spacing w:after="0"/>
              <w:rPr>
                <w:sz w:val="24"/>
                <w:szCs w:val="24"/>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2"/>
        </w:trPr>
        <w:tc>
          <w:tcPr>
            <w:tcW w:w="2340" w:type="dxa"/>
            <w:vAlign w:val="bottom"/>
            <w:gridSpan w:val="4"/>
          </w:tcPr>
          <w:p>
            <w:pPr>
              <w:spacing w:after="0"/>
              <w:rPr>
                <w:sz w:val="20"/>
                <w:szCs w:val="20"/>
                <w:color w:val="auto"/>
              </w:rPr>
            </w:pPr>
            <w:r>
              <w:rPr>
                <w:rFonts w:ascii="Arial" w:cs="Arial" w:eastAsia="Arial" w:hAnsi="Arial"/>
                <w:sz w:val="11"/>
                <w:szCs w:val="11"/>
                <w:color w:val="auto"/>
              </w:rPr>
              <w:t>(average) (a)</w:t>
            </w: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340" w:type="dxa"/>
            <w:vAlign w:val="bottom"/>
            <w:gridSpan w:val="4"/>
          </w:tcPr>
          <w:p>
            <w:pPr>
              <w:spacing w:after="0"/>
              <w:rPr>
                <w:sz w:val="20"/>
                <w:szCs w:val="20"/>
                <w:color w:val="auto"/>
              </w:rPr>
            </w:pPr>
            <w:r>
              <w:rPr>
                <w:rFonts w:ascii="Arial" w:cs="Arial" w:eastAsia="Arial" w:hAnsi="Arial"/>
                <w:sz w:val="11"/>
                <w:szCs w:val="11"/>
                <w:color w:val="auto"/>
              </w:rPr>
              <w:t>Merchant processing volume (in billions) (b)</w:t>
            </w:r>
          </w:p>
        </w:tc>
        <w:tc>
          <w:tcPr>
            <w:tcW w:w="10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639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610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559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583</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2,408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2,158</w:t>
            </w:r>
          </w:p>
        </w:tc>
        <w:tc>
          <w:tcPr>
            <w:tcW w:w="220" w:type="dxa"/>
            <w:vAlign w:val="bottom"/>
          </w:tcPr>
          <w:p>
            <w:pPr>
              <w:spacing w:after="0"/>
              <w:rPr>
                <w:sz w:val="24"/>
                <w:szCs w:val="24"/>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90"/>
        </w:trPr>
        <w:tc>
          <w:tcPr>
            <w:tcW w:w="2340" w:type="dxa"/>
            <w:vAlign w:val="bottom"/>
            <w:gridSpan w:val="4"/>
          </w:tcPr>
          <w:p>
            <w:pPr>
              <w:spacing w:after="0"/>
              <w:rPr>
                <w:sz w:val="20"/>
                <w:szCs w:val="20"/>
                <w:color w:val="auto"/>
              </w:rPr>
            </w:pPr>
            <w:r>
              <w:rPr>
                <w:rFonts w:ascii="Arial" w:cs="Arial" w:eastAsia="Arial" w:hAnsi="Arial"/>
                <w:sz w:val="11"/>
                <w:szCs w:val="11"/>
                <w:color w:val="auto"/>
              </w:rPr>
              <w:t>Assets under custody (“AUC”) (period-end) (in</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32,392</w:t>
            </w:r>
          </w:p>
        </w:tc>
        <w:tc>
          <w:tcPr>
            <w:tcW w:w="2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29,725</w:t>
            </w:r>
          </w:p>
        </w:tc>
        <w:tc>
          <w:tcPr>
            <w:tcW w:w="24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30,424</w:t>
            </w:r>
          </w:p>
        </w:tc>
        <w:tc>
          <w:tcPr>
            <w:tcW w:w="2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29,725</w:t>
            </w:r>
          </w:p>
        </w:tc>
        <w:tc>
          <w:tcPr>
            <w:tcW w:w="2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28,635</w:t>
            </w:r>
          </w:p>
        </w:tc>
        <w:tc>
          <w:tcPr>
            <w:tcW w:w="78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vMerge w:val="restart"/>
          </w:tcPr>
          <w:p>
            <w:pPr>
              <w:jc w:val="right"/>
              <w:ind w:right="106"/>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32,392</w:t>
            </w:r>
          </w:p>
        </w:tc>
        <w:tc>
          <w:tcPr>
            <w:tcW w:w="2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28,635</w:t>
            </w:r>
          </w:p>
        </w:tc>
        <w:tc>
          <w:tcPr>
            <w:tcW w:w="220" w:type="dxa"/>
            <w:vAlign w:val="bottom"/>
          </w:tcPr>
          <w:p>
            <w:pPr>
              <w:spacing w:after="0"/>
              <w:rPr>
                <w:sz w:val="24"/>
                <w:szCs w:val="24"/>
                <w:color w:val="auto"/>
              </w:rPr>
            </w:pPr>
          </w:p>
        </w:tc>
        <w:tc>
          <w:tcPr>
            <w:tcW w:w="740" w:type="dxa"/>
            <w:vAlign w:val="bottom"/>
            <w:vMerge w:val="restart"/>
          </w:tcPr>
          <w:p>
            <w:pPr>
              <w:jc w:val="right"/>
              <w:ind w:right="8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2"/>
        </w:trPr>
        <w:tc>
          <w:tcPr>
            <w:tcW w:w="2340" w:type="dxa"/>
            <w:vAlign w:val="bottom"/>
            <w:gridSpan w:val="4"/>
          </w:tcPr>
          <w:p>
            <w:pPr>
              <w:spacing w:after="0"/>
              <w:rPr>
                <w:sz w:val="20"/>
                <w:szCs w:val="20"/>
                <w:color w:val="auto"/>
              </w:rPr>
            </w:pPr>
            <w:r>
              <w:rPr>
                <w:rFonts w:ascii="Arial" w:cs="Arial" w:eastAsia="Arial" w:hAnsi="Arial"/>
                <w:sz w:val="11"/>
                <w:szCs w:val="11"/>
                <w:color w:val="auto"/>
              </w:rPr>
              <w:t>billions)</w:t>
            </w:r>
          </w:p>
        </w:tc>
        <w:tc>
          <w:tcPr>
            <w:tcW w:w="10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340" w:type="dxa"/>
            <w:vAlign w:val="bottom"/>
            <w:gridSpan w:val="4"/>
          </w:tcPr>
          <w:p>
            <w:pPr>
              <w:spacing w:after="0"/>
              <w:rPr>
                <w:sz w:val="20"/>
                <w:szCs w:val="20"/>
                <w:color w:val="auto"/>
              </w:rPr>
            </w:pPr>
            <w:r>
              <w:rPr>
                <w:rFonts w:ascii="Arial" w:cs="Arial" w:eastAsia="Arial" w:hAnsi="Arial"/>
                <w:sz w:val="11"/>
                <w:szCs w:val="11"/>
                <w:b w:val="1"/>
                <w:bCs w:val="1"/>
                <w:color w:val="auto"/>
              </w:rPr>
              <w:t>95% Confidence Level - Total CIB VaR</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94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(average)</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340" w:type="dxa"/>
            <w:vAlign w:val="bottom"/>
            <w:gridSpan w:val="4"/>
          </w:tcPr>
          <w:p>
            <w:pPr>
              <w:spacing w:after="0"/>
              <w:rPr>
                <w:sz w:val="20"/>
                <w:szCs w:val="20"/>
                <w:color w:val="auto"/>
              </w:rPr>
            </w:pPr>
            <w:r>
              <w:rPr>
                <w:rFonts w:ascii="Arial" w:cs="Arial" w:eastAsia="Arial" w:hAnsi="Arial"/>
                <w:sz w:val="11"/>
                <w:szCs w:val="11"/>
                <w:b w:val="1"/>
                <w:bCs w:val="1"/>
                <w:color w:val="auto"/>
              </w:rPr>
              <w:t>CIB trading VaR by risk type: (c)</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40" w:type="dxa"/>
            <w:vAlign w:val="bottom"/>
            <w:gridSpan w:val="4"/>
          </w:tcPr>
          <w:p>
            <w:pPr>
              <w:spacing w:after="0"/>
              <w:rPr>
                <w:sz w:val="20"/>
                <w:szCs w:val="20"/>
                <w:color w:val="auto"/>
              </w:rPr>
            </w:pPr>
            <w:r>
              <w:rPr>
                <w:rFonts w:ascii="Arial" w:cs="Arial" w:eastAsia="Arial" w:hAnsi="Arial"/>
                <w:sz w:val="11"/>
                <w:szCs w:val="11"/>
                <w:color w:val="auto"/>
              </w:rPr>
              <w:t>Fixed income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49</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57</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56</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66</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jc w:val="right"/>
              <w:ind w:right="66"/>
              <w:spacing w:after="0"/>
              <w:rPr>
                <w:sz w:val="20"/>
                <w:szCs w:val="20"/>
                <w:color w:val="auto"/>
              </w:rPr>
            </w:pPr>
            <w:r>
              <w:rPr>
                <w:rFonts w:ascii="Arial" w:cs="Arial" w:eastAsia="Arial" w:hAnsi="Arial"/>
                <w:sz w:val="11"/>
                <w:szCs w:val="11"/>
                <w:color w:val="auto"/>
                <w:w w:val="91"/>
              </w:rPr>
              <w:t>(47)</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40" w:type="dxa"/>
            <w:vAlign w:val="bottom"/>
            <w:gridSpan w:val="4"/>
          </w:tcPr>
          <w:p>
            <w:pPr>
              <w:spacing w:after="0"/>
              <w:rPr>
                <w:sz w:val="20"/>
                <w:szCs w:val="20"/>
                <w:color w:val="auto"/>
              </w:rPr>
            </w:pPr>
            <w:r>
              <w:rPr>
                <w:rFonts w:ascii="Arial" w:cs="Arial" w:eastAsia="Arial" w:hAnsi="Arial"/>
                <w:sz w:val="11"/>
                <w:szCs w:val="11"/>
                <w:color w:val="auto"/>
              </w:rPr>
              <w:t>Foreign exchange</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(41)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4"/>
          </w:tcPr>
          <w:p>
            <w:pPr>
              <w:spacing w:after="0"/>
              <w:rPr>
                <w:sz w:val="20"/>
                <w:szCs w:val="20"/>
                <w:color w:val="auto"/>
              </w:rPr>
            </w:pPr>
            <w:r>
              <w:rPr>
                <w:rFonts w:ascii="Arial" w:cs="Arial" w:eastAsia="Arial" w:hAnsi="Arial"/>
                <w:sz w:val="11"/>
                <w:szCs w:val="11"/>
                <w:color w:val="auto"/>
              </w:rPr>
              <w:t>Equities</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ind w:right="66"/>
              <w:spacing w:after="0"/>
              <w:rPr>
                <w:sz w:val="20"/>
                <w:szCs w:val="20"/>
                <w:color w:val="auto"/>
              </w:rPr>
            </w:pPr>
            <w:r>
              <w:rPr>
                <w:rFonts w:ascii="Arial" w:cs="Arial" w:eastAsia="Arial" w:hAnsi="Arial"/>
                <w:sz w:val="11"/>
                <w:szCs w:val="11"/>
                <w:color w:val="auto"/>
                <w:w w:val="91"/>
              </w:rPr>
              <w:t>(62)</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4"/>
          </w:tcPr>
          <w:p>
            <w:pPr>
              <w:spacing w:after="0"/>
              <w:rPr>
                <w:sz w:val="20"/>
                <w:szCs w:val="20"/>
                <w:color w:val="auto"/>
              </w:rPr>
            </w:pPr>
            <w:r>
              <w:rPr>
                <w:rFonts w:ascii="Arial" w:cs="Arial" w:eastAsia="Arial" w:hAnsi="Arial"/>
                <w:sz w:val="11"/>
                <w:szCs w:val="11"/>
                <w:color w:val="auto"/>
              </w:rPr>
              <w:t>Commodities and other</w:t>
            </w: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(20)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ind w:right="66"/>
              <w:spacing w:after="0"/>
              <w:rPr>
                <w:sz w:val="20"/>
                <w:szCs w:val="20"/>
                <w:color w:val="auto"/>
              </w:rPr>
            </w:pPr>
            <w:r>
              <w:rPr>
                <w:rFonts w:ascii="Arial" w:cs="Arial" w:eastAsia="Arial" w:hAnsi="Arial"/>
                <w:sz w:val="11"/>
                <w:szCs w:val="11"/>
                <w:color w:val="auto"/>
                <w:w w:val="91"/>
              </w:rPr>
              <w:t>(56)</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40" w:type="dxa"/>
            <w:vAlign w:val="bottom"/>
            <w:gridSpan w:val="4"/>
          </w:tcPr>
          <w:p>
            <w:pPr>
              <w:spacing w:after="0"/>
              <w:rPr>
                <w:sz w:val="20"/>
                <w:szCs w:val="20"/>
                <w:color w:val="auto"/>
              </w:rPr>
            </w:pPr>
            <w:r>
              <w:rPr>
                <w:rFonts w:ascii="Arial" w:cs="Arial" w:eastAsia="Arial" w:hAnsi="Arial"/>
                <w:sz w:val="11"/>
                <w:szCs w:val="11"/>
                <w:color w:val="auto"/>
              </w:rPr>
              <w:t>Diversification benefit to CIB trading VaR (d)</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40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42</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40" w:type="dxa"/>
            <w:vAlign w:val="bottom"/>
            <w:gridSpan w:val="4"/>
          </w:tcPr>
          <w:p>
            <w:pPr>
              <w:ind w:left="120"/>
              <w:spacing w:after="0"/>
              <w:rPr>
                <w:sz w:val="20"/>
                <w:szCs w:val="20"/>
                <w:color w:val="auto"/>
              </w:rPr>
            </w:pPr>
            <w:r>
              <w:rPr>
                <w:rFonts w:ascii="Arial" w:cs="Arial" w:eastAsia="Arial" w:hAnsi="Arial"/>
                <w:sz w:val="11"/>
                <w:szCs w:val="11"/>
                <w:b w:val="1"/>
                <w:bCs w:val="1"/>
                <w:color w:val="auto"/>
              </w:rPr>
              <w:t>CIB trading VaR (c)</w:t>
            </w:r>
          </w:p>
        </w:tc>
        <w:tc>
          <w:tcPr>
            <w:tcW w:w="10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35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58</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ind w:right="66"/>
              <w:spacing w:after="0"/>
              <w:rPr>
                <w:sz w:val="20"/>
                <w:szCs w:val="20"/>
                <w:color w:val="auto"/>
              </w:rPr>
            </w:pPr>
            <w:r>
              <w:rPr>
                <w:rFonts w:ascii="Arial" w:cs="Arial" w:eastAsia="Arial" w:hAnsi="Arial"/>
                <w:sz w:val="11"/>
                <w:szCs w:val="11"/>
                <w:color w:val="auto"/>
                <w:w w:val="91"/>
              </w:rPr>
              <w:t>(50)</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40" w:type="dxa"/>
            <w:vAlign w:val="bottom"/>
            <w:gridSpan w:val="4"/>
          </w:tcPr>
          <w:p>
            <w:pPr>
              <w:spacing w:after="0"/>
              <w:rPr>
                <w:sz w:val="20"/>
                <w:szCs w:val="20"/>
                <w:color w:val="auto"/>
              </w:rPr>
            </w:pPr>
            <w:r>
              <w:rPr>
                <w:rFonts w:ascii="Arial" w:cs="Arial" w:eastAsia="Arial" w:hAnsi="Arial"/>
                <w:sz w:val="11"/>
                <w:szCs w:val="11"/>
                <w:color w:val="auto"/>
              </w:rPr>
              <w:t>Credit Portfolio VaR (e)</w:t>
            </w:r>
          </w:p>
        </w:tc>
        <w:tc>
          <w:tcPr>
            <w:tcW w:w="10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78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60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40" w:type="dxa"/>
            <w:vAlign w:val="bottom"/>
            <w:gridSpan w:val="4"/>
          </w:tcPr>
          <w:p>
            <w:pPr>
              <w:spacing w:after="0"/>
              <w:rPr>
                <w:sz w:val="20"/>
                <w:szCs w:val="20"/>
                <w:color w:val="auto"/>
              </w:rPr>
            </w:pPr>
            <w:r>
              <w:rPr>
                <w:rFonts w:ascii="Arial" w:cs="Arial" w:eastAsia="Arial" w:hAnsi="Arial"/>
                <w:sz w:val="11"/>
                <w:szCs w:val="11"/>
                <w:color w:val="auto"/>
              </w:rPr>
              <w:t>Diversification benefit to CIB VaR (d)</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jc w:val="right"/>
              <w:ind w:right="66"/>
              <w:spacing w:after="0"/>
              <w:rPr>
                <w:sz w:val="20"/>
                <w:szCs w:val="20"/>
                <w:color w:val="auto"/>
              </w:rPr>
            </w:pPr>
            <w:r>
              <w:rPr>
                <w:rFonts w:ascii="Arial" w:cs="Arial" w:eastAsia="Arial" w:hAnsi="Arial"/>
                <w:sz w:val="11"/>
                <w:szCs w:val="11"/>
                <w:color w:val="auto"/>
                <w:w w:val="91"/>
              </w:rPr>
              <w:t>(63)</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340" w:type="dxa"/>
            <w:vAlign w:val="bottom"/>
            <w:gridSpan w:val="4"/>
          </w:tcPr>
          <w:p>
            <w:pPr>
              <w:ind w:left="120"/>
              <w:spacing w:after="0"/>
              <w:rPr>
                <w:sz w:val="20"/>
                <w:szCs w:val="20"/>
                <w:color w:val="auto"/>
              </w:rPr>
            </w:pPr>
            <w:r>
              <w:rPr>
                <w:rFonts w:ascii="Arial" w:cs="Arial" w:eastAsia="Arial" w:hAnsi="Arial"/>
                <w:sz w:val="11"/>
                <w:szCs w:val="11"/>
                <w:b w:val="1"/>
                <w:bCs w:val="1"/>
                <w:color w:val="auto"/>
              </w:rPr>
              <w:t>CIB VaR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32</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38</w:t>
            </w: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44</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45</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60</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jc w:val="right"/>
              <w:ind w:right="66"/>
              <w:spacing w:after="0"/>
              <w:rPr>
                <w:sz w:val="20"/>
                <w:szCs w:val="20"/>
                <w:color w:val="auto"/>
              </w:rPr>
            </w:pPr>
            <w:r>
              <w:rPr>
                <w:rFonts w:ascii="Arial" w:cs="Arial" w:eastAsia="Arial" w:hAnsi="Arial"/>
                <w:sz w:val="11"/>
                <w:szCs w:val="11"/>
                <w:color w:val="auto"/>
                <w:w w:val="91"/>
              </w:rPr>
              <w:t>(47)</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916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85"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Client deposits and other third-party liabilities pertain to the Payments and Securities Services businesses.</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Represents Firmwide merchant processing volume.</w:t>
      </w:r>
    </w:p>
    <w:p>
      <w:pPr>
        <w:spacing w:after="0" w:line="5" w:lineRule="exact"/>
        <w:rPr>
          <w:rFonts w:ascii="Arial" w:cs="Arial" w:eastAsia="Arial" w:hAnsi="Arial"/>
          <w:sz w:val="11"/>
          <w:szCs w:val="11"/>
          <w:color w:val="auto"/>
        </w:rPr>
      </w:pPr>
    </w:p>
    <w:p>
      <w:pPr>
        <w:ind w:left="180" w:right="180" w:hanging="172"/>
        <w:spacing w:after="0" w:line="243" w:lineRule="auto"/>
        <w:tabs>
          <w:tab w:leader="none" w:pos="171" w:val="left"/>
        </w:tabs>
        <w:numPr>
          <w:ilvl w:val="0"/>
          <w:numId w:val="24"/>
        </w:numPr>
        <w:rPr>
          <w:rFonts w:ascii="Arial" w:cs="Arial" w:eastAsia="Arial" w:hAnsi="Arial"/>
          <w:sz w:val="11"/>
          <w:szCs w:val="11"/>
          <w:color w:val="auto"/>
        </w:rPr>
      </w:pPr>
      <w:r>
        <w:rPr>
          <w:rFonts w:ascii="Arial" w:cs="Arial" w:eastAsia="Arial" w:hAnsi="Arial"/>
          <w:sz w:val="11"/>
          <w:szCs w:val="11"/>
          <w:color w:val="auto"/>
        </w:rPr>
        <w:t>CIB trading VaR includes substantially all market-making and client-driven activities, as well as certain risk management activities in CIB, including credit spread sensitivity to CVA. Refer to VaR measurement on pages 133–135 of the Firm’s 2022 Form 10-K for further information, and pages 84–86 of the Firm’s Quarterly Report on Form 10-Q for the quarterly period ended September 30, 2023 for further information.</w:t>
      </w:r>
    </w:p>
    <w:p>
      <w:pPr>
        <w:ind w:left="160" w:hanging="152"/>
        <w:spacing w:after="0"/>
        <w:tabs>
          <w:tab w:leader="none" w:pos="1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Diversification benefit represents the difference between the portfolio VaR and the sum of its individual components. This reflects the non-additive nature of VaR due to imperfect correlation across CIB risks.</w:t>
      </w:r>
    </w:p>
    <w:p>
      <w:pPr>
        <w:spacing w:after="0" w:line="8" w:lineRule="exact"/>
        <w:rPr>
          <w:rFonts w:ascii="Arial" w:cs="Arial" w:eastAsia="Arial" w:hAnsi="Arial"/>
          <w:sz w:val="11"/>
          <w:szCs w:val="11"/>
          <w:color w:val="auto"/>
        </w:rPr>
      </w:pPr>
    </w:p>
    <w:p>
      <w:pPr>
        <w:ind w:left="180" w:right="80" w:hanging="172"/>
        <w:spacing w:after="0" w:line="251" w:lineRule="auto"/>
        <w:tabs>
          <w:tab w:leader="none" w:pos="177" w:val="left"/>
        </w:tabs>
        <w:numPr>
          <w:ilvl w:val="0"/>
          <w:numId w:val="24"/>
        </w:numPr>
        <w:rPr>
          <w:rFonts w:ascii="Arial" w:cs="Arial" w:eastAsia="Arial" w:hAnsi="Arial"/>
          <w:sz w:val="11"/>
          <w:szCs w:val="11"/>
          <w:color w:val="auto"/>
        </w:rPr>
      </w:pPr>
      <w:r>
        <w:rPr>
          <w:rFonts w:ascii="Arial" w:cs="Arial" w:eastAsia="Arial" w:hAnsi="Arial"/>
          <w:sz w:val="11"/>
          <w:szCs w:val="11"/>
          <w:color w:val="auto"/>
        </w:rPr>
        <w:t>Credit Portfolio VaR includes the derivative CVA, hedges of the CVA and hedges of the retained loan portfolio, which are reported in principal transactions revenue. This VaR does not include the retained loan portfolio, which is not reported at fair value. In the first quarter of 2022, in line with the Firm's internal model governance, the credit risk component of CVA related to certain counterparties was removed from Credit Portfolio VaR due to the widening of the credit spreads for those counterparties to elevated levels. The related hedges were also removed to maintain consistency. This exposure is now reflected in other sensitivity-based measures.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18</w:t>
      </w:r>
    </w:p>
    <w:p>
      <w:pPr>
        <w:sectPr>
          <w:pgSz w:w="11900" w:h="16838" w:orient="portrait"/>
          <w:cols w:equalWidth="0" w:num="1">
            <w:col w:w="11240"/>
          </w:cols>
          <w:pgMar w:left="320" w:top="936"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-28575</wp:posOffset>
            </wp:positionV>
            <wp:extent cx="237426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COMMERCIAL BANKING</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ind w:left="340"/>
              <w:spacing w:after="0"/>
              <w:rPr>
                <w:sz w:val="20"/>
                <w:szCs w:val="20"/>
                <w:color w:val="auto"/>
              </w:rPr>
            </w:pPr>
            <w:r>
              <w:rPr>
                <w:rFonts w:ascii="Arial" w:cs="Arial" w:eastAsia="Arial" w:hAnsi="Arial"/>
                <w:sz w:val="11"/>
                <w:szCs w:val="11"/>
                <w:b w:val="1"/>
                <w:bCs w:val="1"/>
                <w:color w:val="auto"/>
              </w:rPr>
              <w:t>QUARTERLY TRENDS</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ind w:right="826"/>
              <w:spacing w:after="0"/>
              <w:rPr>
                <w:sz w:val="20"/>
                <w:szCs w:val="20"/>
                <w:color w:val="auto"/>
              </w:rPr>
            </w:pPr>
            <w:r>
              <w:rPr>
                <w:rFonts w:ascii="Arial" w:cs="Arial" w:eastAsia="Arial" w:hAnsi="Arial"/>
                <w:sz w:val="11"/>
                <w:szCs w:val="11"/>
                <w:b w:val="1"/>
                <w:bCs w:val="1"/>
                <w:color w:val="auto"/>
              </w:rPr>
              <w:t>FULL YEAR</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1"/>
                <w:szCs w:val="11"/>
                <w:b w:val="1"/>
                <w:bCs w:val="1"/>
                <w:color w:val="auto"/>
              </w:rPr>
              <w:t>4Q23 Change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2023 Change</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4Q23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3Q23</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2Q23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1Q23</w:t>
            </w:r>
          </w:p>
        </w:tc>
        <w:tc>
          <w:tcPr>
            <w:tcW w:w="140" w:type="dxa"/>
            <w:vAlign w:val="bottom"/>
          </w:tcPr>
          <w:p>
            <w:pPr>
              <w:spacing w:after="0"/>
              <w:rPr>
                <w:sz w:val="13"/>
                <w:szCs w:val="13"/>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4Q22</w:t>
            </w:r>
          </w:p>
        </w:tc>
        <w:tc>
          <w:tcPr>
            <w:tcW w:w="20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3Q23</w:t>
            </w:r>
          </w:p>
        </w:tc>
        <w:tc>
          <w:tcPr>
            <w:tcW w:w="98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4Q22</w:t>
            </w:r>
          </w:p>
        </w:tc>
        <w:tc>
          <w:tcPr>
            <w:tcW w:w="120" w:type="dxa"/>
            <w:vAlign w:val="bottom"/>
          </w:tcPr>
          <w:p>
            <w:pPr>
              <w:spacing w:after="0"/>
              <w:rPr>
                <w:sz w:val="13"/>
                <w:szCs w:val="13"/>
                <w:color w:val="auto"/>
              </w:rPr>
            </w:pPr>
          </w:p>
        </w:tc>
        <w:tc>
          <w:tcPr>
            <w:tcW w:w="460" w:type="dxa"/>
            <w:vAlign w:val="bottom"/>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2022</w:t>
            </w:r>
          </w:p>
        </w:tc>
        <w:tc>
          <w:tcPr>
            <w:tcW w:w="96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8"/>
        </w:trPr>
        <w:tc>
          <w:tcPr>
            <w:tcW w:w="1120" w:type="dxa"/>
            <w:vAlign w:val="bottom"/>
            <w:tcBorders>
              <w:bottom w:val="single" w:sz="8" w:color="auto"/>
            </w:tcBorders>
            <w:gridSpan w:val="2"/>
          </w:tcPr>
          <w:p>
            <w:pPr>
              <w:spacing w:after="0" w:line="108" w:lineRule="exact"/>
              <w:rPr>
                <w:sz w:val="20"/>
                <w:szCs w:val="20"/>
                <w:color w:val="auto"/>
              </w:rPr>
            </w:pPr>
            <w:r>
              <w:rPr>
                <w:rFonts w:ascii="Arial" w:cs="Arial" w:eastAsia="Arial" w:hAnsi="Arial"/>
                <w:sz w:val="11"/>
                <w:szCs w:val="11"/>
                <w:b w:val="1"/>
                <w:bCs w:val="1"/>
                <w:color w:val="auto"/>
                <w:w w:val="96"/>
              </w:rPr>
              <w:t>INCOME STATEMENT</w:t>
            </w:r>
          </w:p>
        </w:tc>
        <w:tc>
          <w:tcPr>
            <w:tcW w:w="1060" w:type="dxa"/>
            <w:vAlign w:val="bottom"/>
            <w:gridSpan w:val="3"/>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180" w:type="dxa"/>
            <w:vAlign w:val="bottom"/>
            <w:gridSpan w:val="5"/>
          </w:tcPr>
          <w:p>
            <w:pPr>
              <w:spacing w:after="0"/>
              <w:rPr>
                <w:sz w:val="20"/>
                <w:szCs w:val="20"/>
                <w:color w:val="auto"/>
              </w:rPr>
            </w:pPr>
            <w:r>
              <w:rPr>
                <w:rFonts w:ascii="Arial" w:cs="Arial" w:eastAsia="Arial" w:hAnsi="Arial"/>
                <w:sz w:val="11"/>
                <w:szCs w:val="11"/>
                <w:b w:val="1"/>
                <w:bCs w:val="1"/>
                <w:color w:val="auto"/>
              </w:rPr>
              <w:t>REVENUE</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80" w:type="dxa"/>
            <w:vAlign w:val="bottom"/>
            <w:gridSpan w:val="5"/>
          </w:tcPr>
          <w:p>
            <w:pPr>
              <w:spacing w:after="0"/>
              <w:rPr>
                <w:sz w:val="20"/>
                <w:szCs w:val="20"/>
                <w:color w:val="auto"/>
              </w:rPr>
            </w:pPr>
            <w:r>
              <w:rPr>
                <w:rFonts w:ascii="Arial" w:cs="Arial" w:eastAsia="Arial" w:hAnsi="Arial"/>
                <w:sz w:val="11"/>
                <w:szCs w:val="11"/>
                <w:color w:val="auto"/>
              </w:rPr>
              <w:t>Lending- and deposit-related fees</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324</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410</w:t>
            </w:r>
          </w:p>
        </w:tc>
        <w:tc>
          <w:tcPr>
            <w:tcW w:w="30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249</w:t>
            </w:r>
          </w:p>
        </w:tc>
        <w:tc>
          <w:tcPr>
            <w:tcW w:w="24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227</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243</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(21)%</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33 %</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1,210</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1,243</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2"/>
        </w:trPr>
        <w:tc>
          <w:tcPr>
            <w:tcW w:w="2180" w:type="dxa"/>
            <w:vAlign w:val="bottom"/>
            <w:gridSpan w:val="5"/>
          </w:tcPr>
          <w:p>
            <w:pPr>
              <w:spacing w:after="0"/>
              <w:rPr>
                <w:sz w:val="20"/>
                <w:szCs w:val="20"/>
                <w:color w:val="auto"/>
              </w:rPr>
            </w:pPr>
            <w:r>
              <w:rPr>
                <w:rFonts w:ascii="Arial" w:cs="Arial" w:eastAsia="Arial" w:hAnsi="Arial"/>
                <w:sz w:val="11"/>
                <w:szCs w:val="11"/>
                <w:color w:val="auto"/>
              </w:rPr>
              <w:t>Card income</w:t>
            </w: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191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198</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201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173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171</w:t>
            </w:r>
          </w:p>
        </w:tc>
        <w:tc>
          <w:tcPr>
            <w:tcW w:w="74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763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685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75"/>
        </w:trPr>
        <w:tc>
          <w:tcPr>
            <w:tcW w:w="2180" w:type="dxa"/>
            <w:vAlign w:val="bottom"/>
            <w:gridSpan w:val="5"/>
          </w:tcPr>
          <w:p>
            <w:pPr>
              <w:spacing w:after="0"/>
              <w:rPr>
                <w:sz w:val="20"/>
                <w:szCs w:val="20"/>
                <w:color w:val="auto"/>
              </w:rPr>
            </w:pPr>
            <w:r>
              <w:rPr>
                <w:rFonts w:ascii="Arial" w:cs="Arial" w:eastAsia="Arial" w:hAnsi="Arial"/>
                <w:sz w:val="11"/>
                <w:szCs w:val="11"/>
                <w:color w:val="auto"/>
              </w:rPr>
              <w:t>All other income</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391</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364</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385</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381</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315</w:t>
            </w: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5"/>
                <w:szCs w:val="15"/>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24</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1,521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1,408</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8"/>
        </w:trPr>
        <w:tc>
          <w:tcPr>
            <w:tcW w:w="2180" w:type="dxa"/>
            <w:vAlign w:val="bottom"/>
            <w:gridSpan w:val="5"/>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4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906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972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835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781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729</w:t>
            </w:r>
          </w:p>
        </w:tc>
        <w:tc>
          <w:tcPr>
            <w:tcW w:w="74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24</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3,494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3,336</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9"/>
        </w:trPr>
        <w:tc>
          <w:tcPr>
            <w:tcW w:w="2180" w:type="dxa"/>
            <w:vAlign w:val="bottom"/>
            <w:gridSpan w:val="5"/>
          </w:tcPr>
          <w:p>
            <w:pPr>
              <w:spacing w:after="0"/>
              <w:rPr>
                <w:sz w:val="20"/>
                <w:szCs w:val="20"/>
                <w:color w:val="auto"/>
              </w:rPr>
            </w:pPr>
            <w:r>
              <w:rPr>
                <w:rFonts w:ascii="Arial" w:cs="Arial" w:eastAsia="Arial" w:hAnsi="Arial"/>
                <w:sz w:val="11"/>
                <w:szCs w:val="11"/>
                <w:color w:val="auto"/>
              </w:rPr>
              <w:t>Net interest income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3,110</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3,059</w:t>
            </w:r>
          </w:p>
        </w:tc>
        <w:tc>
          <w:tcPr>
            <w:tcW w:w="30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3,153</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2,730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2,675</w:t>
            </w: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12,052</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8,197</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48"/>
        </w:trPr>
        <w:tc>
          <w:tcPr>
            <w:tcW w:w="218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 (a)</w:t>
            </w:r>
          </w:p>
        </w:tc>
        <w:tc>
          <w:tcPr>
            <w:tcW w:w="14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4,016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4,031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3,988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3,511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3,404</w:t>
            </w:r>
          </w:p>
        </w:tc>
        <w:tc>
          <w:tcPr>
            <w:tcW w:w="20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15,546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11,533</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318"/>
        </w:trPr>
        <w:tc>
          <w:tcPr>
            <w:tcW w:w="2180" w:type="dxa"/>
            <w:vAlign w:val="bottom"/>
            <w:gridSpan w:val="5"/>
          </w:tcPr>
          <w:p>
            <w:pPr>
              <w:spacing w:after="0"/>
              <w:rPr>
                <w:sz w:val="20"/>
                <w:szCs w:val="20"/>
                <w:color w:val="auto"/>
              </w:rPr>
            </w:pPr>
            <w:r>
              <w:rPr>
                <w:rFonts w:ascii="Arial" w:cs="Arial" w:eastAsia="Arial" w:hAnsi="Arial"/>
                <w:sz w:val="11"/>
                <w:szCs w:val="11"/>
                <w:color w:val="auto"/>
              </w:rPr>
              <w:t>Provision for credit losses</w:t>
            </w:r>
          </w:p>
        </w:tc>
        <w:tc>
          <w:tcPr>
            <w:tcW w:w="14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366</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spacing w:after="0"/>
              <w:rPr>
                <w:sz w:val="24"/>
                <w:szCs w:val="2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90</w:t>
            </w:r>
          </w:p>
        </w:tc>
        <w:tc>
          <w:tcPr>
            <w:tcW w:w="30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spacing w:after="0"/>
              <w:rPr>
                <w:sz w:val="24"/>
                <w:szCs w:val="2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1,097</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417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284</w:t>
            </w: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307</w:t>
            </w:r>
          </w:p>
        </w:tc>
        <w:tc>
          <w:tcPr>
            <w:tcW w:w="20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1,970</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1,268</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330"/>
        </w:trPr>
        <w:tc>
          <w:tcPr>
            <w:tcW w:w="2180" w:type="dxa"/>
            <w:vAlign w:val="bottom"/>
            <w:gridSpan w:val="5"/>
          </w:tcPr>
          <w:p>
            <w:pPr>
              <w:spacing w:after="0"/>
              <w:rPr>
                <w:sz w:val="20"/>
                <w:szCs w:val="20"/>
                <w:color w:val="auto"/>
              </w:rPr>
            </w:pPr>
            <w:r>
              <w:rPr>
                <w:rFonts w:ascii="Arial" w:cs="Arial" w:eastAsia="Arial" w:hAnsi="Arial"/>
                <w:sz w:val="11"/>
                <w:szCs w:val="11"/>
                <w:b w:val="1"/>
                <w:bCs w:val="1"/>
                <w:color w:val="auto"/>
              </w:rPr>
              <w:t>NONINTEREST EXPENSE</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180" w:type="dxa"/>
            <w:vAlign w:val="bottom"/>
            <w:gridSpan w:val="5"/>
          </w:tcPr>
          <w:p>
            <w:pPr>
              <w:spacing w:after="0"/>
              <w:rPr>
                <w:sz w:val="20"/>
                <w:szCs w:val="20"/>
                <w:color w:val="auto"/>
              </w:rPr>
            </w:pPr>
            <w:r>
              <w:rPr>
                <w:rFonts w:ascii="Arial" w:cs="Arial" w:eastAsia="Arial" w:hAnsi="Arial"/>
                <w:sz w:val="11"/>
                <w:szCs w:val="11"/>
                <w:color w:val="auto"/>
              </w:rPr>
              <w:t>Compensation expense</w:t>
            </w:r>
          </w:p>
        </w:tc>
        <w:tc>
          <w:tcPr>
            <w:tcW w:w="140" w:type="dxa"/>
            <w:vAlign w:val="bottom"/>
          </w:tcPr>
          <w:p>
            <w:pPr>
              <w:spacing w:after="0"/>
              <w:rPr>
                <w:sz w:val="13"/>
                <w:szCs w:val="1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733</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730</w:t>
            </w:r>
          </w:p>
        </w:tc>
        <w:tc>
          <w:tcPr>
            <w:tcW w:w="30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spacing w:after="0"/>
              <w:rPr>
                <w:sz w:val="13"/>
                <w:szCs w:val="13"/>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656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641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607</w:t>
            </w:r>
          </w:p>
        </w:tc>
        <w:tc>
          <w:tcPr>
            <w:tcW w:w="20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2,760</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2,296</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75"/>
        </w:trPr>
        <w:tc>
          <w:tcPr>
            <w:tcW w:w="2180" w:type="dxa"/>
            <w:vAlign w:val="bottom"/>
            <w:gridSpan w:val="5"/>
          </w:tcPr>
          <w:p>
            <w:pPr>
              <w:spacing w:after="0"/>
              <w:rPr>
                <w:sz w:val="20"/>
                <w:szCs w:val="20"/>
                <w:color w:val="auto"/>
              </w:rPr>
            </w:pPr>
            <w:r>
              <w:rPr>
                <w:rFonts w:ascii="Arial" w:cs="Arial" w:eastAsia="Arial" w:hAnsi="Arial"/>
                <w:sz w:val="11"/>
                <w:szCs w:val="11"/>
                <w:color w:val="auto"/>
              </w:rPr>
              <w:t>Noncompensation expense</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662</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645</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644</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667</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647</w:t>
            </w: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5"/>
                <w:szCs w:val="15"/>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2,618</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2,423</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8"/>
        </w:trPr>
        <w:tc>
          <w:tcPr>
            <w:tcW w:w="218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4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1,395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1,375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1,300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1,308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1,254</w:t>
            </w: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5,378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4,719</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324"/>
        </w:trPr>
        <w:tc>
          <w:tcPr>
            <w:tcW w:w="2180" w:type="dxa"/>
            <w:vAlign w:val="bottom"/>
            <w:gridSpan w:val="5"/>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14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2,255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2,566</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1,591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1,786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1,866</w:t>
            </w:r>
          </w:p>
        </w:tc>
        <w:tc>
          <w:tcPr>
            <w:tcW w:w="740" w:type="dxa"/>
            <w:vAlign w:val="bottom"/>
            <w:gridSpan w:val="2"/>
          </w:tcPr>
          <w:p>
            <w:pPr>
              <w:jc w:val="right"/>
              <w:ind w:right="66"/>
              <w:spacing w:after="0"/>
              <w:rPr>
                <w:sz w:val="20"/>
                <w:szCs w:val="20"/>
                <w:color w:val="auto"/>
              </w:rPr>
            </w:pPr>
            <w:r>
              <w:rPr>
                <w:rFonts w:ascii="Arial" w:cs="Arial" w:eastAsia="Arial" w:hAnsi="Arial"/>
                <w:sz w:val="11"/>
                <w:szCs w:val="11"/>
                <w:color w:val="auto"/>
              </w:rPr>
              <w:t>(12)</w:t>
            </w:r>
          </w:p>
        </w:tc>
        <w:tc>
          <w:tcPr>
            <w:tcW w:w="20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21</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8,198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5,546</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69"/>
        </w:trPr>
        <w:tc>
          <w:tcPr>
            <w:tcW w:w="2180" w:type="dxa"/>
            <w:vAlign w:val="bottom"/>
            <w:gridSpan w:val="5"/>
          </w:tcPr>
          <w:p>
            <w:pPr>
              <w:spacing w:after="0"/>
              <w:rPr>
                <w:sz w:val="20"/>
                <w:szCs w:val="20"/>
                <w:color w:val="auto"/>
              </w:rPr>
            </w:pPr>
            <w:r>
              <w:rPr>
                <w:rFonts w:ascii="Arial" w:cs="Arial" w:eastAsia="Arial" w:hAnsi="Arial"/>
                <w:sz w:val="11"/>
                <w:szCs w:val="11"/>
                <w:color w:val="auto"/>
              </w:rPr>
              <w:t>Income tax expense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602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631</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383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439</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443</w:t>
            </w:r>
          </w:p>
        </w:tc>
        <w:tc>
          <w:tcPr>
            <w:tcW w:w="74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36</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2,055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1,333</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69"/>
        </w:trPr>
        <w:tc>
          <w:tcPr>
            <w:tcW w:w="2180" w:type="dxa"/>
            <w:vAlign w:val="bottom"/>
            <w:gridSpan w:val="5"/>
          </w:tcPr>
          <w:p>
            <w:pPr>
              <w:ind w:left="120"/>
              <w:spacing w:after="0"/>
              <w:rPr>
                <w:sz w:val="20"/>
                <w:szCs w:val="20"/>
                <w:color w:val="auto"/>
              </w:rPr>
            </w:pPr>
            <w:r>
              <w:rPr>
                <w:rFonts w:ascii="Arial" w:cs="Arial" w:eastAsia="Arial" w:hAnsi="Arial"/>
                <w:sz w:val="11"/>
                <w:szCs w:val="11"/>
                <w:b w:val="1"/>
                <w:bCs w:val="1"/>
                <w:color w:val="auto"/>
              </w:rPr>
              <w:t>NET INCOME</w:t>
            </w: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1,653</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1,935</w:t>
            </w:r>
          </w:p>
        </w:tc>
        <w:tc>
          <w:tcPr>
            <w:tcW w:w="3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1,208</w:t>
            </w: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1,347</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1,423</w:t>
            </w:r>
          </w:p>
        </w:tc>
        <w:tc>
          <w:tcPr>
            <w:tcW w:w="740" w:type="dxa"/>
            <w:vAlign w:val="bottom"/>
            <w:gridSpan w:val="2"/>
          </w:tcPr>
          <w:p>
            <w:pPr>
              <w:jc w:val="right"/>
              <w:ind w:right="66"/>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16</w:t>
            </w:r>
          </w:p>
        </w:tc>
        <w:tc>
          <w:tcPr>
            <w:tcW w:w="4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6,143</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4,213</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270"/>
        </w:trPr>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7"/>
              </w:rPr>
              <w:t>REVENUE BY PRODUCT</w:t>
            </w:r>
          </w:p>
        </w:tc>
        <w:tc>
          <w:tcPr>
            <w:tcW w:w="90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180" w:type="dxa"/>
            <w:vAlign w:val="bottom"/>
            <w:gridSpan w:val="5"/>
          </w:tcPr>
          <w:p>
            <w:pPr>
              <w:spacing w:after="0"/>
              <w:rPr>
                <w:sz w:val="20"/>
                <w:szCs w:val="20"/>
                <w:color w:val="auto"/>
              </w:rPr>
            </w:pPr>
            <w:r>
              <w:rPr>
                <w:rFonts w:ascii="Arial" w:cs="Arial" w:eastAsia="Arial" w:hAnsi="Arial"/>
                <w:sz w:val="11"/>
                <w:szCs w:val="11"/>
                <w:color w:val="auto"/>
              </w:rPr>
              <w:t>Lending</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1,629</w:t>
            </w:r>
          </w:p>
        </w:tc>
        <w:tc>
          <w:tcPr>
            <w:tcW w:w="22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1,662</w:t>
            </w:r>
          </w:p>
        </w:tc>
        <w:tc>
          <w:tcPr>
            <w:tcW w:w="30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1,480</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1,222</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1,185</w:t>
            </w:r>
          </w:p>
        </w:tc>
        <w:tc>
          <w:tcPr>
            <w:tcW w:w="7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37</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5,993</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4,524</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62"/>
        </w:trPr>
        <w:tc>
          <w:tcPr>
            <w:tcW w:w="2180" w:type="dxa"/>
            <w:vAlign w:val="bottom"/>
            <w:gridSpan w:val="5"/>
          </w:tcPr>
          <w:p>
            <w:pPr>
              <w:spacing w:after="0"/>
              <w:rPr>
                <w:sz w:val="20"/>
                <w:szCs w:val="20"/>
                <w:color w:val="auto"/>
              </w:rPr>
            </w:pPr>
            <w:r>
              <w:rPr>
                <w:rFonts w:ascii="Arial" w:cs="Arial" w:eastAsia="Arial" w:hAnsi="Arial"/>
                <w:sz w:val="11"/>
                <w:szCs w:val="11"/>
                <w:color w:val="auto"/>
              </w:rPr>
              <w:t>Payments (b)</w:t>
            </w: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2,045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2,045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2,188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1,972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1,937</w:t>
            </w:r>
          </w:p>
        </w:tc>
        <w:tc>
          <w:tcPr>
            <w:tcW w:w="20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8,250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5,691</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62"/>
        </w:trPr>
        <w:tc>
          <w:tcPr>
            <w:tcW w:w="2180" w:type="dxa"/>
            <w:vAlign w:val="bottom"/>
            <w:gridSpan w:val="5"/>
          </w:tcPr>
          <w:p>
            <w:pPr>
              <w:spacing w:after="0"/>
              <w:rPr>
                <w:sz w:val="20"/>
                <w:szCs w:val="20"/>
                <w:color w:val="auto"/>
              </w:rPr>
            </w:pPr>
            <w:r>
              <w:rPr>
                <w:rFonts w:ascii="Arial" w:cs="Arial" w:eastAsia="Arial" w:hAnsi="Arial"/>
                <w:sz w:val="11"/>
                <w:szCs w:val="11"/>
                <w:color w:val="auto"/>
              </w:rPr>
              <w:t>Investment banking (b)(c)</w:t>
            </w: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298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290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273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306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248</w:t>
            </w: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1,167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1,064</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75"/>
        </w:trPr>
        <w:tc>
          <w:tcPr>
            <w:tcW w:w="2180" w:type="dxa"/>
            <w:vAlign w:val="bottom"/>
            <w:gridSpan w:val="5"/>
          </w:tcPr>
          <w:p>
            <w:pPr>
              <w:spacing w:after="0"/>
              <w:rPr>
                <w:sz w:val="20"/>
                <w:szCs w:val="20"/>
                <w:color w:val="auto"/>
              </w:rPr>
            </w:pPr>
            <w:r>
              <w:rPr>
                <w:rFonts w:ascii="Arial" w:cs="Arial" w:eastAsia="Arial" w:hAnsi="Arial"/>
                <w:sz w:val="11"/>
                <w:szCs w:val="11"/>
                <w:color w:val="auto"/>
              </w:rPr>
              <w:t>Other</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44</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34</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47</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34</w:t>
            </w: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5"/>
                <w:szCs w:val="15"/>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254</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69"/>
        </w:trPr>
        <w:tc>
          <w:tcPr>
            <w:tcW w:w="218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 (a)</w:t>
            </w: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4,016</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4,031</w:t>
            </w:r>
          </w:p>
        </w:tc>
        <w:tc>
          <w:tcPr>
            <w:tcW w:w="3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3,988</w:t>
            </w: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3,511</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3,404</w:t>
            </w:r>
          </w:p>
        </w:tc>
        <w:tc>
          <w:tcPr>
            <w:tcW w:w="20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4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15,546</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11,533</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257"/>
        </w:trPr>
        <w:tc>
          <w:tcPr>
            <w:tcW w:w="2180" w:type="dxa"/>
            <w:vAlign w:val="bottom"/>
            <w:gridSpan w:val="5"/>
          </w:tcPr>
          <w:p>
            <w:pPr>
              <w:spacing w:after="0"/>
              <w:rPr>
                <w:sz w:val="20"/>
                <w:szCs w:val="20"/>
                <w:color w:val="auto"/>
              </w:rPr>
            </w:pPr>
            <w:r>
              <w:rPr>
                <w:rFonts w:ascii="Arial" w:cs="Arial" w:eastAsia="Arial" w:hAnsi="Arial"/>
                <w:sz w:val="11"/>
                <w:szCs w:val="11"/>
                <w:color w:val="auto"/>
              </w:rPr>
              <w:t>Investment Banking and Markets revenue,</w:t>
            </w: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924</w:t>
            </w:r>
          </w:p>
        </w:tc>
        <w:tc>
          <w:tcPr>
            <w:tcW w:w="220" w:type="dxa"/>
            <w:vAlign w:val="bottom"/>
          </w:tcPr>
          <w:p>
            <w:pPr>
              <w:spacing w:after="0"/>
              <w:rPr>
                <w:sz w:val="22"/>
                <w:szCs w:val="22"/>
                <w:color w:val="auto"/>
              </w:rPr>
            </w:pP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86"/>
              <w:spacing w:after="0"/>
              <w:rPr>
                <w:sz w:val="20"/>
                <w:szCs w:val="20"/>
                <w:color w:val="auto"/>
              </w:rPr>
            </w:pPr>
            <w:r>
              <w:rPr>
                <w:rFonts w:ascii="Arial" w:cs="Arial" w:eastAsia="Arial" w:hAnsi="Arial"/>
                <w:sz w:val="11"/>
                <w:szCs w:val="11"/>
                <w:color w:val="auto"/>
              </w:rPr>
              <w:t>821</w:t>
            </w:r>
          </w:p>
        </w:tc>
        <w:tc>
          <w:tcPr>
            <w:tcW w:w="300" w:type="dxa"/>
            <w:vAlign w:val="bottom"/>
          </w:tcPr>
          <w:p>
            <w:pPr>
              <w:spacing w:after="0"/>
              <w:rPr>
                <w:sz w:val="22"/>
                <w:szCs w:val="22"/>
                <w:color w:val="auto"/>
              </w:rPr>
            </w:pP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86"/>
              <w:spacing w:after="0"/>
              <w:rPr>
                <w:sz w:val="20"/>
                <w:szCs w:val="20"/>
                <w:color w:val="auto"/>
              </w:rPr>
            </w:pPr>
            <w:r>
              <w:rPr>
                <w:rFonts w:ascii="Arial" w:cs="Arial" w:eastAsia="Arial" w:hAnsi="Arial"/>
                <w:sz w:val="11"/>
                <w:szCs w:val="11"/>
                <w:color w:val="auto"/>
              </w:rPr>
              <w:t>767</w:t>
            </w:r>
          </w:p>
        </w:tc>
        <w:tc>
          <w:tcPr>
            <w:tcW w:w="240" w:type="dxa"/>
            <w:vAlign w:val="bottom"/>
          </w:tcPr>
          <w:p>
            <w:pPr>
              <w:spacing w:after="0"/>
              <w:rPr>
                <w:sz w:val="22"/>
                <w:szCs w:val="22"/>
                <w:color w:val="auto"/>
              </w:rPr>
            </w:pP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881</w:t>
            </w:r>
          </w:p>
        </w:tc>
        <w:tc>
          <w:tcPr>
            <w:tcW w:w="200" w:type="dxa"/>
            <w:vAlign w:val="bottom"/>
          </w:tcPr>
          <w:p>
            <w:pPr>
              <w:spacing w:after="0"/>
              <w:rPr>
                <w:sz w:val="22"/>
                <w:szCs w:val="22"/>
                <w:color w:val="auto"/>
              </w:rPr>
            </w:pP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106"/>
              <w:spacing w:after="0"/>
              <w:rPr>
                <w:sz w:val="20"/>
                <w:szCs w:val="20"/>
                <w:color w:val="auto"/>
              </w:rPr>
            </w:pPr>
            <w:r>
              <w:rPr>
                <w:rFonts w:ascii="Arial" w:cs="Arial" w:eastAsia="Arial" w:hAnsi="Arial"/>
                <w:sz w:val="11"/>
                <w:szCs w:val="11"/>
                <w:color w:val="auto"/>
              </w:rPr>
              <w:t>700</w:t>
            </w:r>
          </w:p>
        </w:tc>
        <w:tc>
          <w:tcPr>
            <w:tcW w:w="74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22"/>
                <w:szCs w:val="22"/>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32</w:t>
            </w:r>
          </w:p>
        </w:tc>
        <w:tc>
          <w:tcPr>
            <w:tcW w:w="400" w:type="dxa"/>
            <w:vAlign w:val="bottom"/>
          </w:tcPr>
          <w:p>
            <w:pPr>
              <w:spacing w:after="0"/>
              <w:rPr>
                <w:sz w:val="22"/>
                <w:szCs w:val="22"/>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3,393</w:t>
            </w:r>
          </w:p>
        </w:tc>
        <w:tc>
          <w:tcPr>
            <w:tcW w:w="240" w:type="dxa"/>
            <w:vAlign w:val="bottom"/>
          </w:tcPr>
          <w:p>
            <w:pPr>
              <w:spacing w:after="0"/>
              <w:rPr>
                <w:sz w:val="22"/>
                <w:szCs w:val="22"/>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2,978</w:t>
            </w:r>
          </w:p>
        </w:tc>
        <w:tc>
          <w:tcPr>
            <w:tcW w:w="96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2"/>
        </w:trPr>
        <w:tc>
          <w:tcPr>
            <w:tcW w:w="2180" w:type="dxa"/>
            <w:vAlign w:val="bottom"/>
            <w:gridSpan w:val="5"/>
          </w:tcPr>
          <w:p>
            <w:pPr>
              <w:spacing w:after="0"/>
              <w:rPr>
                <w:sz w:val="20"/>
                <w:szCs w:val="20"/>
                <w:color w:val="auto"/>
              </w:rPr>
            </w:pPr>
            <w:r>
              <w:rPr>
                <w:rFonts w:ascii="Arial" w:cs="Arial" w:eastAsia="Arial" w:hAnsi="Arial"/>
                <w:sz w:val="11"/>
                <w:szCs w:val="11"/>
                <w:color w:val="auto"/>
              </w:rPr>
              <w:t>gross (d)</w:t>
            </w: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7"/>
              </w:rPr>
              <w:t>REVENUE BY CLIENT SEGMENT</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180" w:type="dxa"/>
            <w:vAlign w:val="bottom"/>
            <w:gridSpan w:val="5"/>
          </w:tcPr>
          <w:p>
            <w:pPr>
              <w:spacing w:after="0"/>
              <w:rPr>
                <w:sz w:val="20"/>
                <w:szCs w:val="20"/>
                <w:color w:val="auto"/>
              </w:rPr>
            </w:pPr>
            <w:r>
              <w:rPr>
                <w:rFonts w:ascii="Arial" w:cs="Arial" w:eastAsia="Arial" w:hAnsi="Arial"/>
                <w:sz w:val="11"/>
                <w:szCs w:val="11"/>
                <w:color w:val="auto"/>
              </w:rPr>
              <w:t>Middle Market Banking</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1,898</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1,876</w:t>
            </w:r>
          </w:p>
        </w:tc>
        <w:tc>
          <w:tcPr>
            <w:tcW w:w="300" w:type="dxa"/>
            <w:vAlign w:val="bottom"/>
          </w:tcPr>
          <w:p>
            <w:pPr>
              <w:ind w:left="20"/>
              <w:spacing w:after="0"/>
              <w:rPr>
                <w:sz w:val="20"/>
                <w:szCs w:val="20"/>
                <w:color w:val="auto"/>
              </w:rPr>
            </w:pPr>
            <w:r>
              <w:rPr>
                <w:rFonts w:ascii="Arial" w:cs="Arial" w:eastAsia="Arial" w:hAnsi="Arial"/>
                <w:sz w:val="11"/>
                <w:szCs w:val="11"/>
                <w:color w:val="auto"/>
              </w:rPr>
              <w:t>(f)</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1,916</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1,681</w:t>
            </w:r>
          </w:p>
        </w:tc>
        <w:tc>
          <w:tcPr>
            <w:tcW w:w="2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1,619</w:t>
            </w: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7,371</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5,134</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62"/>
        </w:trPr>
        <w:tc>
          <w:tcPr>
            <w:tcW w:w="2180" w:type="dxa"/>
            <w:vAlign w:val="bottom"/>
            <w:gridSpan w:val="5"/>
          </w:tcPr>
          <w:p>
            <w:pPr>
              <w:spacing w:after="0"/>
              <w:rPr>
                <w:sz w:val="20"/>
                <w:szCs w:val="20"/>
                <w:color w:val="auto"/>
              </w:rPr>
            </w:pPr>
            <w:r>
              <w:rPr>
                <w:rFonts w:ascii="Arial" w:cs="Arial" w:eastAsia="Arial" w:hAnsi="Arial"/>
                <w:sz w:val="11"/>
                <w:szCs w:val="11"/>
                <w:color w:val="auto"/>
              </w:rPr>
              <w:t>Corporate Client Banking</w:t>
            </w: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1,164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1,208</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1,229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1,176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1,109</w:t>
            </w:r>
          </w:p>
        </w:tc>
        <w:tc>
          <w:tcPr>
            <w:tcW w:w="74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4,777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3,918</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62"/>
        </w:trPr>
        <w:tc>
          <w:tcPr>
            <w:tcW w:w="2180" w:type="dxa"/>
            <w:vAlign w:val="bottom"/>
            <w:gridSpan w:val="5"/>
          </w:tcPr>
          <w:p>
            <w:pPr>
              <w:spacing w:after="0"/>
              <w:rPr>
                <w:sz w:val="20"/>
                <w:szCs w:val="20"/>
                <w:color w:val="auto"/>
              </w:rPr>
            </w:pPr>
            <w:r>
              <w:rPr>
                <w:rFonts w:ascii="Arial" w:cs="Arial" w:eastAsia="Arial" w:hAnsi="Arial"/>
                <w:sz w:val="11"/>
                <w:szCs w:val="11"/>
                <w:color w:val="auto"/>
              </w:rPr>
              <w:t>Commercial Real Estate Banking</w:t>
            </w: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939</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921</w:t>
            </w:r>
          </w:p>
        </w:tc>
        <w:tc>
          <w:tcPr>
            <w:tcW w:w="300" w:type="dxa"/>
            <w:vAlign w:val="bottom"/>
          </w:tcPr>
          <w:p>
            <w:pPr>
              <w:ind w:left="20"/>
              <w:spacing w:after="0"/>
              <w:rPr>
                <w:sz w:val="20"/>
                <w:szCs w:val="20"/>
                <w:color w:val="auto"/>
              </w:rPr>
            </w:pPr>
            <w:r>
              <w:rPr>
                <w:rFonts w:ascii="Arial" w:cs="Arial" w:eastAsia="Arial" w:hAnsi="Arial"/>
                <w:sz w:val="11"/>
                <w:szCs w:val="11"/>
                <w:color w:val="auto"/>
              </w:rPr>
              <w:t>(f)</w:t>
            </w: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806</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642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666</w:t>
            </w: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3,308</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2,461</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75"/>
        </w:trPr>
        <w:tc>
          <w:tcPr>
            <w:tcW w:w="2180" w:type="dxa"/>
            <w:vAlign w:val="bottom"/>
            <w:gridSpan w:val="5"/>
          </w:tcPr>
          <w:p>
            <w:pPr>
              <w:spacing w:after="0"/>
              <w:rPr>
                <w:sz w:val="20"/>
                <w:szCs w:val="20"/>
                <w:color w:val="auto"/>
              </w:rPr>
            </w:pPr>
            <w:r>
              <w:rPr>
                <w:rFonts w:ascii="Arial" w:cs="Arial" w:eastAsia="Arial" w:hAnsi="Arial"/>
                <w:sz w:val="11"/>
                <w:szCs w:val="11"/>
                <w:color w:val="auto"/>
              </w:rPr>
              <w:t>Other</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26</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37</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12</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10</w:t>
            </w:r>
          </w:p>
        </w:tc>
        <w:tc>
          <w:tcPr>
            <w:tcW w:w="740" w:type="dxa"/>
            <w:vAlign w:val="bottom"/>
            <w:gridSpan w:val="2"/>
          </w:tcPr>
          <w:p>
            <w:pPr>
              <w:jc w:val="right"/>
              <w:ind w:right="66"/>
              <w:spacing w:after="0"/>
              <w:rPr>
                <w:sz w:val="20"/>
                <w:szCs w:val="20"/>
                <w:color w:val="auto"/>
              </w:rPr>
            </w:pPr>
            <w:r>
              <w:rPr>
                <w:rFonts w:ascii="Arial" w:cs="Arial" w:eastAsia="Arial" w:hAnsi="Arial"/>
                <w:sz w:val="11"/>
                <w:szCs w:val="11"/>
                <w:color w:val="auto"/>
              </w:rPr>
              <w:t>(42)</w:t>
            </w:r>
          </w:p>
        </w:tc>
        <w:tc>
          <w:tcPr>
            <w:tcW w:w="200" w:type="dxa"/>
            <w:vAlign w:val="bottom"/>
          </w:tcPr>
          <w:p>
            <w:pPr>
              <w:spacing w:after="0"/>
              <w:rPr>
                <w:sz w:val="15"/>
                <w:szCs w:val="15"/>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50</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350</w:t>
            </w:r>
          </w:p>
        </w:tc>
        <w:tc>
          <w:tcPr>
            <w:tcW w:w="0" w:type="dxa"/>
            <w:vAlign w:val="bottom"/>
          </w:tcPr>
          <w:p>
            <w:pPr>
              <w:spacing w:after="0"/>
              <w:rPr>
                <w:sz w:val="1"/>
                <w:szCs w:val="1"/>
                <w:color w:val="auto"/>
              </w:rPr>
            </w:pPr>
          </w:p>
        </w:tc>
      </w:tr>
      <w:tr>
        <w:trPr>
          <w:trHeight w:val="169"/>
        </w:trPr>
        <w:tc>
          <w:tcPr>
            <w:tcW w:w="218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 (a)</w:t>
            </w: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4,016</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4,031</w:t>
            </w:r>
          </w:p>
        </w:tc>
        <w:tc>
          <w:tcPr>
            <w:tcW w:w="3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3,988</w:t>
            </w: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3,511</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3,404</w:t>
            </w:r>
          </w:p>
        </w:tc>
        <w:tc>
          <w:tcPr>
            <w:tcW w:w="20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4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15,546</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11,533</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270"/>
        </w:trPr>
        <w:tc>
          <w:tcPr>
            <w:tcW w:w="1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FINANCIAL RATIOS</w:t>
            </w:r>
          </w:p>
        </w:tc>
        <w:tc>
          <w:tcPr>
            <w:tcW w:w="1160" w:type="dxa"/>
            <w:vAlign w:val="bottom"/>
            <w:gridSpan w:val="4"/>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180" w:type="dxa"/>
            <w:vAlign w:val="bottom"/>
            <w:gridSpan w:val="5"/>
          </w:tcPr>
          <w:p>
            <w:pPr>
              <w:spacing w:after="0"/>
              <w:rPr>
                <w:sz w:val="20"/>
                <w:szCs w:val="20"/>
                <w:color w:val="auto"/>
              </w:rPr>
            </w:pPr>
            <w:r>
              <w:rPr>
                <w:rFonts w:ascii="Arial" w:cs="Arial" w:eastAsia="Arial" w:hAnsi="Arial"/>
                <w:sz w:val="11"/>
                <w:szCs w:val="11"/>
                <w:color w:val="auto"/>
              </w:rPr>
              <w:t>ROE</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21 %</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25 %</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18 %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22 %</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16</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gridSpan w:val="5"/>
          </w:tcPr>
          <w:p>
            <w:pPr>
              <w:spacing w:after="0"/>
              <w:rPr>
                <w:sz w:val="20"/>
                <w:szCs w:val="20"/>
                <w:color w:val="auto"/>
              </w:rPr>
            </w:pPr>
            <w:r>
              <w:rPr>
                <w:rFonts w:ascii="Arial" w:cs="Arial" w:eastAsia="Arial" w:hAnsi="Arial"/>
                <w:sz w:val="11"/>
                <w:szCs w:val="11"/>
                <w:color w:val="auto"/>
              </w:rPr>
              <w:t>Overhead ratio</w:t>
            </w: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34</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color w:val="auto"/>
              </w:rPr>
              <w:t>37</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41</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3887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80" w:right="60" w:hanging="172"/>
        <w:spacing w:after="0" w:line="253" w:lineRule="auto"/>
        <w:tabs>
          <w:tab w:leader="none" w:pos="177" w:val="left"/>
        </w:tabs>
        <w:numPr>
          <w:ilvl w:val="0"/>
          <w:numId w:val="25"/>
        </w:numPr>
        <w:rPr>
          <w:rFonts w:ascii="Arial" w:cs="Arial" w:eastAsia="Arial" w:hAnsi="Arial"/>
          <w:sz w:val="11"/>
          <w:szCs w:val="11"/>
          <w:color w:val="auto"/>
        </w:rPr>
      </w:pPr>
      <w:r>
        <w:rPr>
          <w:rFonts w:ascii="Arial" w:cs="Arial" w:eastAsia="Arial" w:hAnsi="Arial"/>
          <w:sz w:val="11"/>
          <w:szCs w:val="11"/>
          <w:color w:val="auto"/>
        </w:rPr>
        <w:t>Total net revenue included tax-equivalent adjustments from income tax credits related to equity investments in designated community development entities and in entities established for rehabilitation of historic properties, as well as tax-exempt income related to municipal financing activities of $108 million, $103 million, $89 million, $82 million and $100 million for the three months ended December 31, 2023, September 30, 2023, June 30, 2023, March 31, 2023 and December 31, 2022, respectively, and $382 million and $322 million for the full year 2023 and 2022, respectively.</w:t>
      </w:r>
    </w:p>
    <w:p>
      <w:pPr>
        <w:spacing w:after="0" w:line="1" w:lineRule="exact"/>
        <w:rPr>
          <w:rFonts w:ascii="Arial" w:cs="Arial" w:eastAsia="Arial" w:hAnsi="Arial"/>
          <w:sz w:val="11"/>
          <w:szCs w:val="11"/>
          <w:color w:val="auto"/>
        </w:rPr>
      </w:pPr>
    </w:p>
    <w:p>
      <w:pPr>
        <w:ind w:left="160" w:hanging="152"/>
        <w:spacing w:after="0"/>
        <w:tabs>
          <w:tab w:leader="none" w:pos="1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In the third quarter of 2023, certain revenue from CIB Markets products was reclassified from payments to investment banking. Prior-period amounts have been revised to conform with the current presentation.</w:t>
      </w:r>
    </w:p>
    <w:p>
      <w:pPr>
        <w:spacing w:after="0" w:line="5" w:lineRule="exact"/>
        <w:rPr>
          <w:rFonts w:ascii="Arial" w:cs="Arial" w:eastAsia="Arial" w:hAnsi="Arial"/>
          <w:sz w:val="11"/>
          <w:szCs w:val="11"/>
          <w:color w:val="auto"/>
        </w:rPr>
      </w:pPr>
    </w:p>
    <w:p>
      <w:pPr>
        <w:ind w:left="160" w:hanging="152"/>
        <w:spacing w:after="0" w:line="236" w:lineRule="auto"/>
        <w:tabs>
          <w:tab w:leader="none" w:pos="1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Includes CB’s share of revenue from Investment Banking and Markets’ products sold to CB clients through the CIB which is reported in All other income.</w:t>
      </w:r>
    </w:p>
    <w:p>
      <w:pPr>
        <w:ind w:left="180" w:right="320" w:hanging="172"/>
        <w:spacing w:after="0" w:line="243" w:lineRule="auto"/>
        <w:tabs>
          <w:tab w:leader="none" w:pos="177" w:val="left"/>
        </w:tabs>
        <w:numPr>
          <w:ilvl w:val="0"/>
          <w:numId w:val="25"/>
        </w:numPr>
        <w:rPr>
          <w:rFonts w:ascii="Arial" w:cs="Arial" w:eastAsia="Arial" w:hAnsi="Arial"/>
          <w:sz w:val="11"/>
          <w:szCs w:val="11"/>
          <w:color w:val="auto"/>
        </w:rPr>
      </w:pPr>
      <w:r>
        <w:rPr>
          <w:rFonts w:ascii="Arial" w:cs="Arial" w:eastAsia="Arial" w:hAnsi="Arial"/>
          <w:sz w:val="11"/>
          <w:szCs w:val="11"/>
          <w:color w:val="auto"/>
        </w:rPr>
        <w:t>Includes gross revenues earned by the Firm that are subject to a revenue sharing arrangement between CB and the CIB for Investment Banking and Markets’ products sold to CB clients. This includes revenues related to fixed income and equity markets products. Refer to page 61 of the Firm’s 2022 Form 10-K for discussion of revenue sharing.</w:t>
      </w:r>
    </w:p>
    <w:p>
      <w:pPr>
        <w:ind w:left="160" w:hanging="152"/>
        <w:spacing w:after="0"/>
        <w:tabs>
          <w:tab w:leader="none" w:pos="1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Includes First Republic. Refer to page 30 for additional information.</w:t>
      </w:r>
    </w:p>
    <w:p>
      <w:pPr>
        <w:spacing w:after="0" w:line="5" w:lineRule="exact"/>
        <w:rPr>
          <w:rFonts w:ascii="Arial" w:cs="Arial" w:eastAsia="Arial" w:hAnsi="Arial"/>
          <w:sz w:val="11"/>
          <w:szCs w:val="11"/>
          <w:color w:val="auto"/>
        </w:rPr>
      </w:pPr>
    </w:p>
    <w:p>
      <w:pPr>
        <w:ind w:left="180" w:right="20" w:hanging="172"/>
        <w:spacing w:after="0" w:line="272" w:lineRule="auto"/>
        <w:tabs>
          <w:tab w:leader="none" w:pos="174" w:val="left"/>
        </w:tabs>
        <w:numPr>
          <w:ilvl w:val="0"/>
          <w:numId w:val="25"/>
        </w:numPr>
        <w:rPr>
          <w:rFonts w:ascii="Arial" w:cs="Arial" w:eastAsia="Arial" w:hAnsi="Arial"/>
          <w:sz w:val="11"/>
          <w:szCs w:val="11"/>
          <w:color w:val="auto"/>
        </w:rPr>
      </w:pPr>
      <w:r>
        <w:rPr>
          <w:rFonts w:ascii="Arial" w:cs="Arial" w:eastAsia="Arial" w:hAnsi="Arial"/>
          <w:sz w:val="11"/>
          <w:szCs w:val="11"/>
          <w:color w:val="auto"/>
        </w:rPr>
        <w:t>Middle Market Banking and Commercial Real Estate Banking included $75 million and $284 million, respectively, for the three months ended December 31, 2023, $93 million and $273 million, respectively, for the three months ended September 30, 2023, $48 million and $130 million, respectively, for the three months ended June 30, 2023, and $216 million and $687 million, respectively, for the full year 2023, associated with First Republic.</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19</w:t>
      </w:r>
    </w:p>
    <w:p>
      <w:pPr>
        <w:sectPr>
          <w:pgSz w:w="11900" w:h="16838" w:orient="portrait"/>
          <w:cols w:equalWidth="0" w:num="1">
            <w:col w:w="11240"/>
          </w:cols>
          <w:pgMar w:left="320" w:top="666"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-28575</wp:posOffset>
            </wp:positionV>
            <wp:extent cx="237426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COMMERCIAL BANKING</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(in millions, except employee and ratio</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5"/>
            <w:vMerge w:val="restart"/>
          </w:tcPr>
          <w:p>
            <w:pPr>
              <w:jc w:val="right"/>
              <w:spacing w:after="0"/>
              <w:rPr>
                <w:sz w:val="20"/>
                <w:szCs w:val="20"/>
                <w:color w:val="auto"/>
              </w:rPr>
            </w:pPr>
            <w:r>
              <w:rPr>
                <w:rFonts w:ascii="Arial" w:cs="Arial" w:eastAsia="Arial" w:hAnsi="Arial"/>
                <w:sz w:val="11"/>
                <w:szCs w:val="11"/>
                <w:b w:val="1"/>
                <w:bCs w:val="1"/>
                <w:color w:val="auto"/>
              </w:rPr>
              <w:t>QUARTERLY TRENDS</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gridSpan w:val="4"/>
            <w:vMerge w:val="restart"/>
          </w:tcPr>
          <w:p>
            <w:pPr>
              <w:jc w:val="right"/>
              <w:ind w:right="866"/>
              <w:spacing w:after="0"/>
              <w:rPr>
                <w:sz w:val="20"/>
                <w:szCs w:val="20"/>
                <w:color w:val="auto"/>
              </w:rPr>
            </w:pPr>
            <w:r>
              <w:rPr>
                <w:rFonts w:ascii="Arial" w:cs="Arial" w:eastAsia="Arial" w:hAnsi="Arial"/>
                <w:sz w:val="11"/>
                <w:szCs w:val="11"/>
                <w:b w:val="1"/>
                <w:bCs w:val="1"/>
                <w:color w:val="auto"/>
              </w:rPr>
              <w:t>FULL YEAR</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data)</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1"/>
                <w:szCs w:val="11"/>
                <w:b w:val="1"/>
                <w:bCs w:val="1"/>
                <w:color w:val="auto"/>
              </w:rPr>
              <w:t>4Q23 Change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4Q23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3Q23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2Q23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1Q23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4Q22</w:t>
            </w:r>
          </w:p>
        </w:tc>
        <w:tc>
          <w:tcPr>
            <w:tcW w:w="240" w:type="dxa"/>
            <w:vAlign w:val="bottom"/>
          </w:tcPr>
          <w:p>
            <w:pPr>
              <w:spacing w:after="0"/>
              <w:rPr>
                <w:sz w:val="13"/>
                <w:szCs w:val="13"/>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3Q23</w:t>
            </w: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4Q22</w:t>
            </w:r>
          </w:p>
        </w:tc>
        <w:tc>
          <w:tcPr>
            <w:tcW w:w="12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98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gridSpan w:val="5"/>
          </w:tcPr>
          <w:p>
            <w:pPr>
              <w:spacing w:after="0" w:line="108" w:lineRule="exact"/>
              <w:rPr>
                <w:sz w:val="20"/>
                <w:szCs w:val="20"/>
                <w:color w:val="auto"/>
              </w:rPr>
            </w:pPr>
            <w:r>
              <w:rPr>
                <w:rFonts w:ascii="Arial" w:cs="Arial" w:eastAsia="Arial" w:hAnsi="Arial"/>
                <w:sz w:val="11"/>
                <w:szCs w:val="11"/>
                <w:b w:val="1"/>
                <w:bCs w:val="1"/>
                <w:color w:val="auto"/>
              </w:rPr>
              <w:t>SELECTED BALANCE SHEET DATA</w:t>
            </w: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4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(period-end)</w:t>
            </w:r>
          </w:p>
        </w:tc>
        <w:tc>
          <w:tcPr>
            <w:tcW w:w="12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Total assets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300,325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300,367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305,280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261,181</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257,106</w:t>
            </w:r>
          </w:p>
        </w:tc>
        <w:tc>
          <w:tcPr>
            <w:tcW w:w="2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 %</w:t>
            </w:r>
          </w:p>
        </w:tc>
        <w:tc>
          <w:tcPr>
            <w:tcW w:w="560" w:type="dxa"/>
            <w:vAlign w:val="bottom"/>
          </w:tcPr>
          <w:p>
            <w:pPr>
              <w:jc w:val="right"/>
              <w:spacing w:after="0"/>
              <w:rPr>
                <w:sz w:val="20"/>
                <w:szCs w:val="20"/>
                <w:color w:val="auto"/>
              </w:rPr>
            </w:pPr>
            <w:r>
              <w:rPr>
                <w:rFonts w:ascii="Arial" w:cs="Arial" w:eastAsia="Arial" w:hAnsi="Arial"/>
                <w:sz w:val="11"/>
                <w:szCs w:val="11"/>
                <w:color w:val="auto"/>
              </w:rPr>
              <w:t>17 %</w:t>
            </w: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300,325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257,106</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color w:val="auto"/>
              </w:rPr>
              <w:t>Loans retained</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277,663</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281,389</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282,124</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238,752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233,879</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277,663</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233,879</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color w:val="auto"/>
              </w:rPr>
              <w:t>Loans held-for-sale and loans at fair value</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545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1,540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1,538</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707</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(40)</w:t>
            </w:r>
          </w:p>
        </w:tc>
        <w:tc>
          <w:tcPr>
            <w:tcW w:w="220" w:type="dxa"/>
            <w:vAlign w:val="bottom"/>
          </w:tcPr>
          <w:p>
            <w:pPr>
              <w:spacing w:after="0"/>
              <w:rPr>
                <w:sz w:val="15"/>
                <w:szCs w:val="15"/>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545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707</w:t>
            </w:r>
          </w:p>
        </w:tc>
        <w:tc>
          <w:tcPr>
            <w:tcW w:w="980" w:type="dxa"/>
            <w:vAlign w:val="bottom"/>
            <w:gridSpan w:val="2"/>
          </w:tcPr>
          <w:p>
            <w:pPr>
              <w:jc w:val="right"/>
              <w:ind w:right="6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gridSpan w:val="5"/>
          </w:tcPr>
          <w:p>
            <w:pPr>
              <w:ind w:left="200"/>
              <w:spacing w:after="0"/>
              <w:rPr>
                <w:sz w:val="20"/>
                <w:szCs w:val="20"/>
                <w:color w:val="auto"/>
              </w:rPr>
            </w:pPr>
            <w:r>
              <w:rPr>
                <w:rFonts w:ascii="Arial" w:cs="Arial" w:eastAsia="Arial" w:hAnsi="Arial"/>
                <w:sz w:val="11"/>
                <w:szCs w:val="11"/>
                <w:b w:val="1"/>
                <w:bCs w:val="1"/>
                <w:color w:val="auto"/>
              </w:rPr>
              <w:t>Total loans</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278,208</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282,304</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283,664</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240,290</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234,586</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4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278,208</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234,586</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30,000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30,000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30,000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28,500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25,000</w:t>
            </w:r>
          </w:p>
        </w:tc>
        <w:tc>
          <w:tcPr>
            <w:tcW w:w="2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30,000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25,000</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Period-end loans by client segment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Middle Market Banking (a)</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78,043</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78,955</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79,885</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73,329</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72,625</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78,043</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72,625</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Corporate Client Banking</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56,132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59,645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60,511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58,256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53,840</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56,132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53,840</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Commercial Real Estate Banking</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143,507</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143,413</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142,897</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108,582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107,999</w:t>
            </w:r>
          </w:p>
        </w:tc>
        <w:tc>
          <w:tcPr>
            <w:tcW w:w="2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33</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143,507</w:t>
            </w:r>
          </w:p>
        </w:tc>
        <w:tc>
          <w:tcPr>
            <w:tcW w:w="2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107,999</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Other</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526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371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122</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81</w:t>
            </w:r>
          </w:p>
        </w:tc>
        <w:tc>
          <w:tcPr>
            <w:tcW w:w="220" w:type="dxa"/>
            <w:vAlign w:val="bottom"/>
          </w:tcPr>
          <w:p>
            <w:pPr>
              <w:spacing w:after="0"/>
              <w:rPr>
                <w:sz w:val="15"/>
                <w:szCs w:val="15"/>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331</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526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331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loans (a)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278,208</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282,304</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283,664</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240,290</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234,586</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4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278,208</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234,586</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SELECTED BALANCE SHEET DATA</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4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(average)</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Total assets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302,429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301,964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290,875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255,468</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253,007</w:t>
            </w:r>
          </w:p>
        </w:tc>
        <w:tc>
          <w:tcPr>
            <w:tcW w:w="2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287,851</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243,108</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color w:val="auto"/>
              </w:rPr>
              <w:t>Loans retained</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280,009</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281,602</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270,091</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236,808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234,654</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267,285</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222,388</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color w:val="auto"/>
              </w:rPr>
              <w:t>Loans held-for-sale and loans at fair value</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977</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1,378</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726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673</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(29)</w:t>
            </w:r>
          </w:p>
        </w:tc>
        <w:tc>
          <w:tcPr>
            <w:tcW w:w="220" w:type="dxa"/>
            <w:vAlign w:val="bottom"/>
          </w:tcPr>
          <w:p>
            <w:pPr>
              <w:spacing w:after="0"/>
              <w:rPr>
                <w:sz w:val="15"/>
                <w:szCs w:val="15"/>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45</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1,060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1,350</w:t>
            </w:r>
          </w:p>
        </w:tc>
        <w:tc>
          <w:tcPr>
            <w:tcW w:w="980" w:type="dxa"/>
            <w:vAlign w:val="bottom"/>
            <w:gridSpan w:val="2"/>
          </w:tcPr>
          <w:p>
            <w:pPr>
              <w:jc w:val="right"/>
              <w:ind w:right="6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gridSpan w:val="5"/>
          </w:tcPr>
          <w:p>
            <w:pPr>
              <w:ind w:left="200"/>
              <w:spacing w:after="0"/>
              <w:rPr>
                <w:sz w:val="20"/>
                <w:szCs w:val="20"/>
                <w:color w:val="auto"/>
              </w:rPr>
            </w:pPr>
            <w:r>
              <w:rPr>
                <w:rFonts w:ascii="Arial" w:cs="Arial" w:eastAsia="Arial" w:hAnsi="Arial"/>
                <w:sz w:val="11"/>
                <w:szCs w:val="11"/>
                <w:b w:val="1"/>
                <w:bCs w:val="1"/>
                <w:color w:val="auto"/>
              </w:rPr>
              <w:t>Total loans</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280,986</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282,980</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270,817</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237,963</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235,327</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4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268,345</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223,738</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Deposits</w:t>
            </w: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267,788</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262,148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275,196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265,943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278,876</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267,758</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294,180</w:t>
            </w:r>
          </w:p>
        </w:tc>
        <w:tc>
          <w:tcPr>
            <w:tcW w:w="980" w:type="dxa"/>
            <w:vAlign w:val="bottom"/>
            <w:gridSpan w:val="2"/>
          </w:tcPr>
          <w:p>
            <w:pPr>
              <w:jc w:val="right"/>
              <w:ind w:right="6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30,000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30,000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29,505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28,500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25,000</w:t>
            </w:r>
          </w:p>
        </w:tc>
        <w:tc>
          <w:tcPr>
            <w:tcW w:w="2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29,507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25,000</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Average loans by client segment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Middle Market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78,601</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78,774</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78,037</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73,030</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72,109</w:t>
            </w:r>
          </w:p>
        </w:tc>
        <w:tc>
          <w:tcPr>
            <w:tcW w:w="2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4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77,130</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67,830</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Corporate Client Banking</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58,480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60,816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59,159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56,581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55,137</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58,770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50,281</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Commercial Real Estate Banking</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143,456</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142,955</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133,394</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108,143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107,831</w:t>
            </w:r>
          </w:p>
        </w:tc>
        <w:tc>
          <w:tcPr>
            <w:tcW w:w="2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33</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132,114</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105,459</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Other</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449</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227</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209</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250</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5"/>
                <w:szCs w:val="15"/>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80</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168</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97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loans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280,986</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282,980</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270,817</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237,963</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235,327</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4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268,345</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223,738</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Employees</w:t>
            </w:r>
          </w:p>
        </w:tc>
        <w:tc>
          <w:tcPr>
            <w:tcW w:w="120" w:type="dxa"/>
            <w:vAlign w:val="bottom"/>
          </w:tcPr>
          <w:p>
            <w:pPr>
              <w:spacing w:after="0"/>
              <w:rPr>
                <w:sz w:val="16"/>
                <w:szCs w:val="16"/>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17,867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17,281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15,991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15,026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14,687</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6"/>
                <w:szCs w:val="16"/>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22</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17,867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14,687</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6"/>
              </w:rPr>
              <w:t>CREDIT DATA AND QUALITY STATISTICS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Net charge-offs/(recoveries)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126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100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138</w:t>
            </w: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260</w:t>
            </w: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316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84</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276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b w:val="1"/>
                <w:bCs w:val="1"/>
                <w:color w:val="auto"/>
              </w:rPr>
              <w:t>Nonperforming assets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color w:val="auto"/>
              </w:rPr>
              <w:t>Nonaccrual loans: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ind w:left="200"/>
              <w:spacing w:after="0"/>
              <w:rPr>
                <w:sz w:val="20"/>
                <w:szCs w:val="20"/>
                <w:color w:val="auto"/>
              </w:rPr>
            </w:pPr>
            <w:r>
              <w:rPr>
                <w:rFonts w:ascii="Arial" w:cs="Arial" w:eastAsia="Arial" w:hAnsi="Arial"/>
                <w:sz w:val="11"/>
                <w:szCs w:val="11"/>
                <w:color w:val="auto"/>
              </w:rPr>
              <w:t>Nonaccrual loans retained (b)</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809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889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1,068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918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766</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809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766</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ind w:left="200"/>
              <w:spacing w:after="0"/>
              <w:rPr>
                <w:sz w:val="20"/>
                <w:szCs w:val="20"/>
                <w:color w:val="auto"/>
              </w:rPr>
            </w:pPr>
            <w:r>
              <w:rPr>
                <w:rFonts w:ascii="Arial" w:cs="Arial" w:eastAsia="Arial" w:hAnsi="Arial"/>
                <w:sz w:val="11"/>
                <w:szCs w:val="11"/>
                <w:color w:val="auto"/>
              </w:rPr>
              <w:t>Nonaccrual loans held-for-sale and loans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gridSpan w:val="5"/>
          </w:tcPr>
          <w:p>
            <w:pPr>
              <w:ind w:left="340"/>
              <w:spacing w:after="0"/>
              <w:rPr>
                <w:sz w:val="20"/>
                <w:szCs w:val="20"/>
                <w:color w:val="auto"/>
              </w:rPr>
            </w:pPr>
            <w:r>
              <w:rPr>
                <w:rFonts w:ascii="Arial" w:cs="Arial" w:eastAsia="Arial" w:hAnsi="Arial"/>
                <w:sz w:val="11"/>
                <w:szCs w:val="11"/>
                <w:color w:val="auto"/>
              </w:rPr>
              <w:t>at fair value</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NM</w:t>
            </w:r>
          </w:p>
        </w:tc>
        <w:tc>
          <w:tcPr>
            <w:tcW w:w="980" w:type="dxa"/>
            <w:vAlign w:val="bottom"/>
            <w:gridSpan w:val="2"/>
          </w:tcPr>
          <w:p>
            <w:pPr>
              <w:jc w:val="right"/>
              <w:ind w:right="5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gridSpan w:val="5"/>
          </w:tcPr>
          <w:p>
            <w:pPr>
              <w:ind w:left="200"/>
              <w:spacing w:after="0"/>
              <w:rPr>
                <w:sz w:val="20"/>
                <w:szCs w:val="20"/>
                <w:color w:val="auto"/>
              </w:rPr>
            </w:pPr>
            <w:r>
              <w:rPr>
                <w:rFonts w:ascii="Arial" w:cs="Arial" w:eastAsia="Arial" w:hAnsi="Arial"/>
                <w:sz w:val="11"/>
                <w:szCs w:val="11"/>
                <w:b w:val="1"/>
                <w:bCs w:val="1"/>
                <w:color w:val="auto"/>
              </w:rPr>
              <w:t>Total nonaccrual loans</w:t>
            </w: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809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913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1,068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918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766</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(11)</w:t>
            </w:r>
          </w:p>
        </w:tc>
        <w:tc>
          <w:tcPr>
            <w:tcW w:w="2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809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766</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color w:val="auto"/>
              </w:rPr>
              <w:t>Assets acquired in loan satisfactions</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54</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9"/>
                <w:szCs w:val="19"/>
                <w:color w:val="auto"/>
              </w:rPr>
            </w:pPr>
          </w:p>
        </w:tc>
        <w:tc>
          <w:tcPr>
            <w:tcW w:w="98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54</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gridSpan w:val="5"/>
          </w:tcPr>
          <w:p>
            <w:pPr>
              <w:ind w:left="200"/>
              <w:spacing w:after="0"/>
              <w:rPr>
                <w:sz w:val="20"/>
                <w:szCs w:val="20"/>
                <w:color w:val="auto"/>
              </w:rPr>
            </w:pPr>
            <w:r>
              <w:rPr>
                <w:rFonts w:ascii="Arial" w:cs="Arial" w:eastAsia="Arial" w:hAnsi="Arial"/>
                <w:sz w:val="11"/>
                <w:szCs w:val="11"/>
                <w:b w:val="1"/>
                <w:bCs w:val="1"/>
                <w:color w:val="auto"/>
              </w:rPr>
              <w:t>Total nonperforming assets</w:t>
            </w: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863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960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1,068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918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766</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863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766</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Allowance for credit losses: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color w:val="auto"/>
              </w:rPr>
              <w:t>Allowance for loan losses</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5,005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4,721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4,729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3,566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3,324</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5,005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3,324</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color w:val="auto"/>
                <w:w w:val="98"/>
              </w:rPr>
              <w:t>Allowance for lending-related commitments</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801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801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830</w:t>
            </w:r>
          </w:p>
        </w:tc>
        <w:tc>
          <w:tcPr>
            <w:tcW w:w="78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5"/>
                <w:szCs w:val="15"/>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801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830</w:t>
            </w:r>
          </w:p>
        </w:tc>
        <w:tc>
          <w:tcPr>
            <w:tcW w:w="98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gridSpan w:val="5"/>
          </w:tcPr>
          <w:p>
            <w:pPr>
              <w:ind w:left="200"/>
              <w:spacing w:after="0"/>
              <w:rPr>
                <w:sz w:val="20"/>
                <w:szCs w:val="20"/>
                <w:color w:val="auto"/>
              </w:rPr>
            </w:pPr>
            <w:r>
              <w:rPr>
                <w:rFonts w:ascii="Arial" w:cs="Arial" w:eastAsia="Arial" w:hAnsi="Arial"/>
                <w:sz w:val="11"/>
                <w:szCs w:val="11"/>
                <w:b w:val="1"/>
                <w:bCs w:val="1"/>
                <w:color w:val="auto"/>
              </w:rPr>
              <w:t>Total allowance for credit losses</w:t>
            </w: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5,806</w:t>
            </w:r>
          </w:p>
        </w:tc>
        <w:tc>
          <w:tcPr>
            <w:tcW w:w="240" w:type="dxa"/>
            <w:vAlign w:val="bottom"/>
          </w:tcPr>
          <w:p>
            <w:pPr>
              <w:ind w:left="20"/>
              <w:spacing w:after="0"/>
              <w:rPr>
                <w:sz w:val="20"/>
                <w:szCs w:val="20"/>
                <w:color w:val="auto"/>
              </w:rPr>
            </w:pPr>
            <w:r>
              <w:rPr>
                <w:rFonts w:ascii="Arial" w:cs="Arial" w:eastAsia="Arial" w:hAnsi="Arial"/>
                <w:sz w:val="11"/>
                <w:szCs w:val="11"/>
                <w:color w:val="auto"/>
              </w:rPr>
              <w:t>(i)</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5,566</w:t>
            </w:r>
          </w:p>
        </w:tc>
        <w:tc>
          <w:tcPr>
            <w:tcW w:w="240" w:type="dxa"/>
            <w:vAlign w:val="bottom"/>
          </w:tcPr>
          <w:p>
            <w:pPr>
              <w:ind w:left="20"/>
              <w:spacing w:after="0"/>
              <w:rPr>
                <w:sz w:val="20"/>
                <w:szCs w:val="20"/>
                <w:color w:val="auto"/>
              </w:rPr>
            </w:pPr>
            <w:r>
              <w:rPr>
                <w:rFonts w:ascii="Arial" w:cs="Arial" w:eastAsia="Arial" w:hAnsi="Arial"/>
                <w:sz w:val="11"/>
                <w:szCs w:val="11"/>
                <w:color w:val="auto"/>
              </w:rPr>
              <w:t>(i)</w:t>
            </w: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5,530</w:t>
            </w:r>
          </w:p>
        </w:tc>
        <w:tc>
          <w:tcPr>
            <w:tcW w:w="240" w:type="dxa"/>
            <w:vAlign w:val="bottom"/>
          </w:tcPr>
          <w:p>
            <w:pPr>
              <w:ind w:left="20"/>
              <w:spacing w:after="0"/>
              <w:rPr>
                <w:sz w:val="20"/>
                <w:szCs w:val="20"/>
                <w:color w:val="auto"/>
              </w:rPr>
            </w:pPr>
            <w:r>
              <w:rPr>
                <w:rFonts w:ascii="Arial" w:cs="Arial" w:eastAsia="Arial" w:hAnsi="Arial"/>
                <w:sz w:val="11"/>
                <w:szCs w:val="11"/>
                <w:color w:val="auto"/>
              </w:rPr>
              <w:t>(i)</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4,532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4,154</w:t>
            </w:r>
          </w:p>
        </w:tc>
        <w:tc>
          <w:tcPr>
            <w:tcW w:w="78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40</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5,806</w:t>
            </w:r>
          </w:p>
        </w:tc>
        <w:tc>
          <w:tcPr>
            <w:tcW w:w="240" w:type="dxa"/>
            <w:vAlign w:val="bottom"/>
          </w:tcPr>
          <w:p>
            <w:pPr>
              <w:ind w:left="20"/>
              <w:spacing w:after="0"/>
              <w:rPr>
                <w:sz w:val="20"/>
                <w:szCs w:val="20"/>
                <w:color w:val="auto"/>
              </w:rPr>
            </w:pPr>
            <w:r>
              <w:rPr>
                <w:rFonts w:ascii="Arial" w:cs="Arial" w:eastAsia="Arial" w:hAnsi="Arial"/>
                <w:sz w:val="11"/>
                <w:szCs w:val="11"/>
                <w:color w:val="auto"/>
              </w:rPr>
              <w:t>(i)</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4,154</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Net charge-off/(recovery) rate (c)</w:t>
            </w:r>
          </w:p>
        </w:tc>
        <w:tc>
          <w:tcPr>
            <w:tcW w:w="120" w:type="dxa"/>
            <w:vAlign w:val="bottom"/>
          </w:tcPr>
          <w:p>
            <w:pPr>
              <w:spacing w:after="0"/>
              <w:rPr>
                <w:sz w:val="18"/>
                <w:szCs w:val="18"/>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0.18</w:t>
            </w:r>
          </w:p>
        </w:tc>
        <w:tc>
          <w:tcPr>
            <w:tcW w:w="240" w:type="dxa"/>
            <w:vAlign w:val="bottom"/>
          </w:tcPr>
          <w:p>
            <w:pPr>
              <w:ind w:lef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0.07</w:t>
            </w:r>
          </w:p>
        </w:tc>
        <w:tc>
          <w:tcPr>
            <w:tcW w:w="240" w:type="dxa"/>
            <w:vAlign w:val="bottom"/>
          </w:tcPr>
          <w:p>
            <w:pPr>
              <w:ind w:lef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0.15</w:t>
            </w:r>
          </w:p>
        </w:tc>
        <w:tc>
          <w:tcPr>
            <w:tcW w:w="240" w:type="dxa"/>
            <w:vAlign w:val="bottom"/>
          </w:tcPr>
          <w:p>
            <w:pPr>
              <w:ind w:lef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0.06</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0.06</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0.12</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0.04</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w w:val="99"/>
              </w:rPr>
              <w:t>Allowance for loan losses to period-end loans</w:t>
            </w:r>
          </w:p>
        </w:tc>
        <w:tc>
          <w:tcPr>
            <w:tcW w:w="120" w:type="dxa"/>
            <w:vAlign w:val="bottom"/>
          </w:tcPr>
          <w:p>
            <w:pPr>
              <w:spacing w:after="0"/>
              <w:rPr>
                <w:sz w:val="11"/>
                <w:szCs w:val="11"/>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1.80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1.68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1.49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1.42</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1.80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1.42</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retained</w:t>
            </w: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w w:val="98"/>
              </w:rPr>
              <w:t>Allowance for loan losses to nonaccrual loans</w:t>
            </w:r>
          </w:p>
        </w:tc>
        <w:tc>
          <w:tcPr>
            <w:tcW w:w="120" w:type="dxa"/>
            <w:vAlign w:val="bottom"/>
          </w:tcPr>
          <w:p>
            <w:pPr>
              <w:spacing w:after="0"/>
              <w:rPr>
                <w:sz w:val="11"/>
                <w:szCs w:val="11"/>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619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531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443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388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434</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619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434</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retained (b)</w:t>
            </w: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1"/>
                <w:szCs w:val="11"/>
                <w:color w:val="auto"/>
              </w:rPr>
              <w:t>Nonaccrual loans to period-end total loans</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0.29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0.32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0.38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0.38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0.33</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0.29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0.33</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0" w:right="40" w:hanging="172"/>
        <w:spacing w:after="0" w:line="249" w:lineRule="auto"/>
        <w:tabs>
          <w:tab w:leader="none" w:pos="177" w:val="left"/>
        </w:tabs>
        <w:numPr>
          <w:ilvl w:val="0"/>
          <w:numId w:val="26"/>
        </w:numPr>
        <w:rPr>
          <w:rFonts w:ascii="Arial" w:cs="Arial" w:eastAsia="Arial" w:hAnsi="Arial"/>
          <w:sz w:val="11"/>
          <w:szCs w:val="11"/>
          <w:color w:val="auto"/>
        </w:rPr>
      </w:pPr>
      <w:r>
        <w:rPr>
          <w:rFonts w:ascii="Arial" w:cs="Arial" w:eastAsia="Arial" w:hAnsi="Arial"/>
          <w:sz w:val="11"/>
          <w:szCs w:val="11"/>
          <w:color w:val="auto"/>
        </w:rPr>
        <w:t>As of December 31, 2023, September 30, 2023, June 30, 2023, March 31, 2023 and December 31, 2022, total loans included $36 million, $48 million, $65 million, $88 million, and $132 million of loans, respectively, under the PPP, of which $32 million, $43 million, $60 million, $80 million, and $123 million, were in Middle Market Banking, respectively. Refer to pages 108–109 of the Firm’s 2022 Form 10-K for further information on the PPP.</w:t>
      </w:r>
    </w:p>
    <w:p>
      <w:pPr>
        <w:ind w:left="180" w:right="400" w:hanging="172"/>
        <w:spacing w:after="0" w:line="243" w:lineRule="auto"/>
        <w:tabs>
          <w:tab w:leader="none" w:pos="177" w:val="left"/>
        </w:tabs>
        <w:numPr>
          <w:ilvl w:val="0"/>
          <w:numId w:val="26"/>
        </w:numPr>
        <w:rPr>
          <w:rFonts w:ascii="Arial" w:cs="Arial" w:eastAsia="Arial" w:hAnsi="Arial"/>
          <w:sz w:val="11"/>
          <w:szCs w:val="11"/>
          <w:color w:val="auto"/>
        </w:rPr>
      </w:pPr>
      <w:r>
        <w:rPr>
          <w:rFonts w:ascii="Arial" w:cs="Arial" w:eastAsia="Arial" w:hAnsi="Arial"/>
          <w:sz w:val="11"/>
          <w:szCs w:val="11"/>
          <w:color w:val="auto"/>
        </w:rPr>
        <w:t>Allowance for loan losses of $156 million, $164 million, $205 million, $170 million and $153 million was held against nonaccrual loans retained at December 31, 2023, September 30, 2023, June 30, 2023, March 31, 2023 and December 31, 2022, respectively.</w:t>
      </w:r>
    </w:p>
    <w:p>
      <w:pPr>
        <w:ind w:left="160" w:hanging="152"/>
        <w:spacing w:after="0"/>
        <w:tabs>
          <w:tab w:leader="none" w:pos="1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Loans held-for-sale and loans at fair value were excluded when calculating the net charge-off/(recovery) rate.</w:t>
      </w:r>
    </w:p>
    <w:p>
      <w:pPr>
        <w:spacing w:after="0" w:line="8" w:lineRule="exact"/>
        <w:rPr>
          <w:rFonts w:ascii="Arial" w:cs="Arial" w:eastAsia="Arial" w:hAnsi="Arial"/>
          <w:sz w:val="11"/>
          <w:szCs w:val="11"/>
          <w:color w:val="auto"/>
        </w:rPr>
      </w:pPr>
    </w:p>
    <w:p>
      <w:pPr>
        <w:ind w:left="160" w:hanging="152"/>
        <w:spacing w:after="0" w:line="236" w:lineRule="auto"/>
        <w:tabs>
          <w:tab w:leader="none" w:pos="1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Includes First Republic. Refer to page 30 for additional information.</w:t>
      </w:r>
    </w:p>
    <w:p>
      <w:pPr>
        <w:ind w:left="180" w:right="40" w:hanging="172"/>
        <w:spacing w:after="0" w:line="243" w:lineRule="auto"/>
        <w:tabs>
          <w:tab w:leader="none" w:pos="177" w:val="left"/>
        </w:tabs>
        <w:numPr>
          <w:ilvl w:val="0"/>
          <w:numId w:val="26"/>
        </w:numPr>
        <w:rPr>
          <w:rFonts w:ascii="Arial" w:cs="Arial" w:eastAsia="Arial" w:hAnsi="Arial"/>
          <w:sz w:val="11"/>
          <w:szCs w:val="11"/>
          <w:color w:val="auto"/>
        </w:rPr>
      </w:pPr>
      <w:r>
        <w:rPr>
          <w:rFonts w:ascii="Arial" w:cs="Arial" w:eastAsia="Arial" w:hAnsi="Arial"/>
          <w:sz w:val="11"/>
          <w:szCs w:val="11"/>
          <w:color w:val="auto"/>
        </w:rPr>
        <w:t>As of December 31, 2023, included $5.9 billion and $32.6 billion for Middle Market Banking and Commercial Real Estate Banking, respectively, as of September 30, 2023, included $6.1 billion and $32.7 billion, respectively, and as of June 30, 2023, included $6.2 billion and $33.3 billion, respectively associated with First Republic.</w:t>
      </w:r>
    </w:p>
    <w:p>
      <w:pPr>
        <w:ind w:left="180" w:right="80" w:hanging="172"/>
        <w:spacing w:after="0" w:line="253" w:lineRule="auto"/>
        <w:tabs>
          <w:tab w:leader="none" w:pos="174" w:val="left"/>
        </w:tabs>
        <w:numPr>
          <w:ilvl w:val="0"/>
          <w:numId w:val="26"/>
        </w:numPr>
        <w:rPr>
          <w:rFonts w:ascii="Arial" w:cs="Arial" w:eastAsia="Arial" w:hAnsi="Arial"/>
          <w:sz w:val="11"/>
          <w:szCs w:val="11"/>
          <w:color w:val="auto"/>
        </w:rPr>
      </w:pPr>
      <w:r>
        <w:rPr>
          <w:rFonts w:ascii="Arial" w:cs="Arial" w:eastAsia="Arial" w:hAnsi="Arial"/>
          <w:sz w:val="11"/>
          <w:szCs w:val="11"/>
          <w:color w:val="auto"/>
        </w:rPr>
        <w:t>Average loans retained associated with First Republic were $39.0 billion, $39.0 billion, and $28.6 billion for the three months ended December 31, 2023, September 30, 2023, and June 30, 2023 respectively, and $26.8 billion for the full year 2023.</w:t>
      </w:r>
    </w:p>
    <w:p>
      <w:pPr>
        <w:ind w:left="160" w:hanging="152"/>
        <w:spacing w:after="0" w:line="236" w:lineRule="auto"/>
        <w:tabs>
          <w:tab w:leader="none" w:pos="1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In the fourth quarter of 2023, certain deposits associated with First Republic were transferred from CCB. Refer to page 30 for additional information.</w:t>
      </w:r>
    </w:p>
    <w:p>
      <w:pPr>
        <w:ind w:left="180" w:right="340" w:hanging="172"/>
        <w:spacing w:after="0" w:line="267" w:lineRule="auto"/>
        <w:tabs>
          <w:tab w:leader="none" w:pos="177" w:val="left"/>
        </w:tabs>
        <w:numPr>
          <w:ilvl w:val="0"/>
          <w:numId w:val="26"/>
        </w:numPr>
        <w:rPr>
          <w:rFonts w:ascii="Arial" w:cs="Arial" w:eastAsia="Arial" w:hAnsi="Arial"/>
          <w:sz w:val="10"/>
          <w:szCs w:val="10"/>
          <w:color w:val="auto"/>
        </w:rPr>
      </w:pPr>
      <w:r>
        <w:rPr>
          <w:rFonts w:ascii="Arial" w:cs="Arial" w:eastAsia="Arial" w:hAnsi="Arial"/>
          <w:sz w:val="10"/>
          <w:szCs w:val="10"/>
          <w:color w:val="auto"/>
        </w:rPr>
        <w:t>Average Middle Market Banking and Commercial Real Estate Banking loans associated with First Republic were $6.3 billion and $32.7 billion respectively, for the three months ended December 31, 2023, $6.2 billion and $32.8 billion, respectively, for the three months ended September 30, 2023, $4.4 billion and $24.2 billion, respectively, for the three months ended June 30, 2023, and $4.2 billion and $22.5 billion, respectively, for the full year 2023.</w:t>
      </w:r>
    </w:p>
    <w:p>
      <w:pPr>
        <w:ind w:left="160" w:hanging="152"/>
        <w:spacing w:after="0"/>
        <w:tabs>
          <w:tab w:leader="none" w:pos="1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As of December 31, 2023, September 30, 2023, and June 30, 2023, included $729 million, $630 million, and $608 million allowance, respectively, for First Republic.</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20</w:t>
      </w:r>
    </w:p>
    <w:p>
      <w:pPr>
        <w:sectPr>
          <w:pgSz w:w="11900" w:h="16838" w:orient="portrait"/>
          <w:cols w:equalWidth="0" w:num="1">
            <w:col w:w="11240"/>
          </w:cols>
          <w:pgMar w:left="320" w:top="572"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13970</wp:posOffset>
            </wp:positionV>
            <wp:extent cx="237426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 &amp; WEALTH</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MANAGEMENT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and employee data)</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1"/>
                <w:szCs w:val="11"/>
                <w:b w:val="1"/>
                <w:bCs w:val="1"/>
                <w:color w:val="auto"/>
                <w:w w:val="95"/>
              </w:rPr>
              <w:t>QUARTERLY TRENDS</w:t>
            </w: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FULL YEAR</w:t>
            </w:r>
          </w:p>
        </w:tc>
        <w:tc>
          <w:tcPr>
            <w:tcW w:w="740" w:type="dxa"/>
            <w:vAlign w:val="bottom"/>
            <w:tcBorders>
              <w:bottom w:val="single" w:sz="8" w:color="auto"/>
            </w:tcBorders>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1"/>
                <w:szCs w:val="11"/>
                <w:b w:val="1"/>
                <w:bCs w:val="1"/>
                <w:color w:val="auto"/>
              </w:rPr>
              <w:t>4Q23 Change</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 Change</w:t>
            </w: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4Q23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3Q23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b w:val="1"/>
                <w:bCs w:val="1"/>
                <w:color w:val="auto"/>
              </w:rPr>
              <w:t>2Q23</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1Q23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4Q22</w:t>
            </w:r>
          </w:p>
        </w:tc>
        <w:tc>
          <w:tcPr>
            <w:tcW w:w="2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3Q23</w:t>
            </w:r>
          </w:p>
        </w:tc>
        <w:tc>
          <w:tcPr>
            <w:tcW w:w="100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4Q22</w:t>
            </w:r>
          </w:p>
        </w:tc>
        <w:tc>
          <w:tcPr>
            <w:tcW w:w="140" w:type="dxa"/>
            <w:vAlign w:val="bottom"/>
          </w:tcPr>
          <w:p>
            <w:pPr>
              <w:spacing w:after="0"/>
              <w:rPr>
                <w:sz w:val="13"/>
                <w:szCs w:val="13"/>
                <w:color w:val="auto"/>
              </w:rPr>
            </w:pPr>
          </w:p>
        </w:tc>
        <w:tc>
          <w:tcPr>
            <w:tcW w:w="460" w:type="dxa"/>
            <w:vAlign w:val="bottom"/>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280" w:type="dxa"/>
            <w:vAlign w:val="bottom"/>
          </w:tcPr>
          <w:p>
            <w:pPr>
              <w:spacing w:after="0"/>
              <w:rPr>
                <w:sz w:val="13"/>
                <w:szCs w:val="13"/>
                <w:color w:val="auto"/>
              </w:rPr>
            </w:pPr>
          </w:p>
        </w:tc>
        <w:tc>
          <w:tcPr>
            <w:tcW w:w="740" w:type="dxa"/>
            <w:vAlign w:val="bottom"/>
          </w:tcPr>
          <w:p>
            <w:pPr>
              <w:jc w:val="right"/>
              <w:ind w:right="206"/>
              <w:spacing w:after="0"/>
              <w:rPr>
                <w:sz w:val="20"/>
                <w:szCs w:val="20"/>
                <w:color w:val="auto"/>
              </w:rPr>
            </w:pPr>
            <w:r>
              <w:rPr>
                <w:rFonts w:ascii="Arial" w:cs="Arial" w:eastAsia="Arial" w:hAnsi="Arial"/>
                <w:sz w:val="11"/>
                <w:szCs w:val="11"/>
                <w:b w:val="1"/>
                <w:bCs w:val="1"/>
                <w:color w:val="auto"/>
              </w:rPr>
              <w:t>2022</w:t>
            </w:r>
          </w:p>
        </w:tc>
      </w:tr>
      <w:tr>
        <w:trPr>
          <w:trHeight w:val="108"/>
        </w:trPr>
        <w:tc>
          <w:tcPr>
            <w:tcW w:w="1120" w:type="dxa"/>
            <w:vAlign w:val="bottom"/>
            <w:tcBorders>
              <w:bottom w:val="single" w:sz="8" w:color="auto"/>
            </w:tcBorders>
            <w:gridSpan w:val="2"/>
          </w:tcPr>
          <w:p>
            <w:pPr>
              <w:spacing w:after="0" w:line="108" w:lineRule="exact"/>
              <w:rPr>
                <w:sz w:val="20"/>
                <w:szCs w:val="20"/>
                <w:color w:val="auto"/>
              </w:rPr>
            </w:pPr>
            <w:r>
              <w:rPr>
                <w:rFonts w:ascii="Arial" w:cs="Arial" w:eastAsia="Arial" w:hAnsi="Arial"/>
                <w:sz w:val="11"/>
                <w:szCs w:val="11"/>
                <w:b w:val="1"/>
                <w:bCs w:val="1"/>
                <w:color w:val="auto"/>
                <w:w w:val="96"/>
              </w:rPr>
              <w:t>INCOME STATEMENT</w:t>
            </w:r>
          </w:p>
        </w:tc>
        <w:tc>
          <w:tcPr>
            <w:tcW w:w="1180" w:type="dxa"/>
            <w:vAlign w:val="bottom"/>
            <w:gridSpan w:val="2"/>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r>
      <w:tr>
        <w:trPr>
          <w:trHeight w:val="168"/>
        </w:trPr>
        <w:tc>
          <w:tcPr>
            <w:tcW w:w="2300" w:type="dxa"/>
            <w:vAlign w:val="bottom"/>
            <w:gridSpan w:val="4"/>
          </w:tcPr>
          <w:p>
            <w:pPr>
              <w:spacing w:after="0"/>
              <w:rPr>
                <w:sz w:val="20"/>
                <w:szCs w:val="20"/>
                <w:color w:val="auto"/>
              </w:rPr>
            </w:pPr>
            <w:r>
              <w:rPr>
                <w:rFonts w:ascii="Arial" w:cs="Arial" w:eastAsia="Arial" w:hAnsi="Arial"/>
                <w:sz w:val="11"/>
                <w:szCs w:val="11"/>
                <w:b w:val="1"/>
                <w:bCs w:val="1"/>
                <w:color w:val="auto"/>
              </w:rPr>
              <w:t>REVENUE</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6"/>
        </w:trPr>
        <w:tc>
          <w:tcPr>
            <w:tcW w:w="2300" w:type="dxa"/>
            <w:vAlign w:val="bottom"/>
            <w:gridSpan w:val="4"/>
          </w:tcPr>
          <w:p>
            <w:pPr>
              <w:spacing w:after="0"/>
              <w:rPr>
                <w:sz w:val="20"/>
                <w:szCs w:val="20"/>
                <w:color w:val="auto"/>
              </w:rPr>
            </w:pPr>
            <w:r>
              <w:rPr>
                <w:rFonts w:ascii="Arial" w:cs="Arial" w:eastAsia="Arial" w:hAnsi="Arial"/>
                <w:sz w:val="11"/>
                <w:szCs w:val="11"/>
                <w:color w:val="auto"/>
              </w:rPr>
              <w:t>Asset management fees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3,137</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2,975</w:t>
            </w:r>
          </w:p>
        </w:tc>
        <w:tc>
          <w:tcPr>
            <w:tcW w:w="240" w:type="dxa"/>
            <w:vAlign w:val="bottom"/>
          </w:tcPr>
          <w:p>
            <w:pPr>
              <w:jc w:val="right"/>
              <w:ind w:right="46"/>
              <w:spacing w:after="0"/>
              <w:rPr>
                <w:sz w:val="20"/>
                <w:szCs w:val="20"/>
                <w:color w:val="auto"/>
              </w:rPr>
            </w:pPr>
            <w:r>
              <w:rPr>
                <w:rFonts w:ascii="Arial" w:cs="Arial" w:eastAsia="Arial" w:hAnsi="Arial"/>
                <w:sz w:val="11"/>
                <w:szCs w:val="11"/>
                <w:color w:val="auto"/>
                <w:w w:val="88"/>
              </w:rPr>
              <w:t>(b)</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2,932</w:t>
            </w:r>
          </w:p>
        </w:tc>
        <w:tc>
          <w:tcPr>
            <w:tcW w:w="4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Arial" w:cs="Arial" w:eastAsia="Arial" w:hAnsi="Arial"/>
                <w:sz w:val="11"/>
                <w:szCs w:val="11"/>
                <w:color w:val="auto"/>
              </w:rPr>
              <w:t>(b)  $</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2,782</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(b)  $</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2,825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5 %</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11 %</w:t>
            </w:r>
          </w:p>
        </w:tc>
        <w:tc>
          <w:tcPr>
            <w:tcW w:w="42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11,826</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11,510</w:t>
            </w:r>
          </w:p>
        </w:tc>
        <w:tc>
          <w:tcPr>
            <w:tcW w:w="280" w:type="dxa"/>
            <w:vAlign w:val="bottom"/>
          </w:tcPr>
          <w:p>
            <w:pPr>
              <w:ind w:left="20"/>
              <w:spacing w:after="0"/>
              <w:rPr>
                <w:sz w:val="20"/>
                <w:szCs w:val="20"/>
                <w:color w:val="auto"/>
              </w:rPr>
            </w:pPr>
            <w:r>
              <w:rPr>
                <w:rFonts w:ascii="Arial" w:cs="Arial" w:eastAsia="Arial" w:hAnsi="Arial"/>
                <w:sz w:val="11"/>
                <w:szCs w:val="11"/>
                <w:color w:val="auto"/>
              </w:rPr>
              <w:t>(b)</w:t>
            </w:r>
          </w:p>
        </w:tc>
        <w:tc>
          <w:tcPr>
            <w:tcW w:w="740" w:type="dxa"/>
            <w:vAlign w:val="bottom"/>
          </w:tcPr>
          <w:p>
            <w:pPr>
              <w:jc w:val="right"/>
              <w:spacing w:after="0"/>
              <w:rPr>
                <w:sz w:val="20"/>
                <w:szCs w:val="20"/>
                <w:color w:val="auto"/>
              </w:rPr>
            </w:pPr>
            <w:r>
              <w:rPr>
                <w:rFonts w:ascii="Arial" w:cs="Arial" w:eastAsia="Arial" w:hAnsi="Arial"/>
                <w:sz w:val="11"/>
                <w:szCs w:val="11"/>
                <w:color w:val="auto"/>
              </w:rPr>
              <w:t>3 %</w:t>
            </w:r>
          </w:p>
        </w:tc>
      </w:tr>
      <w:tr>
        <w:trPr>
          <w:trHeight w:val="162"/>
        </w:trPr>
        <w:tc>
          <w:tcPr>
            <w:tcW w:w="2300" w:type="dxa"/>
            <w:vAlign w:val="bottom"/>
            <w:gridSpan w:val="4"/>
          </w:tcPr>
          <w:p>
            <w:pPr>
              <w:spacing w:after="0"/>
              <w:rPr>
                <w:sz w:val="20"/>
                <w:szCs w:val="20"/>
                <w:color w:val="auto"/>
              </w:rPr>
            </w:pPr>
            <w:r>
              <w:rPr>
                <w:rFonts w:ascii="Arial" w:cs="Arial" w:eastAsia="Arial" w:hAnsi="Arial"/>
                <w:sz w:val="11"/>
                <w:szCs w:val="11"/>
                <w:color w:val="auto"/>
              </w:rPr>
              <w:t>Commissions and other fees</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190</w:t>
            </w:r>
          </w:p>
        </w:tc>
        <w:tc>
          <w:tcPr>
            <w:tcW w:w="240" w:type="dxa"/>
            <w:vAlign w:val="bottom"/>
          </w:tcPr>
          <w:p>
            <w:pPr>
              <w:jc w:val="right"/>
              <w:ind w:right="46"/>
              <w:spacing w:after="0"/>
              <w:rPr>
                <w:sz w:val="20"/>
                <w:szCs w:val="20"/>
                <w:color w:val="auto"/>
              </w:rPr>
            </w:pPr>
            <w:r>
              <w:rPr>
                <w:rFonts w:ascii="Arial" w:cs="Arial" w:eastAsia="Arial" w:hAnsi="Arial"/>
                <w:sz w:val="11"/>
                <w:szCs w:val="11"/>
                <w:color w:val="auto"/>
                <w:w w:val="88"/>
              </w:rPr>
              <w:t>(b)</w:t>
            </w: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194</w:t>
            </w:r>
          </w:p>
        </w:tc>
        <w:tc>
          <w:tcPr>
            <w:tcW w:w="40" w:type="dxa"/>
            <w:vAlign w:val="bottom"/>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1"/>
                <w:szCs w:val="11"/>
                <w:color w:val="auto"/>
              </w:rPr>
              <w:t>(b)</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160</w:t>
            </w:r>
          </w:p>
        </w:tc>
        <w:tc>
          <w:tcPr>
            <w:tcW w:w="360" w:type="dxa"/>
            <w:vAlign w:val="bottom"/>
            <w:gridSpan w:val="2"/>
          </w:tcPr>
          <w:p>
            <w:pPr>
              <w:ind w:left="20"/>
              <w:spacing w:after="0"/>
              <w:rPr>
                <w:sz w:val="20"/>
                <w:szCs w:val="20"/>
                <w:color w:val="auto"/>
              </w:rPr>
            </w:pPr>
            <w:r>
              <w:rPr>
                <w:rFonts w:ascii="Arial" w:cs="Arial" w:eastAsia="Arial" w:hAnsi="Arial"/>
                <w:sz w:val="11"/>
                <w:szCs w:val="11"/>
                <w:color w:val="auto"/>
              </w:rPr>
              <w:t>(b)</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151</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(19)</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697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662</w:t>
            </w:r>
          </w:p>
        </w:tc>
        <w:tc>
          <w:tcPr>
            <w:tcW w:w="280" w:type="dxa"/>
            <w:vAlign w:val="bottom"/>
          </w:tcPr>
          <w:p>
            <w:pPr>
              <w:ind w:left="20"/>
              <w:spacing w:after="0"/>
              <w:rPr>
                <w:sz w:val="20"/>
                <w:szCs w:val="20"/>
                <w:color w:val="auto"/>
              </w:rPr>
            </w:pPr>
            <w:r>
              <w:rPr>
                <w:rFonts w:ascii="Arial" w:cs="Arial" w:eastAsia="Arial" w:hAnsi="Arial"/>
                <w:sz w:val="11"/>
                <w:szCs w:val="11"/>
                <w:color w:val="auto"/>
              </w:rPr>
              <w:t>(b)</w:t>
            </w: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5</w:t>
            </w:r>
          </w:p>
        </w:tc>
      </w:tr>
      <w:tr>
        <w:trPr>
          <w:trHeight w:val="175"/>
        </w:trPr>
        <w:tc>
          <w:tcPr>
            <w:tcW w:w="2300" w:type="dxa"/>
            <w:vAlign w:val="bottom"/>
            <w:gridSpan w:val="4"/>
          </w:tcPr>
          <w:p>
            <w:pPr>
              <w:spacing w:after="0"/>
              <w:rPr>
                <w:sz w:val="20"/>
                <w:szCs w:val="20"/>
                <w:color w:val="auto"/>
              </w:rPr>
            </w:pPr>
            <w:r>
              <w:rPr>
                <w:rFonts w:ascii="Arial" w:cs="Arial" w:eastAsia="Arial" w:hAnsi="Arial"/>
                <w:sz w:val="11"/>
                <w:szCs w:val="11"/>
                <w:color w:val="auto"/>
              </w:rPr>
              <w:t>All other income</w:t>
            </w:r>
          </w:p>
        </w:tc>
        <w:tc>
          <w:tcPr>
            <w:tcW w:w="120" w:type="dxa"/>
            <w:vAlign w:val="bottom"/>
          </w:tcPr>
          <w:p>
            <w:pPr>
              <w:spacing w:after="0"/>
              <w:rPr>
                <w:sz w:val="15"/>
                <w:szCs w:val="15"/>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148</w:t>
            </w:r>
          </w:p>
        </w:tc>
        <w:tc>
          <w:tcPr>
            <w:tcW w:w="240" w:type="dxa"/>
            <w:vAlign w:val="bottom"/>
          </w:tcPr>
          <w:p>
            <w:pPr>
              <w:jc w:val="right"/>
              <w:ind w:right="46"/>
              <w:spacing w:after="0"/>
              <w:rPr>
                <w:sz w:val="20"/>
                <w:szCs w:val="20"/>
                <w:color w:val="auto"/>
              </w:rPr>
            </w:pPr>
            <w:r>
              <w:rPr>
                <w:rFonts w:ascii="Arial" w:cs="Arial" w:eastAsia="Arial" w:hAnsi="Arial"/>
                <w:sz w:val="11"/>
                <w:szCs w:val="11"/>
                <w:color w:val="auto"/>
                <w:w w:val="88"/>
              </w:rPr>
              <w:t>(a)</w:t>
            </w:r>
          </w:p>
        </w:tc>
        <w:tc>
          <w:tcPr>
            <w:tcW w:w="120" w:type="dxa"/>
            <w:vAlign w:val="bottom"/>
          </w:tcPr>
          <w:p>
            <w:pPr>
              <w:spacing w:after="0"/>
              <w:rPr>
                <w:sz w:val="15"/>
                <w:szCs w:val="15"/>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266</w:t>
            </w:r>
          </w:p>
        </w:tc>
        <w:tc>
          <w:tcPr>
            <w:tcW w:w="240" w:type="dxa"/>
            <w:vAlign w:val="bottom"/>
          </w:tcPr>
          <w:p>
            <w:pPr>
              <w:jc w:val="right"/>
              <w:ind w:right="46"/>
              <w:spacing w:after="0"/>
              <w:rPr>
                <w:sz w:val="20"/>
                <w:szCs w:val="20"/>
                <w:color w:val="auto"/>
              </w:rPr>
            </w:pPr>
            <w:r>
              <w:rPr>
                <w:rFonts w:ascii="Arial" w:cs="Arial" w:eastAsia="Arial" w:hAnsi="Arial"/>
                <w:sz w:val="11"/>
                <w:szCs w:val="11"/>
                <w:color w:val="auto"/>
                <w:w w:val="88"/>
              </w:rPr>
              <w:t>(a)</w:t>
            </w: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232</w:t>
            </w:r>
          </w:p>
        </w:tc>
        <w:tc>
          <w:tcPr>
            <w:tcW w:w="40" w:type="dxa"/>
            <w:vAlign w:val="bottom"/>
          </w:tcPr>
          <w:p>
            <w:pPr>
              <w:spacing w:after="0"/>
              <w:rPr>
                <w:sz w:val="15"/>
                <w:szCs w:val="15"/>
                <w:color w:val="auto"/>
              </w:rPr>
            </w:pPr>
          </w:p>
        </w:tc>
        <w:tc>
          <w:tcPr>
            <w:tcW w:w="360" w:type="dxa"/>
            <w:vAlign w:val="bottom"/>
            <w:gridSpan w:val="2"/>
          </w:tcPr>
          <w:p>
            <w:pPr>
              <w:ind w:left="20"/>
              <w:spacing w:after="0"/>
              <w:rPr>
                <w:sz w:val="20"/>
                <w:szCs w:val="20"/>
                <w:color w:val="auto"/>
              </w:rPr>
            </w:pPr>
            <w:r>
              <w:rPr>
                <w:rFonts w:ascii="Arial" w:cs="Arial" w:eastAsia="Arial" w:hAnsi="Arial"/>
                <w:sz w:val="11"/>
                <w:szCs w:val="11"/>
                <w:color w:val="auto"/>
              </w:rPr>
              <w:t>(a)</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391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82</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(44)</w:t>
            </w:r>
          </w:p>
        </w:tc>
        <w:tc>
          <w:tcPr>
            <w:tcW w:w="220" w:type="dxa"/>
            <w:vAlign w:val="bottom"/>
          </w:tcPr>
          <w:p>
            <w:pPr>
              <w:spacing w:after="0"/>
              <w:rPr>
                <w:sz w:val="15"/>
                <w:szCs w:val="15"/>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80</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1,037</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80" w:type="dxa"/>
            <w:vAlign w:val="bottom"/>
          </w:tcPr>
          <w:p>
            <w:pPr>
              <w:spacing w:after="0"/>
              <w:rPr>
                <w:sz w:val="15"/>
                <w:szCs w:val="15"/>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335</w:t>
            </w:r>
          </w:p>
        </w:tc>
        <w:tc>
          <w:tcPr>
            <w:tcW w:w="28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210</w:t>
            </w:r>
          </w:p>
        </w:tc>
      </w:tr>
      <w:tr>
        <w:trPr>
          <w:trHeight w:val="148"/>
        </w:trPr>
        <w:tc>
          <w:tcPr>
            <w:tcW w:w="2300" w:type="dxa"/>
            <w:vAlign w:val="bottom"/>
            <w:gridSpan w:val="4"/>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3,438</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3,431</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3,358</w:t>
            </w:r>
          </w:p>
        </w:tc>
        <w:tc>
          <w:tcPr>
            <w:tcW w:w="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3,333</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3,058</w:t>
            </w:r>
          </w:p>
        </w:tc>
        <w:tc>
          <w:tcPr>
            <w:tcW w:w="28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13,560</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12,507</w:t>
            </w:r>
          </w:p>
        </w:tc>
        <w:tc>
          <w:tcPr>
            <w:tcW w:w="280" w:type="dxa"/>
            <w:vAlign w:val="bottom"/>
          </w:tcPr>
          <w:p>
            <w:pPr>
              <w:spacing w:after="0"/>
              <w:rPr>
                <w:sz w:val="12"/>
                <w:szCs w:val="12"/>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8</w:t>
            </w:r>
          </w:p>
        </w:tc>
      </w:tr>
      <w:tr>
        <w:trPr>
          <w:trHeight w:val="169"/>
        </w:trPr>
        <w:tc>
          <w:tcPr>
            <w:tcW w:w="2300" w:type="dxa"/>
            <w:vAlign w:val="bottom"/>
            <w:gridSpan w:val="4"/>
          </w:tcPr>
          <w:p>
            <w:pPr>
              <w:spacing w:after="0"/>
              <w:rPr>
                <w:sz w:val="20"/>
                <w:szCs w:val="20"/>
                <w:color w:val="auto"/>
              </w:rPr>
            </w:pPr>
            <w:r>
              <w:rPr>
                <w:rFonts w:ascii="Arial" w:cs="Arial" w:eastAsia="Arial" w:hAnsi="Arial"/>
                <w:sz w:val="11"/>
                <w:szCs w:val="11"/>
                <w:color w:val="auto"/>
              </w:rPr>
              <w:t>Net interest income</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1,657</w:t>
            </w:r>
          </w:p>
        </w:tc>
        <w:tc>
          <w:tcPr>
            <w:tcW w:w="240" w:type="dxa"/>
            <w:vAlign w:val="bottom"/>
          </w:tcPr>
          <w:p>
            <w:pPr>
              <w:jc w:val="right"/>
              <w:ind w:right="46"/>
              <w:spacing w:after="0"/>
              <w:rPr>
                <w:sz w:val="20"/>
                <w:szCs w:val="20"/>
                <w:color w:val="auto"/>
              </w:rPr>
            </w:pPr>
            <w:r>
              <w:rPr>
                <w:rFonts w:ascii="Arial" w:cs="Arial" w:eastAsia="Arial" w:hAnsi="Arial"/>
                <w:sz w:val="11"/>
                <w:szCs w:val="11"/>
                <w:color w:val="auto"/>
                <w:w w:val="88"/>
              </w:rPr>
              <w:t>(a)</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1,574</w:t>
            </w:r>
          </w:p>
        </w:tc>
        <w:tc>
          <w:tcPr>
            <w:tcW w:w="240" w:type="dxa"/>
            <w:vAlign w:val="bottom"/>
          </w:tcPr>
          <w:p>
            <w:pPr>
              <w:jc w:val="right"/>
              <w:ind w:right="46"/>
              <w:spacing w:after="0"/>
              <w:rPr>
                <w:sz w:val="20"/>
                <w:szCs w:val="20"/>
                <w:color w:val="auto"/>
              </w:rPr>
            </w:pPr>
            <w:r>
              <w:rPr>
                <w:rFonts w:ascii="Arial" w:cs="Arial" w:eastAsia="Arial" w:hAnsi="Arial"/>
                <w:sz w:val="11"/>
                <w:szCs w:val="11"/>
                <w:color w:val="auto"/>
                <w:w w:val="88"/>
              </w:rPr>
              <w:t>(a)</w:t>
            </w: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1,585</w:t>
            </w:r>
          </w:p>
        </w:tc>
        <w:tc>
          <w:tcPr>
            <w:tcW w:w="40" w:type="dxa"/>
            <w:vAlign w:val="bottom"/>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1"/>
                <w:szCs w:val="11"/>
                <w:color w:val="auto"/>
              </w:rPr>
              <w:t>(a)</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1,451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1,530</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6,267</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5,241</w:t>
            </w:r>
          </w:p>
        </w:tc>
        <w:tc>
          <w:tcPr>
            <w:tcW w:w="28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20</w:t>
            </w:r>
          </w:p>
        </w:tc>
      </w:tr>
      <w:tr>
        <w:trPr>
          <w:trHeight w:val="148"/>
        </w:trPr>
        <w:tc>
          <w:tcPr>
            <w:tcW w:w="23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5,095</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5,005</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4,943</w:t>
            </w:r>
          </w:p>
        </w:tc>
        <w:tc>
          <w:tcPr>
            <w:tcW w:w="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4,784</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4,588</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19,827</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17,748</w:t>
            </w:r>
          </w:p>
        </w:tc>
        <w:tc>
          <w:tcPr>
            <w:tcW w:w="280" w:type="dxa"/>
            <w:vAlign w:val="bottom"/>
          </w:tcPr>
          <w:p>
            <w:pPr>
              <w:spacing w:after="0"/>
              <w:rPr>
                <w:sz w:val="12"/>
                <w:szCs w:val="12"/>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12</w:t>
            </w:r>
          </w:p>
        </w:tc>
      </w:tr>
      <w:tr>
        <w:trPr>
          <w:trHeight w:val="318"/>
        </w:trPr>
        <w:tc>
          <w:tcPr>
            <w:tcW w:w="2300" w:type="dxa"/>
            <w:vAlign w:val="bottom"/>
            <w:gridSpan w:val="4"/>
          </w:tcPr>
          <w:p>
            <w:pPr>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24"/>
                <w:szCs w:val="24"/>
                <w:color w:val="auto"/>
              </w:rPr>
            </w:pPr>
          </w:p>
        </w:tc>
        <w:tc>
          <w:tcPr>
            <w:tcW w:w="720" w:type="dxa"/>
            <w:vAlign w:val="bottom"/>
            <w:gridSpan w:val="2"/>
          </w:tcPr>
          <w:p>
            <w:pPr>
              <w:jc w:val="right"/>
              <w:ind w:right="46"/>
              <w:spacing w:after="0"/>
              <w:rPr>
                <w:sz w:val="20"/>
                <w:szCs w:val="20"/>
                <w:color w:val="auto"/>
              </w:rPr>
            </w:pPr>
            <w:r>
              <w:rPr>
                <w:rFonts w:ascii="Arial" w:cs="Arial" w:eastAsia="Arial" w:hAnsi="Arial"/>
                <w:sz w:val="11"/>
                <w:szCs w:val="11"/>
                <w:color w:val="auto"/>
              </w:rPr>
              <w:t>(1) (a)</w:t>
            </w:r>
          </w:p>
        </w:tc>
        <w:tc>
          <w:tcPr>
            <w:tcW w:w="120" w:type="dxa"/>
            <w:vAlign w:val="bottom"/>
          </w:tcPr>
          <w:p>
            <w:pPr>
              <w:spacing w:after="0"/>
              <w:rPr>
                <w:sz w:val="24"/>
                <w:szCs w:val="24"/>
                <w:color w:val="auto"/>
              </w:rPr>
            </w:pPr>
          </w:p>
        </w:tc>
        <w:tc>
          <w:tcPr>
            <w:tcW w:w="700" w:type="dxa"/>
            <w:vAlign w:val="bottom"/>
            <w:gridSpan w:val="2"/>
          </w:tcPr>
          <w:p>
            <w:pPr>
              <w:jc w:val="right"/>
              <w:ind w:right="46"/>
              <w:spacing w:after="0"/>
              <w:rPr>
                <w:sz w:val="20"/>
                <w:szCs w:val="20"/>
                <w:color w:val="auto"/>
              </w:rPr>
            </w:pPr>
            <w:r>
              <w:rPr>
                <w:rFonts w:ascii="Arial" w:cs="Arial" w:eastAsia="Arial" w:hAnsi="Arial"/>
                <w:sz w:val="11"/>
                <w:szCs w:val="11"/>
                <w:color w:val="auto"/>
              </w:rPr>
              <w:t>(13) (a)</w:t>
            </w: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145</w:t>
            </w:r>
          </w:p>
        </w:tc>
        <w:tc>
          <w:tcPr>
            <w:tcW w:w="4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Arial" w:cs="Arial" w:eastAsia="Arial" w:hAnsi="Arial"/>
                <w:sz w:val="11"/>
                <w:szCs w:val="11"/>
                <w:color w:val="auto"/>
              </w:rPr>
              <w:t>(a)</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92</w:t>
            </w:r>
          </w:p>
        </w:tc>
        <w:tc>
          <w:tcPr>
            <w:tcW w:w="220" w:type="dxa"/>
            <w:vAlign w:val="bottom"/>
          </w:tcPr>
          <w:p>
            <w:pPr>
              <w:spacing w:after="0"/>
              <w:rPr>
                <w:sz w:val="24"/>
                <w:szCs w:val="24"/>
                <w:color w:val="auto"/>
              </w:rPr>
            </w:pPr>
          </w:p>
        </w:tc>
        <w:tc>
          <w:tcPr>
            <w:tcW w:w="100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159</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128</w:t>
            </w:r>
          </w:p>
        </w:tc>
        <w:tc>
          <w:tcPr>
            <w:tcW w:w="280" w:type="dxa"/>
            <w:vAlign w:val="bottom"/>
          </w:tcPr>
          <w:p>
            <w:pPr>
              <w:spacing w:after="0"/>
              <w:rPr>
                <w:sz w:val="24"/>
                <w:szCs w:val="2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24</w:t>
            </w:r>
          </w:p>
        </w:tc>
      </w:tr>
      <w:tr>
        <w:trPr>
          <w:trHeight w:val="330"/>
        </w:trPr>
        <w:tc>
          <w:tcPr>
            <w:tcW w:w="2300" w:type="dxa"/>
            <w:vAlign w:val="bottom"/>
            <w:gridSpan w:val="4"/>
          </w:tcPr>
          <w:p>
            <w:pPr>
              <w:spacing w:after="0"/>
              <w:rPr>
                <w:sz w:val="20"/>
                <w:szCs w:val="20"/>
                <w:color w:val="auto"/>
              </w:rPr>
            </w:pPr>
            <w:r>
              <w:rPr>
                <w:rFonts w:ascii="Arial" w:cs="Arial" w:eastAsia="Arial" w:hAnsi="Arial"/>
                <w:sz w:val="11"/>
                <w:szCs w:val="11"/>
                <w:b w:val="1"/>
                <w:bCs w:val="1"/>
                <w:color w:val="auto"/>
              </w:rPr>
              <w:t>NONINTEREST EXPENSE</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56"/>
        </w:trPr>
        <w:tc>
          <w:tcPr>
            <w:tcW w:w="2300" w:type="dxa"/>
            <w:vAlign w:val="bottom"/>
            <w:gridSpan w:val="4"/>
          </w:tcPr>
          <w:p>
            <w:pPr>
              <w:spacing w:after="0"/>
              <w:rPr>
                <w:sz w:val="20"/>
                <w:szCs w:val="20"/>
                <w:color w:val="auto"/>
              </w:rPr>
            </w:pPr>
            <w:r>
              <w:rPr>
                <w:rFonts w:ascii="Arial" w:cs="Arial" w:eastAsia="Arial" w:hAnsi="Arial"/>
                <w:sz w:val="11"/>
                <w:szCs w:val="11"/>
                <w:color w:val="auto"/>
              </w:rPr>
              <w:t>Compensation expense</w:t>
            </w: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1,857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1,777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1,746</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1,735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1,649</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7,115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6,336</w:t>
            </w:r>
          </w:p>
        </w:tc>
        <w:tc>
          <w:tcPr>
            <w:tcW w:w="280" w:type="dxa"/>
            <w:vAlign w:val="bottom"/>
          </w:tcPr>
          <w:p>
            <w:pPr>
              <w:spacing w:after="0"/>
              <w:rPr>
                <w:sz w:val="13"/>
                <w:szCs w:val="13"/>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12</w:t>
            </w:r>
          </w:p>
        </w:tc>
      </w:tr>
      <w:tr>
        <w:trPr>
          <w:trHeight w:val="175"/>
        </w:trPr>
        <w:tc>
          <w:tcPr>
            <w:tcW w:w="2300" w:type="dxa"/>
            <w:vAlign w:val="bottom"/>
            <w:gridSpan w:val="4"/>
          </w:tcPr>
          <w:p>
            <w:pPr>
              <w:spacing w:after="0"/>
              <w:rPr>
                <w:sz w:val="20"/>
                <w:szCs w:val="20"/>
                <w:color w:val="auto"/>
              </w:rPr>
            </w:pPr>
            <w:r>
              <w:rPr>
                <w:rFonts w:ascii="Arial" w:cs="Arial" w:eastAsia="Arial" w:hAnsi="Arial"/>
                <w:sz w:val="11"/>
                <w:szCs w:val="11"/>
                <w:color w:val="auto"/>
              </w:rPr>
              <w:t>Noncompensation expense</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1,531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1,361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1,417</w:t>
            </w:r>
          </w:p>
        </w:tc>
        <w:tc>
          <w:tcPr>
            <w:tcW w:w="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1,356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1,373</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5"/>
                <w:szCs w:val="15"/>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5,665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5,493</w:t>
            </w:r>
          </w:p>
        </w:tc>
        <w:tc>
          <w:tcPr>
            <w:tcW w:w="28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3</w:t>
            </w:r>
          </w:p>
        </w:tc>
      </w:tr>
      <w:tr>
        <w:trPr>
          <w:trHeight w:val="155"/>
        </w:trPr>
        <w:tc>
          <w:tcPr>
            <w:tcW w:w="23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3,388</w:t>
            </w:r>
          </w:p>
        </w:tc>
        <w:tc>
          <w:tcPr>
            <w:tcW w:w="240" w:type="dxa"/>
            <w:vAlign w:val="bottom"/>
          </w:tcPr>
          <w:p>
            <w:pPr>
              <w:jc w:val="right"/>
              <w:ind w:right="46"/>
              <w:spacing w:after="0"/>
              <w:rPr>
                <w:sz w:val="20"/>
                <w:szCs w:val="20"/>
                <w:color w:val="auto"/>
              </w:rPr>
            </w:pPr>
            <w:r>
              <w:rPr>
                <w:rFonts w:ascii="Arial" w:cs="Arial" w:eastAsia="Arial" w:hAnsi="Arial"/>
                <w:sz w:val="11"/>
                <w:szCs w:val="11"/>
                <w:color w:val="auto"/>
                <w:w w:val="88"/>
              </w:rPr>
              <w:t>(a)</w:t>
            </w: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3,138</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3,163</w:t>
            </w:r>
          </w:p>
        </w:tc>
        <w:tc>
          <w:tcPr>
            <w:tcW w:w="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3,091</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3,022</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12,780</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11,829</w:t>
            </w:r>
          </w:p>
        </w:tc>
        <w:tc>
          <w:tcPr>
            <w:tcW w:w="280" w:type="dxa"/>
            <w:vAlign w:val="bottom"/>
          </w:tcPr>
          <w:p>
            <w:pPr>
              <w:spacing w:after="0"/>
              <w:rPr>
                <w:sz w:val="13"/>
                <w:szCs w:val="13"/>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8</w:t>
            </w:r>
          </w:p>
        </w:tc>
      </w:tr>
      <w:tr>
        <w:trPr>
          <w:trHeight w:val="297"/>
        </w:trPr>
        <w:tc>
          <w:tcPr>
            <w:tcW w:w="2300" w:type="dxa"/>
            <w:vAlign w:val="bottom"/>
            <w:gridSpan w:val="4"/>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1,708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1,880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1,635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1,665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1,534</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6,888</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5,791</w:t>
            </w:r>
          </w:p>
        </w:tc>
        <w:tc>
          <w:tcPr>
            <w:tcW w:w="280" w:type="dxa"/>
            <w:vAlign w:val="bottom"/>
          </w:tcPr>
          <w:p>
            <w:pPr>
              <w:spacing w:after="0"/>
              <w:rPr>
                <w:sz w:val="24"/>
                <w:szCs w:val="2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19</w:t>
            </w:r>
          </w:p>
        </w:tc>
      </w:tr>
      <w:tr>
        <w:trPr>
          <w:trHeight w:val="170"/>
        </w:trPr>
        <w:tc>
          <w:tcPr>
            <w:tcW w:w="2300" w:type="dxa"/>
            <w:vAlign w:val="bottom"/>
            <w:gridSpan w:val="4"/>
          </w:tcPr>
          <w:p>
            <w:pPr>
              <w:spacing w:after="0"/>
              <w:rPr>
                <w:sz w:val="20"/>
                <w:szCs w:val="20"/>
                <w:color w:val="auto"/>
              </w:rPr>
            </w:pPr>
            <w:r>
              <w:rPr>
                <w:rFonts w:ascii="Arial" w:cs="Arial" w:eastAsia="Arial" w:hAnsi="Arial"/>
                <w:sz w:val="11"/>
                <w:szCs w:val="11"/>
                <w:color w:val="auto"/>
              </w:rPr>
              <w:t>Income tax expense</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491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463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409</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298</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400</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23</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1,661</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1,426</w:t>
            </w:r>
          </w:p>
        </w:tc>
        <w:tc>
          <w:tcPr>
            <w:tcW w:w="28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16</w:t>
            </w:r>
          </w:p>
        </w:tc>
      </w:tr>
      <w:tr>
        <w:trPr>
          <w:trHeight w:val="169"/>
        </w:trPr>
        <w:tc>
          <w:tcPr>
            <w:tcW w:w="2300" w:type="dxa"/>
            <w:vAlign w:val="bottom"/>
            <w:gridSpan w:val="4"/>
          </w:tcPr>
          <w:p>
            <w:pPr>
              <w:ind w:left="120"/>
              <w:spacing w:after="0"/>
              <w:rPr>
                <w:sz w:val="20"/>
                <w:szCs w:val="20"/>
                <w:color w:val="auto"/>
              </w:rPr>
            </w:pPr>
            <w:r>
              <w:rPr>
                <w:rFonts w:ascii="Arial" w:cs="Arial" w:eastAsia="Arial" w:hAnsi="Arial"/>
                <w:sz w:val="11"/>
                <w:szCs w:val="11"/>
                <w:b w:val="1"/>
                <w:bCs w:val="1"/>
                <w:color w:val="auto"/>
              </w:rPr>
              <w:t>NET INCOME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1,217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1,417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1,226</w:t>
            </w:r>
          </w:p>
        </w:tc>
        <w:tc>
          <w:tcPr>
            <w:tcW w:w="40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1,367</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1,134</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5,227</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4,365</w:t>
            </w:r>
          </w:p>
        </w:tc>
        <w:tc>
          <w:tcPr>
            <w:tcW w:w="28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20</w:t>
            </w:r>
          </w:p>
        </w:tc>
      </w:tr>
      <w:tr>
        <w:trPr>
          <w:trHeight w:val="270"/>
        </w:trPr>
        <w:tc>
          <w:tcPr>
            <w:tcW w:w="2300" w:type="dxa"/>
            <w:vAlign w:val="bottom"/>
            <w:gridSpan w:val="4"/>
          </w:tcPr>
          <w:p>
            <w:pPr>
              <w:spacing w:after="0"/>
              <w:rPr>
                <w:sz w:val="20"/>
                <w:szCs w:val="20"/>
                <w:color w:val="auto"/>
              </w:rPr>
            </w:pPr>
            <w:r>
              <w:rPr>
                <w:rFonts w:ascii="Arial" w:cs="Arial" w:eastAsia="Arial" w:hAnsi="Arial"/>
                <w:sz w:val="11"/>
                <w:szCs w:val="11"/>
                <w:b w:val="1"/>
                <w:bCs w:val="1"/>
                <w:color w:val="auto"/>
              </w:rPr>
              <w:t>REVENUE BY LINE OF BUSINESS</w:t>
            </w: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3"/>
        </w:trPr>
        <w:tc>
          <w:tcPr>
            <w:tcW w:w="174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Asset Management</w:t>
            </w:r>
          </w:p>
        </w:tc>
        <w:tc>
          <w:tcPr>
            <w:tcW w:w="5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2,403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2,164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2,128</w:t>
            </w:r>
          </w:p>
        </w:tc>
        <w:tc>
          <w:tcPr>
            <w:tcW w:w="40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2,434</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2,158</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4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9,129</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8,818</w:t>
            </w:r>
          </w:p>
        </w:tc>
        <w:tc>
          <w:tcPr>
            <w:tcW w:w="28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4</w:t>
            </w:r>
          </w:p>
        </w:tc>
      </w:tr>
      <w:tr>
        <w:trPr>
          <w:trHeight w:val="175"/>
        </w:trPr>
        <w:tc>
          <w:tcPr>
            <w:tcW w:w="2300" w:type="dxa"/>
            <w:vAlign w:val="bottom"/>
            <w:gridSpan w:val="4"/>
          </w:tcPr>
          <w:p>
            <w:pPr>
              <w:spacing w:after="0"/>
              <w:rPr>
                <w:sz w:val="20"/>
                <w:szCs w:val="20"/>
                <w:color w:val="auto"/>
              </w:rPr>
            </w:pPr>
            <w:r>
              <w:rPr>
                <w:rFonts w:ascii="Arial" w:cs="Arial" w:eastAsia="Arial" w:hAnsi="Arial"/>
                <w:sz w:val="11"/>
                <w:szCs w:val="11"/>
                <w:color w:val="auto"/>
              </w:rPr>
              <w:t>Global Private Bank</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2,692</w:t>
            </w:r>
          </w:p>
        </w:tc>
        <w:tc>
          <w:tcPr>
            <w:tcW w:w="240" w:type="dxa"/>
            <w:vAlign w:val="bottom"/>
          </w:tcPr>
          <w:p>
            <w:pPr>
              <w:jc w:val="right"/>
              <w:ind w:right="46"/>
              <w:spacing w:after="0"/>
              <w:rPr>
                <w:sz w:val="20"/>
                <w:szCs w:val="20"/>
                <w:color w:val="auto"/>
              </w:rPr>
            </w:pPr>
            <w:r>
              <w:rPr>
                <w:rFonts w:ascii="Arial" w:cs="Arial" w:eastAsia="Arial" w:hAnsi="Arial"/>
                <w:sz w:val="11"/>
                <w:szCs w:val="11"/>
                <w:color w:val="auto"/>
                <w:w w:val="88"/>
              </w:rPr>
              <w:t>(a)</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2,841</w:t>
            </w:r>
          </w:p>
        </w:tc>
        <w:tc>
          <w:tcPr>
            <w:tcW w:w="240" w:type="dxa"/>
            <w:vAlign w:val="bottom"/>
          </w:tcPr>
          <w:p>
            <w:pPr>
              <w:jc w:val="right"/>
              <w:ind w:right="46"/>
              <w:spacing w:after="0"/>
              <w:rPr>
                <w:sz w:val="20"/>
                <w:szCs w:val="20"/>
                <w:color w:val="auto"/>
              </w:rPr>
            </w:pPr>
            <w:r>
              <w:rPr>
                <w:rFonts w:ascii="Arial" w:cs="Arial" w:eastAsia="Arial" w:hAnsi="Arial"/>
                <w:sz w:val="11"/>
                <w:szCs w:val="11"/>
                <w:color w:val="auto"/>
                <w:w w:val="88"/>
              </w:rPr>
              <w:t>(a)</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2,815</w:t>
            </w: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(a)</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2,350</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2,430</w:t>
            </w:r>
          </w:p>
        </w:tc>
        <w:tc>
          <w:tcPr>
            <w:tcW w:w="86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5"/>
                <w:szCs w:val="15"/>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10,698</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8,930</w:t>
            </w:r>
          </w:p>
        </w:tc>
        <w:tc>
          <w:tcPr>
            <w:tcW w:w="28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20</w:t>
            </w:r>
          </w:p>
        </w:tc>
      </w:tr>
      <w:tr>
        <w:trPr>
          <w:trHeight w:val="169"/>
        </w:trPr>
        <w:tc>
          <w:tcPr>
            <w:tcW w:w="23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5,095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5,005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4,943</w:t>
            </w:r>
          </w:p>
        </w:tc>
        <w:tc>
          <w:tcPr>
            <w:tcW w:w="40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4,784</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4,588</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4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19,827</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17,748</w:t>
            </w:r>
          </w:p>
        </w:tc>
        <w:tc>
          <w:tcPr>
            <w:tcW w:w="28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12</w:t>
            </w:r>
          </w:p>
        </w:tc>
      </w:tr>
      <w:tr>
        <w:trPr>
          <w:trHeight w:val="270"/>
        </w:trPr>
        <w:tc>
          <w:tcPr>
            <w:tcW w:w="1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FINANCIAL RATIOS</w:t>
            </w:r>
          </w:p>
        </w:tc>
        <w:tc>
          <w:tcPr>
            <w:tcW w:w="1280" w:type="dxa"/>
            <w:vAlign w:val="bottom"/>
            <w:gridSpan w:val="3"/>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3"/>
        </w:trPr>
        <w:tc>
          <w:tcPr>
            <w:tcW w:w="2300" w:type="dxa"/>
            <w:vAlign w:val="bottom"/>
            <w:gridSpan w:val="4"/>
          </w:tcPr>
          <w:p>
            <w:pPr>
              <w:spacing w:after="0"/>
              <w:rPr>
                <w:sz w:val="20"/>
                <w:szCs w:val="20"/>
                <w:color w:val="auto"/>
              </w:rPr>
            </w:pPr>
            <w:r>
              <w:rPr>
                <w:rFonts w:ascii="Arial" w:cs="Arial" w:eastAsia="Arial" w:hAnsi="Arial"/>
                <w:sz w:val="11"/>
                <w:szCs w:val="11"/>
                <w:color w:val="auto"/>
              </w:rPr>
              <w:t>ROE</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240" w:type="dxa"/>
            <w:vAlign w:val="bottom"/>
          </w:tcPr>
          <w:p>
            <w:pPr>
              <w:jc w:val="right"/>
              <w:ind w:right="86"/>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29</w:t>
            </w:r>
          </w:p>
        </w:tc>
        <w:tc>
          <w:tcPr>
            <w:tcW w:w="28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34</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26</w:t>
            </w:r>
          </w:p>
        </w:tc>
        <w:tc>
          <w:tcPr>
            <w:tcW w:w="2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280" w:type="dxa"/>
            <w:vAlign w:val="bottom"/>
          </w:tcPr>
          <w:p>
            <w:pPr>
              <w:ind w:left="20"/>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4"/>
                <w:szCs w:val="14"/>
                <w:color w:val="auto"/>
              </w:rPr>
            </w:pPr>
          </w:p>
        </w:tc>
      </w:tr>
      <w:tr>
        <w:trPr>
          <w:trHeight w:val="162"/>
        </w:trPr>
        <w:tc>
          <w:tcPr>
            <w:tcW w:w="2300" w:type="dxa"/>
            <w:vAlign w:val="bottom"/>
            <w:gridSpan w:val="4"/>
          </w:tcPr>
          <w:p>
            <w:pPr>
              <w:spacing w:after="0"/>
              <w:rPr>
                <w:sz w:val="20"/>
                <w:szCs w:val="20"/>
                <w:color w:val="auto"/>
              </w:rPr>
            </w:pPr>
            <w:r>
              <w:rPr>
                <w:rFonts w:ascii="Arial" w:cs="Arial" w:eastAsia="Arial" w:hAnsi="Arial"/>
                <w:sz w:val="11"/>
                <w:szCs w:val="11"/>
                <w:color w:val="auto"/>
              </w:rPr>
              <w:t>Overhead ratio</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64</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66</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67</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300" w:type="dxa"/>
            <w:vAlign w:val="bottom"/>
            <w:gridSpan w:val="4"/>
          </w:tcPr>
          <w:p>
            <w:pPr>
              <w:spacing w:after="0"/>
              <w:rPr>
                <w:sz w:val="20"/>
                <w:szCs w:val="20"/>
                <w:color w:val="auto"/>
              </w:rPr>
            </w:pPr>
            <w:r>
              <w:rPr>
                <w:rFonts w:ascii="Arial" w:cs="Arial" w:eastAsia="Arial" w:hAnsi="Arial"/>
                <w:sz w:val="11"/>
                <w:szCs w:val="11"/>
                <w:color w:val="auto"/>
              </w:rPr>
              <w:t>Pretax margin ratio:</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300" w:type="dxa"/>
            <w:vAlign w:val="bottom"/>
            <w:gridSpan w:val="4"/>
          </w:tcPr>
          <w:p>
            <w:pPr>
              <w:ind w:left="120"/>
              <w:spacing w:after="0"/>
              <w:rPr>
                <w:sz w:val="20"/>
                <w:szCs w:val="20"/>
                <w:color w:val="auto"/>
              </w:rPr>
            </w:pPr>
            <w:r>
              <w:rPr>
                <w:rFonts w:ascii="Arial" w:cs="Arial" w:eastAsia="Arial" w:hAnsi="Arial"/>
                <w:sz w:val="11"/>
                <w:szCs w:val="11"/>
                <w:color w:val="auto"/>
              </w:rPr>
              <w:t>Asset Management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30</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300" w:type="dxa"/>
            <w:vAlign w:val="bottom"/>
            <w:gridSpan w:val="4"/>
          </w:tcPr>
          <w:p>
            <w:pPr>
              <w:ind w:left="120"/>
              <w:spacing w:after="0"/>
              <w:rPr>
                <w:sz w:val="20"/>
                <w:szCs w:val="20"/>
                <w:color w:val="auto"/>
              </w:rPr>
            </w:pPr>
            <w:r>
              <w:rPr>
                <w:rFonts w:ascii="Arial" w:cs="Arial" w:eastAsia="Arial" w:hAnsi="Arial"/>
                <w:sz w:val="11"/>
                <w:szCs w:val="11"/>
                <w:color w:val="auto"/>
              </w:rPr>
              <w:t>Global Private Bank</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39</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300" w:type="dxa"/>
            <w:vAlign w:val="bottom"/>
            <w:gridSpan w:val="4"/>
          </w:tcPr>
          <w:p>
            <w:pPr>
              <w:ind w:left="120"/>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0"/>
        </w:trPr>
        <w:tc>
          <w:tcPr>
            <w:tcW w:w="2300" w:type="dxa"/>
            <w:vAlign w:val="bottom"/>
            <w:gridSpan w:val="4"/>
          </w:tcPr>
          <w:p>
            <w:pPr>
              <w:spacing w:after="0"/>
              <w:rPr>
                <w:sz w:val="20"/>
                <w:szCs w:val="20"/>
                <w:color w:val="auto"/>
              </w:rPr>
            </w:pPr>
            <w:r>
              <w:rPr>
                <w:rFonts w:ascii="Arial" w:cs="Arial" w:eastAsia="Arial" w:hAnsi="Arial"/>
                <w:sz w:val="11"/>
                <w:szCs w:val="11"/>
                <w:b w:val="1"/>
                <w:bCs w:val="1"/>
                <w:color w:val="auto"/>
              </w:rPr>
              <w:t>Employees</w:t>
            </w: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28,485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28,083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26,931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26,773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26,041</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28,485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26,041</w:t>
            </w:r>
          </w:p>
        </w:tc>
        <w:tc>
          <w:tcPr>
            <w:tcW w:w="280" w:type="dxa"/>
            <w:vAlign w:val="bottom"/>
          </w:tcPr>
          <w:p>
            <w:pPr>
              <w:spacing w:after="0"/>
              <w:rPr>
                <w:sz w:val="24"/>
                <w:szCs w:val="2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9</w:t>
            </w:r>
          </w:p>
        </w:tc>
      </w:tr>
      <w:tr>
        <w:trPr>
          <w:trHeight w:val="318"/>
        </w:trPr>
        <w:tc>
          <w:tcPr>
            <w:tcW w:w="2300" w:type="dxa"/>
            <w:vAlign w:val="bottom"/>
            <w:gridSpan w:val="4"/>
          </w:tcPr>
          <w:p>
            <w:pPr>
              <w:spacing w:after="0"/>
              <w:rPr>
                <w:sz w:val="20"/>
                <w:szCs w:val="20"/>
                <w:color w:val="auto"/>
              </w:rPr>
            </w:pPr>
            <w:r>
              <w:rPr>
                <w:rFonts w:ascii="Arial" w:cs="Arial" w:eastAsia="Arial" w:hAnsi="Arial"/>
                <w:sz w:val="11"/>
                <w:szCs w:val="11"/>
                <w:color w:val="auto"/>
              </w:rPr>
              <w:t>Number of Global Private Bank client advisors</w:t>
            </w:r>
          </w:p>
        </w:tc>
        <w:tc>
          <w:tcPr>
            <w:tcW w:w="1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3,515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3,443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3,214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3,189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3,137</w:t>
            </w:r>
          </w:p>
        </w:tc>
        <w:tc>
          <w:tcPr>
            <w:tcW w:w="86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12</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3,515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3,137</w:t>
            </w:r>
          </w:p>
        </w:tc>
        <w:tc>
          <w:tcPr>
            <w:tcW w:w="280" w:type="dxa"/>
            <w:vAlign w:val="bottom"/>
          </w:tcPr>
          <w:p>
            <w:pPr>
              <w:spacing w:after="0"/>
              <w:rPr>
                <w:sz w:val="24"/>
                <w:szCs w:val="24"/>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Includes First Republic. Refer to page 30 for additional information.</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Prior-period amounts have been revised to conform with the current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21</w:t>
      </w:r>
    </w:p>
    <w:p>
      <w:pPr>
        <w:sectPr>
          <w:pgSz w:w="11900" w:h="16838" w:orient="portrait"/>
          <w:cols w:equalWidth="0" w:num="1">
            <w:col w:w="11240"/>
          </w:cols>
          <w:pgMar w:left="320" w:top="572" w:right="339" w:bottom="1440" w:gutter="0" w:footer="0" w:header="0"/>
        </w:sectPr>
      </w:pPr>
    </w:p>
    <w:bookmarkStart w:id="33" w:name="page34"/>
    <w:bookmarkEnd w:id="33"/>
    <w:p>
      <w:pPr>
        <w:ind w:left="9720"/>
        <w:spacing w:after="0"/>
        <w:rPr>
          <w:sz w:val="20"/>
          <w:szCs w:val="20"/>
          <w:color w:val="auto"/>
        </w:rPr>
      </w:pPr>
      <w:r>
        <w:rPr>
          <w:rFonts w:ascii="Arial" w:cs="Arial" w:eastAsia="Arial" w:hAnsi="Arial"/>
          <w:sz w:val="10"/>
          <w:szCs w:val="10"/>
          <w:color w:val="auto"/>
        </w:rPr>
        <w:t>Page 22</w:t>
      </w:r>
    </w:p>
    <w:p>
      <w:pPr>
        <w:sectPr>
          <w:pgSz w:w="11900" w:h="16838" w:orient="portrait"/>
          <w:cols w:equalWidth="0" w:num="1">
            <w:col w:w="10120"/>
          </w:cols>
          <w:pgMar w:left="1440" w:top="720"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13970</wp:posOffset>
            </wp:positionV>
            <wp:extent cx="237426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 &amp; WEALTH</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MANAGEMENT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ind w:left="380"/>
              <w:spacing w:after="0"/>
              <w:rPr>
                <w:sz w:val="20"/>
                <w:szCs w:val="20"/>
                <w:color w:val="auto"/>
              </w:rPr>
            </w:pPr>
            <w:r>
              <w:rPr>
                <w:rFonts w:ascii="Arial" w:cs="Arial" w:eastAsia="Arial" w:hAnsi="Arial"/>
                <w:sz w:val="11"/>
                <w:szCs w:val="11"/>
                <w:b w:val="1"/>
                <w:bCs w:val="1"/>
                <w:color w:val="auto"/>
              </w:rPr>
              <w:t>QUARTERLY TRENDS</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866"/>
              <w:spacing w:after="0"/>
              <w:rPr>
                <w:sz w:val="20"/>
                <w:szCs w:val="20"/>
                <w:color w:val="auto"/>
              </w:rPr>
            </w:pPr>
            <w:r>
              <w:rPr>
                <w:rFonts w:ascii="Arial" w:cs="Arial" w:eastAsia="Arial" w:hAnsi="Arial"/>
                <w:sz w:val="11"/>
                <w:szCs w:val="11"/>
                <w:b w:val="1"/>
                <w:bCs w:val="1"/>
                <w:color w:val="auto"/>
              </w:rPr>
              <w:t>FULL YEAR</w:t>
            </w: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1"/>
                <w:szCs w:val="11"/>
                <w:b w:val="1"/>
                <w:bCs w:val="1"/>
                <w:color w:val="auto"/>
              </w:rPr>
              <w:t>4Q23 Change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 Change</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6"/>
              <w:spacing w:after="0"/>
              <w:rPr>
                <w:sz w:val="20"/>
                <w:szCs w:val="20"/>
                <w:color w:val="auto"/>
              </w:rPr>
            </w:pPr>
            <w:r>
              <w:rPr>
                <w:rFonts w:ascii="Arial" w:cs="Arial" w:eastAsia="Arial" w:hAnsi="Arial"/>
                <w:sz w:val="11"/>
                <w:szCs w:val="11"/>
                <w:b w:val="1"/>
                <w:bCs w:val="1"/>
                <w:color w:val="auto"/>
              </w:rPr>
              <w:t>4Q23</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3Q23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2Q23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1Q23</w:t>
            </w:r>
          </w:p>
        </w:tc>
        <w:tc>
          <w:tcPr>
            <w:tcW w:w="100" w:type="dxa"/>
            <w:vAlign w:val="bottom"/>
          </w:tcPr>
          <w:p>
            <w:pPr>
              <w:spacing w:after="0"/>
              <w:rPr>
                <w:sz w:val="13"/>
                <w:szCs w:val="13"/>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4Q22</w:t>
            </w:r>
          </w:p>
        </w:tc>
        <w:tc>
          <w:tcPr>
            <w:tcW w:w="220" w:type="dxa"/>
            <w:vAlign w:val="bottom"/>
          </w:tcPr>
          <w:p>
            <w:pPr>
              <w:spacing w:after="0"/>
              <w:rPr>
                <w:sz w:val="13"/>
                <w:szCs w:val="13"/>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3Q23</w:t>
            </w:r>
          </w:p>
        </w:tc>
        <w:tc>
          <w:tcPr>
            <w:tcW w:w="100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4Q22</w:t>
            </w: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98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8"/>
        </w:trPr>
        <w:tc>
          <w:tcPr>
            <w:tcW w:w="2200" w:type="dxa"/>
            <w:vAlign w:val="bottom"/>
            <w:gridSpan w:val="5"/>
          </w:tcPr>
          <w:p>
            <w:pPr>
              <w:spacing w:after="0" w:line="108" w:lineRule="exact"/>
              <w:rPr>
                <w:sz w:val="20"/>
                <w:szCs w:val="20"/>
                <w:color w:val="auto"/>
              </w:rPr>
            </w:pPr>
            <w:r>
              <w:rPr>
                <w:rFonts w:ascii="Arial" w:cs="Arial" w:eastAsia="Arial" w:hAnsi="Arial"/>
                <w:sz w:val="11"/>
                <w:szCs w:val="11"/>
                <w:b w:val="1"/>
                <w:bCs w:val="1"/>
                <w:color w:val="auto"/>
              </w:rPr>
              <w:t>SELECTED BALANCE SHEET DATA</w:t>
            </w: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4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(period-end)</w:t>
            </w:r>
          </w:p>
        </w:tc>
        <w:tc>
          <w:tcPr>
            <w:tcW w:w="12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200" w:type="dxa"/>
            <w:vAlign w:val="bottom"/>
            <w:gridSpan w:val="5"/>
          </w:tcPr>
          <w:p>
            <w:pPr>
              <w:spacing w:after="0"/>
              <w:rPr>
                <w:sz w:val="20"/>
                <w:szCs w:val="20"/>
                <w:color w:val="auto"/>
              </w:rPr>
            </w:pPr>
            <w:r>
              <w:rPr>
                <w:rFonts w:ascii="Arial" w:cs="Arial" w:eastAsia="Arial" w:hAnsi="Arial"/>
                <w:sz w:val="11"/>
                <w:szCs w:val="11"/>
                <w:color w:val="auto"/>
              </w:rPr>
              <w:t>Total assets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245,512</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249,866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247,118</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232,516</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232,037</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6 %</w:t>
            </w: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245,512</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232,037</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62"/>
        </w:trPr>
        <w:tc>
          <w:tcPr>
            <w:tcW w:w="2200" w:type="dxa"/>
            <w:vAlign w:val="bottom"/>
            <w:gridSpan w:val="5"/>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227,929</w:t>
            </w:r>
          </w:p>
        </w:tc>
        <w:tc>
          <w:tcPr>
            <w:tcW w:w="260" w:type="dxa"/>
            <w:vAlign w:val="bottom"/>
          </w:tcPr>
          <w:p>
            <w:pPr>
              <w:ind w:left="20"/>
              <w:spacing w:after="0"/>
              <w:rPr>
                <w:sz w:val="20"/>
                <w:szCs w:val="20"/>
                <w:color w:val="auto"/>
              </w:rPr>
            </w:pPr>
            <w:r>
              <w:rPr>
                <w:rFonts w:ascii="Arial" w:cs="Arial" w:eastAsia="Arial" w:hAnsi="Arial"/>
                <w:sz w:val="11"/>
                <w:szCs w:val="11"/>
                <w:color w:val="auto"/>
              </w:rPr>
              <w:t>(a)</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228,114</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222,493</w:t>
            </w:r>
          </w:p>
        </w:tc>
        <w:tc>
          <w:tcPr>
            <w:tcW w:w="240" w:type="dxa"/>
            <w:vAlign w:val="bottom"/>
          </w:tcPr>
          <w:p>
            <w:pPr>
              <w:spacing w:after="0"/>
              <w:rPr>
                <w:sz w:val="20"/>
                <w:szCs w:val="20"/>
                <w:color w:val="auto"/>
              </w:rPr>
            </w:pPr>
            <w:r>
              <w:rPr>
                <w:rFonts w:ascii="Arial" w:cs="Arial" w:eastAsia="Arial" w:hAnsi="Arial"/>
                <w:sz w:val="11"/>
                <w:szCs w:val="11"/>
                <w:color w:val="auto"/>
              </w:rPr>
              <w:t>(a)</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211,140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214,006</w:t>
            </w:r>
          </w:p>
        </w:tc>
        <w:tc>
          <w:tcPr>
            <w:tcW w:w="22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227,929</w:t>
            </w:r>
          </w:p>
        </w:tc>
        <w:tc>
          <w:tcPr>
            <w:tcW w:w="260" w:type="dxa"/>
            <w:vAlign w:val="bottom"/>
          </w:tcPr>
          <w:p>
            <w:pPr>
              <w:ind w:left="20"/>
              <w:spacing w:after="0"/>
              <w:rPr>
                <w:sz w:val="20"/>
                <w:szCs w:val="20"/>
                <w:color w:val="auto"/>
              </w:rPr>
            </w:pPr>
            <w:r>
              <w:rPr>
                <w:rFonts w:ascii="Arial" w:cs="Arial" w:eastAsia="Arial" w:hAnsi="Arial"/>
                <w:sz w:val="11"/>
                <w:szCs w:val="11"/>
                <w:color w:val="auto"/>
              </w:rPr>
              <w:t>(a)</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214,006</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2200" w:type="dxa"/>
            <w:vAlign w:val="bottom"/>
            <w:gridSpan w:val="5"/>
          </w:tcPr>
          <w:p>
            <w:pPr>
              <w:spacing w:after="0"/>
              <w:rPr>
                <w:sz w:val="20"/>
                <w:szCs w:val="20"/>
                <w:color w:val="auto"/>
              </w:rPr>
            </w:pPr>
            <w:r>
              <w:rPr>
                <w:rFonts w:ascii="Arial" w:cs="Arial" w:eastAsia="Arial" w:hAnsi="Arial"/>
                <w:sz w:val="11"/>
                <w:szCs w:val="11"/>
                <w:color w:val="auto"/>
              </w:rPr>
              <w:t>Deposits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233,232</w:t>
            </w:r>
          </w:p>
        </w:tc>
        <w:tc>
          <w:tcPr>
            <w:tcW w:w="260" w:type="dxa"/>
            <w:vAlign w:val="bottom"/>
          </w:tcPr>
          <w:p>
            <w:pPr>
              <w:ind w:left="20"/>
              <w:spacing w:after="0"/>
              <w:rPr>
                <w:sz w:val="20"/>
                <w:szCs w:val="20"/>
                <w:color w:val="auto"/>
              </w:rPr>
            </w:pPr>
            <w:r>
              <w:rPr>
                <w:rFonts w:ascii="Arial" w:cs="Arial" w:eastAsia="Arial" w:hAnsi="Arial"/>
                <w:sz w:val="11"/>
                <w:szCs w:val="11"/>
                <w:color w:val="auto"/>
              </w:rPr>
              <w:t>(a)</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215,152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199,763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225,831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233,130</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233,232</w:t>
            </w:r>
          </w:p>
        </w:tc>
        <w:tc>
          <w:tcPr>
            <w:tcW w:w="260" w:type="dxa"/>
            <w:vAlign w:val="bottom"/>
          </w:tcPr>
          <w:p>
            <w:pPr>
              <w:ind w:left="20"/>
              <w:spacing w:after="0"/>
              <w:rPr>
                <w:sz w:val="20"/>
                <w:szCs w:val="20"/>
                <w:color w:val="auto"/>
              </w:rPr>
            </w:pPr>
            <w:r>
              <w:rPr>
                <w:rFonts w:ascii="Arial" w:cs="Arial" w:eastAsia="Arial" w:hAnsi="Arial"/>
                <w:sz w:val="11"/>
                <w:szCs w:val="11"/>
                <w:color w:val="auto"/>
              </w:rPr>
              <w:t>(a)</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233,130</w:t>
            </w:r>
          </w:p>
        </w:tc>
        <w:tc>
          <w:tcPr>
            <w:tcW w:w="2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200" w:type="dxa"/>
            <w:vAlign w:val="bottom"/>
            <w:gridSpan w:val="5"/>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16,000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17,000</w:t>
            </w:r>
          </w:p>
        </w:tc>
        <w:tc>
          <w:tcPr>
            <w:tcW w:w="22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5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17,000</w:t>
            </w:r>
          </w:p>
        </w:tc>
        <w:tc>
          <w:tcPr>
            <w:tcW w:w="2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3"/>
        </w:trPr>
        <w:tc>
          <w:tcPr>
            <w:tcW w:w="2200" w:type="dxa"/>
            <w:vAlign w:val="bottom"/>
            <w:gridSpan w:val="5"/>
          </w:tcPr>
          <w:p>
            <w:pPr>
              <w:spacing w:after="0"/>
              <w:rPr>
                <w:sz w:val="20"/>
                <w:szCs w:val="20"/>
                <w:color w:val="auto"/>
              </w:rPr>
            </w:pPr>
            <w:r>
              <w:rPr>
                <w:rFonts w:ascii="Arial" w:cs="Arial" w:eastAsia="Arial" w:hAnsi="Arial"/>
                <w:sz w:val="11"/>
                <w:szCs w:val="11"/>
                <w:b w:val="1"/>
                <w:bCs w:val="1"/>
                <w:color w:val="auto"/>
              </w:rPr>
              <w:t>SELECTED BALANCE SHEET DATA</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84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(average)</w:t>
            </w: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00" w:type="dxa"/>
            <w:vAlign w:val="bottom"/>
            <w:gridSpan w:val="5"/>
          </w:tcPr>
          <w:p>
            <w:pPr>
              <w:spacing w:after="0"/>
              <w:rPr>
                <w:sz w:val="20"/>
                <w:szCs w:val="20"/>
                <w:color w:val="auto"/>
              </w:rPr>
            </w:pPr>
            <w:r>
              <w:rPr>
                <w:rFonts w:ascii="Arial" w:cs="Arial" w:eastAsia="Arial" w:hAnsi="Arial"/>
                <w:sz w:val="11"/>
                <w:szCs w:val="11"/>
                <w:color w:val="auto"/>
              </w:rPr>
              <w:t>Total assets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247,202</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245,616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238,987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228,823</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230,149</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240,222</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232,438</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2"/>
        </w:trPr>
        <w:tc>
          <w:tcPr>
            <w:tcW w:w="2200" w:type="dxa"/>
            <w:vAlign w:val="bottom"/>
            <w:gridSpan w:val="5"/>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227,042</w:t>
            </w:r>
          </w:p>
        </w:tc>
        <w:tc>
          <w:tcPr>
            <w:tcW w:w="260" w:type="dxa"/>
            <w:vAlign w:val="bottom"/>
          </w:tcPr>
          <w:p>
            <w:pPr>
              <w:ind w:left="20"/>
              <w:spacing w:after="0"/>
              <w:rPr>
                <w:sz w:val="20"/>
                <w:szCs w:val="20"/>
                <w:color w:val="auto"/>
              </w:rPr>
            </w:pPr>
            <w:r>
              <w:rPr>
                <w:rFonts w:ascii="Arial" w:cs="Arial" w:eastAsia="Arial" w:hAnsi="Arial"/>
                <w:sz w:val="11"/>
                <w:szCs w:val="11"/>
                <w:color w:val="auto"/>
              </w:rPr>
              <w:t>(b)</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223,760</w:t>
            </w:r>
          </w:p>
        </w:tc>
        <w:tc>
          <w:tcPr>
            <w:tcW w:w="240" w:type="dxa"/>
            <w:vAlign w:val="bottom"/>
          </w:tcPr>
          <w:p>
            <w:pPr>
              <w:ind w:left="20"/>
              <w:spacing w:after="0"/>
              <w:rPr>
                <w:sz w:val="20"/>
                <w:szCs w:val="20"/>
                <w:color w:val="auto"/>
              </w:rPr>
            </w:pPr>
            <w:r>
              <w:rPr>
                <w:rFonts w:ascii="Arial" w:cs="Arial" w:eastAsia="Arial" w:hAnsi="Arial"/>
                <w:sz w:val="11"/>
                <w:szCs w:val="11"/>
                <w:color w:val="auto"/>
              </w:rPr>
              <w:t>(b)</w:t>
            </w: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219,469</w:t>
            </w:r>
          </w:p>
        </w:tc>
        <w:tc>
          <w:tcPr>
            <w:tcW w:w="240" w:type="dxa"/>
            <w:vAlign w:val="bottom"/>
          </w:tcPr>
          <w:p>
            <w:pPr>
              <w:spacing w:after="0"/>
              <w:rPr>
                <w:sz w:val="20"/>
                <w:szCs w:val="20"/>
                <w:color w:val="auto"/>
              </w:rPr>
            </w:pPr>
            <w:r>
              <w:rPr>
                <w:rFonts w:ascii="Arial" w:cs="Arial" w:eastAsia="Arial" w:hAnsi="Arial"/>
                <w:sz w:val="11"/>
                <w:szCs w:val="11"/>
                <w:color w:val="auto"/>
              </w:rPr>
              <w:t>(b)</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211,469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214,150</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220,487</w:t>
            </w:r>
          </w:p>
        </w:tc>
        <w:tc>
          <w:tcPr>
            <w:tcW w:w="260" w:type="dxa"/>
            <w:vAlign w:val="bottom"/>
          </w:tcPr>
          <w:p>
            <w:pPr>
              <w:ind w:left="20"/>
              <w:spacing w:after="0"/>
              <w:rPr>
                <w:sz w:val="20"/>
                <w:szCs w:val="20"/>
                <w:color w:val="auto"/>
              </w:rPr>
            </w:pPr>
            <w:r>
              <w:rPr>
                <w:rFonts w:ascii="Arial" w:cs="Arial" w:eastAsia="Arial" w:hAnsi="Arial"/>
                <w:sz w:val="11"/>
                <w:szCs w:val="11"/>
                <w:color w:val="auto"/>
              </w:rPr>
              <w:t>(b)</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215,582</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200" w:type="dxa"/>
            <w:vAlign w:val="bottom"/>
            <w:gridSpan w:val="5"/>
          </w:tcPr>
          <w:p>
            <w:pPr>
              <w:spacing w:after="0"/>
              <w:rPr>
                <w:sz w:val="20"/>
                <w:szCs w:val="20"/>
                <w:color w:val="auto"/>
              </w:rPr>
            </w:pPr>
            <w:r>
              <w:rPr>
                <w:rFonts w:ascii="Arial" w:cs="Arial" w:eastAsia="Arial" w:hAnsi="Arial"/>
                <w:sz w:val="11"/>
                <w:szCs w:val="11"/>
                <w:color w:val="auto"/>
              </w:rPr>
              <w:t>Deposits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226,640</w:t>
            </w:r>
          </w:p>
        </w:tc>
        <w:tc>
          <w:tcPr>
            <w:tcW w:w="260" w:type="dxa"/>
            <w:vAlign w:val="bottom"/>
          </w:tcPr>
          <w:p>
            <w:pPr>
              <w:ind w:left="20"/>
              <w:spacing w:after="0"/>
              <w:rPr>
                <w:sz w:val="20"/>
                <w:szCs w:val="20"/>
                <w:color w:val="auto"/>
              </w:rPr>
            </w:pPr>
            <w:r>
              <w:rPr>
                <w:rFonts w:ascii="Arial" w:cs="Arial" w:eastAsia="Arial" w:hAnsi="Arial"/>
                <w:sz w:val="11"/>
                <w:szCs w:val="11"/>
                <w:color w:val="auto"/>
              </w:rPr>
              <w:t>(a)</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201,975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211,872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224,354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236,965</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216,178</w:t>
            </w:r>
          </w:p>
        </w:tc>
        <w:tc>
          <w:tcPr>
            <w:tcW w:w="260" w:type="dxa"/>
            <w:vAlign w:val="bottom"/>
          </w:tcPr>
          <w:p>
            <w:pPr>
              <w:ind w:left="20"/>
              <w:spacing w:after="0"/>
              <w:rPr>
                <w:sz w:val="20"/>
                <w:szCs w:val="20"/>
                <w:color w:val="auto"/>
              </w:rPr>
            </w:pPr>
            <w:r>
              <w:rPr>
                <w:rFonts w:ascii="Arial" w:cs="Arial" w:eastAsia="Arial" w:hAnsi="Arial"/>
                <w:sz w:val="11"/>
                <w:szCs w:val="11"/>
                <w:color w:val="auto"/>
              </w:rPr>
              <w:t>(a)</w:t>
            </w: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261,489</w:t>
            </w:r>
          </w:p>
        </w:tc>
        <w:tc>
          <w:tcPr>
            <w:tcW w:w="980" w:type="dxa"/>
            <w:vAlign w:val="bottom"/>
            <w:gridSpan w:val="2"/>
          </w:tcPr>
          <w:p>
            <w:pPr>
              <w:jc w:val="right"/>
              <w:ind w:right="6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2"/>
        </w:trPr>
        <w:tc>
          <w:tcPr>
            <w:tcW w:w="2200" w:type="dxa"/>
            <w:vAlign w:val="bottom"/>
            <w:gridSpan w:val="5"/>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16,670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16,000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17,000</w:t>
            </w:r>
          </w:p>
        </w:tc>
        <w:tc>
          <w:tcPr>
            <w:tcW w:w="22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5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16,671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17,000</w:t>
            </w:r>
          </w:p>
        </w:tc>
        <w:tc>
          <w:tcPr>
            <w:tcW w:w="98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303"/>
        </w:trPr>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6"/>
              </w:rPr>
              <w:t>CREDIT DATA AND QUALITY STATISTICS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200" w:type="dxa"/>
            <w:vAlign w:val="bottom"/>
            <w:gridSpan w:val="5"/>
          </w:tcPr>
          <w:p>
            <w:pPr>
              <w:spacing w:after="0"/>
              <w:rPr>
                <w:sz w:val="20"/>
                <w:szCs w:val="20"/>
                <w:color w:val="auto"/>
              </w:rPr>
            </w:pPr>
            <w:r>
              <w:rPr>
                <w:rFonts w:ascii="Arial" w:cs="Arial" w:eastAsia="Arial" w:hAnsi="Arial"/>
                <w:sz w:val="11"/>
                <w:szCs w:val="11"/>
                <w:color w:val="auto"/>
              </w:rPr>
              <w:t>Net charge-offs/(recoveries)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12</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Arial" w:cs="Arial" w:eastAsia="Arial" w:hAnsi="Arial"/>
                <w:sz w:val="11"/>
                <w:szCs w:val="11"/>
                <w:color w:val="auto"/>
              </w:rPr>
              <w:t>NM</w:t>
            </w:r>
          </w:p>
        </w:tc>
        <w:tc>
          <w:tcPr>
            <w:tcW w:w="100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13</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200" w:type="dxa"/>
            <w:vAlign w:val="bottom"/>
            <w:gridSpan w:val="5"/>
          </w:tcPr>
          <w:p>
            <w:pPr>
              <w:spacing w:after="0"/>
              <w:rPr>
                <w:sz w:val="20"/>
                <w:szCs w:val="20"/>
                <w:color w:val="auto"/>
              </w:rPr>
            </w:pPr>
            <w:r>
              <w:rPr>
                <w:rFonts w:ascii="Arial" w:cs="Arial" w:eastAsia="Arial" w:hAnsi="Arial"/>
                <w:sz w:val="11"/>
                <w:szCs w:val="11"/>
                <w:color w:val="auto"/>
              </w:rPr>
              <w:t>Nonaccrual loans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650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615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477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459</w:t>
            </w:r>
          </w:p>
        </w:tc>
        <w:tc>
          <w:tcPr>
            <w:tcW w:w="760" w:type="dxa"/>
            <w:vAlign w:val="bottom"/>
            <w:gridSpan w:val="2"/>
          </w:tcPr>
          <w:p>
            <w:pPr>
              <w:jc w:val="right"/>
              <w:ind w:right="8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42</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650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459</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62"/>
        </w:trPr>
        <w:tc>
          <w:tcPr>
            <w:tcW w:w="2200" w:type="dxa"/>
            <w:vAlign w:val="bottom"/>
            <w:gridSpan w:val="5"/>
          </w:tcPr>
          <w:p>
            <w:pPr>
              <w:spacing w:after="0"/>
              <w:rPr>
                <w:sz w:val="20"/>
                <w:szCs w:val="20"/>
                <w:color w:val="auto"/>
              </w:rPr>
            </w:pPr>
            <w:r>
              <w:rPr>
                <w:rFonts w:ascii="Arial" w:cs="Arial" w:eastAsia="Arial" w:hAnsi="Arial"/>
                <w:sz w:val="11"/>
                <w:szCs w:val="11"/>
                <w:color w:val="auto"/>
              </w:rPr>
              <w:t>Allowance for credit losses: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gridSpan w:val="5"/>
          </w:tcPr>
          <w:p>
            <w:pPr>
              <w:ind w:left="120"/>
              <w:spacing w:after="0"/>
              <w:rPr>
                <w:sz w:val="20"/>
                <w:szCs w:val="20"/>
                <w:color w:val="auto"/>
              </w:rPr>
            </w:pPr>
            <w:r>
              <w:rPr>
                <w:rFonts w:ascii="Arial" w:cs="Arial" w:eastAsia="Arial" w:hAnsi="Arial"/>
                <w:sz w:val="11"/>
                <w:szCs w:val="11"/>
                <w:color w:val="auto"/>
              </w:rPr>
              <w:t>Allowance for loan losses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633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642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649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526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494</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28</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633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494</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28"/>
        </w:trPr>
        <w:tc>
          <w:tcPr>
            <w:tcW w:w="2200" w:type="dxa"/>
            <w:vAlign w:val="bottom"/>
            <w:gridSpan w:val="5"/>
          </w:tcPr>
          <w:p>
            <w:pPr>
              <w:ind w:left="120"/>
              <w:spacing w:after="0"/>
              <w:rPr>
                <w:sz w:val="20"/>
                <w:szCs w:val="20"/>
                <w:color w:val="auto"/>
              </w:rPr>
            </w:pPr>
            <w:r>
              <w:rPr>
                <w:rFonts w:ascii="Arial" w:cs="Arial" w:eastAsia="Arial" w:hAnsi="Arial"/>
                <w:sz w:val="11"/>
                <w:szCs w:val="11"/>
                <w:color w:val="auto"/>
              </w:rPr>
              <w:t>Allowance for lending-related</w:t>
            </w: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28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32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39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20</w:t>
            </w:r>
          </w:p>
        </w:tc>
        <w:tc>
          <w:tcPr>
            <w:tcW w:w="76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40</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28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20</w:t>
            </w:r>
          </w:p>
        </w:tc>
        <w:tc>
          <w:tcPr>
            <w:tcW w:w="98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55"/>
        </w:trPr>
        <w:tc>
          <w:tcPr>
            <w:tcW w:w="2200" w:type="dxa"/>
            <w:vAlign w:val="bottom"/>
            <w:gridSpan w:val="5"/>
          </w:tcPr>
          <w:p>
            <w:pPr>
              <w:ind w:left="120"/>
              <w:spacing w:after="0"/>
              <w:rPr>
                <w:sz w:val="20"/>
                <w:szCs w:val="20"/>
                <w:color w:val="auto"/>
              </w:rPr>
            </w:pPr>
            <w:r>
              <w:rPr>
                <w:rFonts w:ascii="Arial" w:cs="Arial" w:eastAsia="Arial" w:hAnsi="Arial"/>
                <w:sz w:val="11"/>
                <w:szCs w:val="11"/>
                <w:color w:val="auto"/>
              </w:rPr>
              <w:t>commitments</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00" w:type="dxa"/>
            <w:vAlign w:val="bottom"/>
            <w:gridSpan w:val="5"/>
          </w:tcPr>
          <w:p>
            <w:pPr>
              <w:ind w:left="200"/>
              <w:spacing w:after="0"/>
              <w:rPr>
                <w:sz w:val="20"/>
                <w:szCs w:val="20"/>
                <w:color w:val="auto"/>
              </w:rPr>
            </w:pPr>
            <w:r>
              <w:rPr>
                <w:rFonts w:ascii="Arial" w:cs="Arial" w:eastAsia="Arial" w:hAnsi="Arial"/>
                <w:sz w:val="11"/>
                <w:szCs w:val="11"/>
                <w:b w:val="1"/>
                <w:bCs w:val="1"/>
                <w:color w:val="auto"/>
              </w:rPr>
              <w:t>Total allowance for credit losses</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661</w:t>
            </w:r>
          </w:p>
        </w:tc>
        <w:tc>
          <w:tcPr>
            <w:tcW w:w="260" w:type="dxa"/>
            <w:vAlign w:val="bottom"/>
          </w:tcPr>
          <w:p>
            <w:pPr>
              <w:ind w:left="20"/>
              <w:spacing w:after="0"/>
              <w:rPr>
                <w:sz w:val="20"/>
                <w:szCs w:val="20"/>
                <w:color w:val="auto"/>
              </w:rPr>
            </w:pPr>
            <w:r>
              <w:rPr>
                <w:rFonts w:ascii="Arial" w:cs="Arial" w:eastAsia="Arial" w:hAnsi="Arial"/>
                <w:sz w:val="11"/>
                <w:szCs w:val="11"/>
                <w:color w:val="auto"/>
              </w:rPr>
              <w:t>(c)</w:t>
            </w: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674</w:t>
            </w:r>
          </w:p>
        </w:tc>
        <w:tc>
          <w:tcPr>
            <w:tcW w:w="240" w:type="dxa"/>
            <w:vAlign w:val="bottom"/>
          </w:tcPr>
          <w:p>
            <w:pPr>
              <w:ind w:left="20"/>
              <w:spacing w:after="0"/>
              <w:rPr>
                <w:sz w:val="20"/>
                <w:szCs w:val="20"/>
                <w:color w:val="auto"/>
              </w:rPr>
            </w:pPr>
            <w:r>
              <w:rPr>
                <w:rFonts w:ascii="Arial" w:cs="Arial" w:eastAsia="Arial" w:hAnsi="Arial"/>
                <w:sz w:val="11"/>
                <w:szCs w:val="11"/>
                <w:color w:val="auto"/>
              </w:rPr>
              <w:t>(c)</w:t>
            </w:r>
          </w:p>
        </w:tc>
        <w:tc>
          <w:tcPr>
            <w:tcW w:w="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688</w:t>
            </w:r>
          </w:p>
        </w:tc>
        <w:tc>
          <w:tcPr>
            <w:tcW w:w="240" w:type="dxa"/>
            <w:vAlign w:val="bottom"/>
          </w:tcPr>
          <w:p>
            <w:pPr>
              <w:spacing w:after="0"/>
              <w:rPr>
                <w:sz w:val="20"/>
                <w:szCs w:val="20"/>
                <w:color w:val="auto"/>
              </w:rPr>
            </w:pPr>
            <w:r>
              <w:rPr>
                <w:rFonts w:ascii="Arial" w:cs="Arial" w:eastAsia="Arial" w:hAnsi="Arial"/>
                <w:sz w:val="11"/>
                <w:szCs w:val="11"/>
                <w:color w:val="auto"/>
              </w:rPr>
              <w:t>(c)</w:t>
            </w: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545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514</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661</w:t>
            </w:r>
          </w:p>
        </w:tc>
        <w:tc>
          <w:tcPr>
            <w:tcW w:w="260" w:type="dxa"/>
            <w:vAlign w:val="bottom"/>
          </w:tcPr>
          <w:p>
            <w:pPr>
              <w:ind w:left="20"/>
              <w:spacing w:after="0"/>
              <w:rPr>
                <w:sz w:val="20"/>
                <w:szCs w:val="20"/>
                <w:color w:val="auto"/>
              </w:rPr>
            </w:pPr>
            <w:r>
              <w:rPr>
                <w:rFonts w:ascii="Arial" w:cs="Arial" w:eastAsia="Arial" w:hAnsi="Arial"/>
                <w:sz w:val="11"/>
                <w:szCs w:val="11"/>
                <w:color w:val="auto"/>
              </w:rPr>
              <w:t>(c)</w:t>
            </w:r>
          </w:p>
        </w:tc>
        <w:tc>
          <w:tcPr>
            <w:tcW w:w="1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514</w:t>
            </w:r>
          </w:p>
        </w:tc>
        <w:tc>
          <w:tcPr>
            <w:tcW w:w="980" w:type="dxa"/>
            <w:vAlign w:val="bottom"/>
            <w:gridSpan w:val="2"/>
          </w:tcPr>
          <w:p>
            <w:pPr>
              <w:jc w:val="right"/>
              <w:ind w:right="10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56"/>
        </w:trPr>
        <w:tc>
          <w:tcPr>
            <w:tcW w:w="2200" w:type="dxa"/>
            <w:vAlign w:val="bottom"/>
            <w:gridSpan w:val="5"/>
          </w:tcPr>
          <w:p>
            <w:pPr>
              <w:spacing w:after="0"/>
              <w:rPr>
                <w:sz w:val="20"/>
                <w:szCs w:val="20"/>
                <w:color w:val="auto"/>
              </w:rPr>
            </w:pPr>
            <w:r>
              <w:rPr>
                <w:rFonts w:ascii="Arial" w:cs="Arial" w:eastAsia="Arial" w:hAnsi="Arial"/>
                <w:sz w:val="11"/>
                <w:szCs w:val="11"/>
                <w:color w:val="auto"/>
              </w:rPr>
              <w:t>Net charge-off/(recovery) rate</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0.02</w:t>
            </w:r>
          </w:p>
        </w:tc>
        <w:tc>
          <w:tcPr>
            <w:tcW w:w="260" w:type="dxa"/>
            <w:vAlign w:val="bottom"/>
          </w:tcPr>
          <w:p>
            <w:pPr>
              <w:ind w:lef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1"/>
                <w:szCs w:val="11"/>
                <w:color w:val="auto"/>
              </w:rPr>
              <w:t>—  %</w:t>
            </w:r>
          </w:p>
        </w:tc>
        <w:tc>
          <w:tcPr>
            <w:tcW w:w="10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0.01</w:t>
            </w:r>
          </w:p>
        </w:tc>
        <w:tc>
          <w:tcPr>
            <w:tcW w:w="260" w:type="dxa"/>
            <w:vAlign w:val="bottom"/>
          </w:tcPr>
          <w:p>
            <w:pPr>
              <w:ind w:lef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0" w:type="dxa"/>
            <w:vAlign w:val="bottom"/>
            <w:gridSpan w:val="5"/>
          </w:tcPr>
          <w:p>
            <w:pPr>
              <w:spacing w:after="0"/>
              <w:rPr>
                <w:sz w:val="20"/>
                <w:szCs w:val="20"/>
                <w:color w:val="auto"/>
              </w:rPr>
            </w:pPr>
            <w:r>
              <w:rPr>
                <w:rFonts w:ascii="Arial" w:cs="Arial" w:eastAsia="Arial" w:hAnsi="Arial"/>
                <w:sz w:val="11"/>
                <w:szCs w:val="11"/>
                <w:color w:val="auto"/>
                <w:w w:val="98"/>
              </w:rPr>
              <w:t>Allowance for loan losses to period-end loans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0.28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0.29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0.23</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0.28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200" w:type="dxa"/>
            <w:vAlign w:val="bottom"/>
            <w:gridSpan w:val="5"/>
          </w:tcPr>
          <w:p>
            <w:pPr>
              <w:spacing w:after="0"/>
              <w:rPr>
                <w:sz w:val="20"/>
                <w:szCs w:val="20"/>
                <w:color w:val="auto"/>
              </w:rPr>
            </w:pPr>
            <w:r>
              <w:rPr>
                <w:rFonts w:ascii="Arial" w:cs="Arial" w:eastAsia="Arial" w:hAnsi="Arial"/>
                <w:sz w:val="11"/>
                <w:szCs w:val="11"/>
                <w:color w:val="auto"/>
              </w:rPr>
              <w:t>Allowance for loan losses to nonaccrual</w:t>
            </w: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97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103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106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110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108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97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108</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00" w:type="dxa"/>
            <w:vAlign w:val="bottom"/>
            <w:gridSpan w:val="5"/>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gridSpan w:val="5"/>
          </w:tcPr>
          <w:p>
            <w:pPr>
              <w:spacing w:after="0"/>
              <w:rPr>
                <w:sz w:val="20"/>
                <w:szCs w:val="20"/>
                <w:color w:val="auto"/>
              </w:rPr>
            </w:pPr>
            <w:r>
              <w:rPr>
                <w:rFonts w:ascii="Arial" w:cs="Arial" w:eastAsia="Arial" w:hAnsi="Arial"/>
                <w:sz w:val="11"/>
                <w:szCs w:val="11"/>
                <w:color w:val="auto"/>
              </w:rPr>
              <w:t>Nonaccrual loans to period-end loans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0.29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0.28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0.21</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0.29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0.21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4058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Includes First Republic. In the fourth quarter of 2023, certain deposits associated with First Republic were transferred from CCB. Refer to page 30 for additional information.</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Included $11.7 billion, $13.0 billion, and $9.7 billion for the three months ended December 31, 2023, September 30, 2023, and June 30, 2023, respectively, and $8.7 billion for the full year 2023, associated with First Republic.</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At December 31, 2023, September 30, 2023, and June 30, 2023, included $128 million, $115 million, and $146 million allowance, respectively, associated with First Republic.</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23</w:t>
      </w:r>
    </w:p>
    <w:p>
      <w:pPr>
        <w:sectPr>
          <w:pgSz w:w="11900" w:h="16838" w:orient="portrait"/>
          <w:cols w:equalWidth="0" w:num="1">
            <w:col w:w="11240"/>
          </w:cols>
          <w:pgMar w:left="320" w:top="572"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-28575</wp:posOffset>
            </wp:positionV>
            <wp:extent cx="237426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 &amp; WEALTH MANAGEMENT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billions)</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4"/>
          </w:tcPr>
          <w:p>
            <w:pPr>
              <w:ind w:left="320"/>
              <w:spacing w:after="0"/>
              <w:rPr>
                <w:sz w:val="20"/>
                <w:szCs w:val="20"/>
                <w:color w:val="auto"/>
              </w:rPr>
            </w:pPr>
            <w:r>
              <w:rPr>
                <w:rFonts w:ascii="Arial" w:cs="Arial" w:eastAsia="Arial" w:hAnsi="Arial"/>
                <w:sz w:val="11"/>
                <w:szCs w:val="11"/>
                <w:b w:val="1"/>
                <w:bCs w:val="1"/>
                <w:color w:val="auto"/>
              </w:rPr>
              <w:t>Dec 31, 2023</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1"/>
                <w:szCs w:val="11"/>
                <w:b w:val="1"/>
                <w:bCs w:val="1"/>
                <w:color w:val="auto"/>
              </w:rPr>
              <w:t>Change</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FULL YEAR</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Jun 30,</w:t>
            </w:r>
          </w:p>
        </w:tc>
        <w:tc>
          <w:tcPr>
            <w:tcW w:w="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Mar 31,</w:t>
            </w:r>
          </w:p>
        </w:tc>
        <w:tc>
          <w:tcPr>
            <w:tcW w:w="100" w:type="dxa"/>
            <w:vAlign w:val="bottom"/>
          </w:tcPr>
          <w:p>
            <w:pPr>
              <w:spacing w:after="0"/>
              <w:rPr>
                <w:sz w:val="13"/>
                <w:szCs w:val="13"/>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b w:val="1"/>
                <w:bCs w:val="1"/>
                <w:color w:val="auto"/>
                <w:w w:val="93"/>
              </w:rPr>
              <w:t>Dec 31,</w:t>
            </w:r>
          </w:p>
        </w:tc>
        <w:tc>
          <w:tcPr>
            <w:tcW w:w="2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Sep 30,</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Dec 31,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 Change</w:t>
            </w:r>
          </w:p>
        </w:tc>
        <w:tc>
          <w:tcPr>
            <w:tcW w:w="0" w:type="dxa"/>
            <w:vAlign w:val="bottom"/>
          </w:tcPr>
          <w:p>
            <w:pPr>
              <w:spacing w:after="0"/>
              <w:rPr>
                <w:sz w:val="1"/>
                <w:szCs w:val="1"/>
                <w:color w:val="auto"/>
              </w:rPr>
            </w:pPr>
          </w:p>
        </w:tc>
      </w:tr>
      <w:tr>
        <w:trPr>
          <w:trHeight w:val="122"/>
        </w:trPr>
        <w:tc>
          <w:tcPr>
            <w:tcW w:w="860" w:type="dxa"/>
            <w:vAlign w:val="bottom"/>
            <w:tcBorders>
              <w:bottom w:val="single" w:sz="8" w:color="auto"/>
            </w:tcBorders>
          </w:tcPr>
          <w:p>
            <w:pPr>
              <w:spacing w:after="0" w:line="122" w:lineRule="exact"/>
              <w:rPr>
                <w:sz w:val="20"/>
                <w:szCs w:val="20"/>
                <w:color w:val="auto"/>
              </w:rPr>
            </w:pPr>
            <w:r>
              <w:rPr>
                <w:rFonts w:ascii="Arial" w:cs="Arial" w:eastAsia="Arial" w:hAnsi="Arial"/>
                <w:sz w:val="11"/>
                <w:szCs w:val="11"/>
                <w:b w:val="1"/>
                <w:bCs w:val="1"/>
                <w:color w:val="auto"/>
                <w:w w:val="96"/>
              </w:rPr>
              <w:t>CLIENT ASSETS</w:t>
            </w: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2023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2023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2023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2023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2022</w:t>
            </w:r>
          </w:p>
        </w:tc>
        <w:tc>
          <w:tcPr>
            <w:tcW w:w="760" w:type="dxa"/>
            <w:vAlign w:val="bottom"/>
            <w:gridSpan w:val="2"/>
          </w:tcPr>
          <w:p>
            <w:pPr>
              <w:jc w:val="right"/>
              <w:ind w:right="106"/>
              <w:spacing w:after="0" w:line="122" w:lineRule="exact"/>
              <w:rPr>
                <w:sz w:val="20"/>
                <w:szCs w:val="20"/>
                <w:color w:val="auto"/>
              </w:rPr>
            </w:pPr>
            <w:r>
              <w:rPr>
                <w:rFonts w:ascii="Arial" w:cs="Arial" w:eastAsia="Arial" w:hAnsi="Arial"/>
                <w:sz w:val="11"/>
                <w:szCs w:val="11"/>
                <w:b w:val="1"/>
                <w:bCs w:val="1"/>
                <w:color w:val="auto"/>
              </w:rPr>
              <w:t>2023</w:t>
            </w:r>
          </w:p>
        </w:tc>
        <w:tc>
          <w:tcPr>
            <w:tcW w:w="220" w:type="dxa"/>
            <w:vAlign w:val="bottom"/>
          </w:tcPr>
          <w:p>
            <w:pPr>
              <w:spacing w:after="0"/>
              <w:rPr>
                <w:sz w:val="10"/>
                <w:szCs w:val="10"/>
                <w:color w:val="auto"/>
              </w:rPr>
            </w:pPr>
          </w:p>
        </w:tc>
        <w:tc>
          <w:tcPr>
            <w:tcW w:w="5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2022</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2023</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0"/>
                <w:szCs w:val="10"/>
                <w:color w:val="auto"/>
              </w:rPr>
            </w:pPr>
          </w:p>
        </w:tc>
        <w:tc>
          <w:tcPr>
            <w:tcW w:w="72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Assets by asset class</w:t>
            </w: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80" w:type="dxa"/>
            <w:vAlign w:val="bottom"/>
            <w:gridSpan w:val="2"/>
          </w:tcPr>
          <w:p>
            <w:pPr>
              <w:spacing w:after="0"/>
              <w:rPr>
                <w:sz w:val="20"/>
                <w:szCs w:val="20"/>
                <w:color w:val="auto"/>
              </w:rPr>
            </w:pPr>
            <w:r>
              <w:rPr>
                <w:rFonts w:ascii="Arial" w:cs="Arial" w:eastAsia="Arial" w:hAnsi="Arial"/>
                <w:sz w:val="11"/>
                <w:szCs w:val="11"/>
                <w:color w:val="auto"/>
              </w:rPr>
              <w:t>Liquidity</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926</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867</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826</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761</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654</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7 %</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42 %</w:t>
            </w:r>
          </w:p>
        </w:tc>
        <w:tc>
          <w:tcPr>
            <w:tcW w:w="4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926</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654</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42 %</w:t>
            </w: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1"/>
                <w:szCs w:val="11"/>
                <w:color w:val="auto"/>
              </w:rPr>
              <w:t>Fixed income</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751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707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682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638</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18</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751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638</w:t>
            </w:r>
          </w:p>
        </w:tc>
        <w:tc>
          <w:tcPr>
            <w:tcW w:w="22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868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780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792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733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670</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868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670</w:t>
            </w:r>
          </w:p>
        </w:tc>
        <w:tc>
          <w:tcPr>
            <w:tcW w:w="22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1"/>
                <w:szCs w:val="11"/>
                <w:color w:val="auto"/>
              </w:rPr>
              <w:t>Multi-asset</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680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626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647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627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603</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680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603</w:t>
            </w:r>
          </w:p>
        </w:tc>
        <w:tc>
          <w:tcPr>
            <w:tcW w:w="22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75"/>
        </w:trPr>
        <w:tc>
          <w:tcPr>
            <w:tcW w:w="2480" w:type="dxa"/>
            <w:vAlign w:val="bottom"/>
            <w:gridSpan w:val="2"/>
          </w:tcPr>
          <w:p>
            <w:pPr>
              <w:spacing w:after="0"/>
              <w:rPr>
                <w:sz w:val="20"/>
                <w:szCs w:val="20"/>
                <w:color w:val="auto"/>
              </w:rPr>
            </w:pPr>
            <w:r>
              <w:rPr>
                <w:rFonts w:ascii="Arial" w:cs="Arial" w:eastAsia="Arial" w:hAnsi="Arial"/>
                <w:sz w:val="11"/>
                <w:szCs w:val="11"/>
                <w:color w:val="auto"/>
              </w:rPr>
              <w:t>Alternatives</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197</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206</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203</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201</w:t>
            </w:r>
          </w:p>
        </w:tc>
        <w:tc>
          <w:tcPr>
            <w:tcW w:w="76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197</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201</w:t>
            </w:r>
          </w:p>
        </w:tc>
        <w:tc>
          <w:tcPr>
            <w:tcW w:w="220" w:type="dxa"/>
            <w:vAlign w:val="bottom"/>
          </w:tcPr>
          <w:p>
            <w:pPr>
              <w:spacing w:after="0"/>
              <w:rPr>
                <w:sz w:val="15"/>
                <w:szCs w:val="15"/>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8"/>
        </w:trPr>
        <w:tc>
          <w:tcPr>
            <w:tcW w:w="248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 ASSETS UNDER MANAGEMENT</w:t>
            </w: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3,422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3,186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3,188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3,006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2,766</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24</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3,422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rPr>
              <w:t>2,766</w:t>
            </w:r>
          </w:p>
        </w:tc>
        <w:tc>
          <w:tcPr>
            <w:tcW w:w="22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69"/>
        </w:trPr>
        <w:tc>
          <w:tcPr>
            <w:tcW w:w="2480" w:type="dxa"/>
            <w:vAlign w:val="bottom"/>
            <w:gridSpan w:val="2"/>
          </w:tcPr>
          <w:p>
            <w:pPr>
              <w:spacing w:after="0"/>
              <w:rPr>
                <w:sz w:val="20"/>
                <w:szCs w:val="20"/>
                <w:color w:val="auto"/>
              </w:rPr>
            </w:pPr>
            <w:r>
              <w:rPr>
                <w:rFonts w:ascii="Arial" w:cs="Arial" w:eastAsia="Arial" w:hAnsi="Arial"/>
                <w:sz w:val="11"/>
                <w:szCs w:val="11"/>
                <w:color w:val="auto"/>
              </w:rPr>
              <w:t>Custody/brokerage/administration/deposits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1,590</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1,458</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1,370</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1,282</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24</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1,590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1,282</w:t>
            </w:r>
          </w:p>
        </w:tc>
        <w:tc>
          <w:tcPr>
            <w:tcW w:w="22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55"/>
        </w:trPr>
        <w:tc>
          <w:tcPr>
            <w:tcW w:w="248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 CLIENT ASSETS (a)</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5,012</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4,644</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4,558</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4,347</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4,048</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24</w:t>
            </w:r>
          </w:p>
        </w:tc>
        <w:tc>
          <w:tcPr>
            <w:tcW w:w="4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5,012</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4,048</w:t>
            </w:r>
          </w:p>
        </w:tc>
        <w:tc>
          <w:tcPr>
            <w:tcW w:w="22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459"/>
        </w:trPr>
        <w:tc>
          <w:tcPr>
            <w:tcW w:w="2480" w:type="dxa"/>
            <w:vAlign w:val="bottom"/>
            <w:gridSpan w:val="2"/>
          </w:tcPr>
          <w:p>
            <w:pPr>
              <w:spacing w:after="0"/>
              <w:rPr>
                <w:sz w:val="20"/>
                <w:szCs w:val="20"/>
                <w:color w:val="auto"/>
              </w:rPr>
            </w:pPr>
            <w:r>
              <w:rPr>
                <w:rFonts w:ascii="Arial" w:cs="Arial" w:eastAsia="Arial" w:hAnsi="Arial"/>
                <w:sz w:val="11"/>
                <w:szCs w:val="11"/>
                <w:b w:val="1"/>
                <w:bCs w:val="1"/>
                <w:color w:val="auto"/>
              </w:rPr>
              <w:t>Assets by client segment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80" w:type="dxa"/>
            <w:vAlign w:val="bottom"/>
            <w:gridSpan w:val="2"/>
          </w:tcPr>
          <w:p>
            <w:pPr>
              <w:spacing w:after="0"/>
              <w:rPr>
                <w:sz w:val="20"/>
                <w:szCs w:val="20"/>
                <w:color w:val="auto"/>
              </w:rPr>
            </w:pPr>
            <w:r>
              <w:rPr>
                <w:rFonts w:ascii="Arial" w:cs="Arial" w:eastAsia="Arial" w:hAnsi="Arial"/>
                <w:sz w:val="11"/>
                <w:szCs w:val="11"/>
                <w:color w:val="auto"/>
              </w:rPr>
              <w:t>Private Banking</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974</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888</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881</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826</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751</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30</w:t>
            </w:r>
          </w:p>
        </w:tc>
        <w:tc>
          <w:tcPr>
            <w:tcW w:w="4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974</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751</w:t>
            </w:r>
          </w:p>
        </w:tc>
        <w:tc>
          <w:tcPr>
            <w:tcW w:w="22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1"/>
                <w:szCs w:val="11"/>
                <w:color w:val="auto"/>
              </w:rPr>
              <w:t>Global Institutional</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1,488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1,424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1,423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1,347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1,252</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1,488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1,252</w:t>
            </w:r>
          </w:p>
        </w:tc>
        <w:tc>
          <w:tcPr>
            <w:tcW w:w="22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76"/>
        </w:trPr>
        <w:tc>
          <w:tcPr>
            <w:tcW w:w="2480" w:type="dxa"/>
            <w:vAlign w:val="bottom"/>
            <w:gridSpan w:val="2"/>
          </w:tcPr>
          <w:p>
            <w:pPr>
              <w:spacing w:after="0"/>
              <w:rPr>
                <w:sz w:val="20"/>
                <w:szCs w:val="20"/>
                <w:color w:val="auto"/>
              </w:rPr>
            </w:pPr>
            <w:r>
              <w:rPr>
                <w:rFonts w:ascii="Arial" w:cs="Arial" w:eastAsia="Arial" w:hAnsi="Arial"/>
                <w:sz w:val="11"/>
                <w:szCs w:val="11"/>
                <w:color w:val="auto"/>
              </w:rPr>
              <w:t>Global Funds</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960</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874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884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833</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763</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26</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960</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763</w:t>
            </w:r>
          </w:p>
        </w:tc>
        <w:tc>
          <w:tcPr>
            <w:tcW w:w="220" w:type="dxa"/>
            <w:vAlign w:val="bottom"/>
          </w:tcPr>
          <w:p>
            <w:pPr>
              <w:spacing w:after="0"/>
              <w:rPr>
                <w:sz w:val="15"/>
                <w:szCs w:val="15"/>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55"/>
        </w:trPr>
        <w:tc>
          <w:tcPr>
            <w:tcW w:w="248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 ASSETS UNDER MANAGEMENT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3,422</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3,186</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3,188</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3,006</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2,766</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24</w:t>
            </w:r>
          </w:p>
        </w:tc>
        <w:tc>
          <w:tcPr>
            <w:tcW w:w="4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3,422</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2,766</w:t>
            </w:r>
          </w:p>
        </w:tc>
        <w:tc>
          <w:tcPr>
            <w:tcW w:w="22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291"/>
        </w:trPr>
        <w:tc>
          <w:tcPr>
            <w:tcW w:w="2480" w:type="dxa"/>
            <w:vAlign w:val="bottom"/>
            <w:gridSpan w:val="2"/>
          </w:tcPr>
          <w:p>
            <w:pPr>
              <w:spacing w:after="0"/>
              <w:rPr>
                <w:sz w:val="20"/>
                <w:szCs w:val="20"/>
                <w:color w:val="auto"/>
              </w:rPr>
            </w:pPr>
            <w:r>
              <w:rPr>
                <w:rFonts w:ascii="Arial" w:cs="Arial" w:eastAsia="Arial" w:hAnsi="Arial"/>
                <w:sz w:val="11"/>
                <w:szCs w:val="11"/>
                <w:color w:val="auto"/>
              </w:rPr>
              <w:t>Private Banking</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2,452</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2,249</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2,170</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2,090</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1,964</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25</w:t>
            </w: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2,452</w:t>
            </w:r>
          </w:p>
        </w:tc>
        <w:tc>
          <w:tcPr>
            <w:tcW w:w="20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1,964</w:t>
            </w:r>
          </w:p>
        </w:tc>
        <w:tc>
          <w:tcPr>
            <w:tcW w:w="220" w:type="dxa"/>
            <w:vAlign w:val="bottom"/>
          </w:tcPr>
          <w:p>
            <w:pPr>
              <w:spacing w:after="0"/>
              <w:rPr>
                <w:sz w:val="24"/>
                <w:szCs w:val="2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1"/>
                <w:szCs w:val="11"/>
                <w:color w:val="auto"/>
              </w:rPr>
              <w:t>Global Institutional</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1,594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1,497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1,417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1,314</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1,594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1,314</w:t>
            </w:r>
          </w:p>
        </w:tc>
        <w:tc>
          <w:tcPr>
            <w:tcW w:w="22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75"/>
        </w:trPr>
        <w:tc>
          <w:tcPr>
            <w:tcW w:w="2480" w:type="dxa"/>
            <w:vAlign w:val="bottom"/>
            <w:gridSpan w:val="2"/>
          </w:tcPr>
          <w:p>
            <w:pPr>
              <w:spacing w:after="0"/>
              <w:rPr>
                <w:sz w:val="20"/>
                <w:szCs w:val="20"/>
                <w:color w:val="auto"/>
              </w:rPr>
            </w:pPr>
            <w:r>
              <w:rPr>
                <w:rFonts w:ascii="Arial" w:cs="Arial" w:eastAsia="Arial" w:hAnsi="Arial"/>
                <w:sz w:val="11"/>
                <w:szCs w:val="11"/>
                <w:color w:val="auto"/>
              </w:rPr>
              <w:t>Global Funds</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966</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881</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891</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840</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770</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25</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966</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770</w:t>
            </w:r>
          </w:p>
        </w:tc>
        <w:tc>
          <w:tcPr>
            <w:tcW w:w="220" w:type="dxa"/>
            <w:vAlign w:val="bottom"/>
          </w:tcPr>
          <w:p>
            <w:pPr>
              <w:spacing w:after="0"/>
              <w:rPr>
                <w:sz w:val="15"/>
                <w:szCs w:val="15"/>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55"/>
        </w:trPr>
        <w:tc>
          <w:tcPr>
            <w:tcW w:w="248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 CLIENT ASSETS (a)</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5,012</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4,644</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4,558</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4,347</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4,048</w:t>
            </w:r>
          </w:p>
        </w:tc>
        <w:tc>
          <w:tcPr>
            <w:tcW w:w="760" w:type="dxa"/>
            <w:vAlign w:val="bottom"/>
            <w:gridSpan w:val="2"/>
          </w:tcPr>
          <w:p>
            <w:pPr>
              <w:jc w:val="right"/>
              <w:ind w:right="10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24</w:t>
            </w:r>
          </w:p>
        </w:tc>
        <w:tc>
          <w:tcPr>
            <w:tcW w:w="4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5,012</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4,048</w:t>
            </w:r>
          </w:p>
        </w:tc>
        <w:tc>
          <w:tcPr>
            <w:tcW w:w="22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297"/>
        </w:trPr>
        <w:tc>
          <w:tcPr>
            <w:tcW w:w="2480" w:type="dxa"/>
            <w:vAlign w:val="bottom"/>
            <w:gridSpan w:val="2"/>
          </w:tcPr>
          <w:p>
            <w:pPr>
              <w:spacing w:after="0"/>
              <w:rPr>
                <w:sz w:val="20"/>
                <w:szCs w:val="20"/>
                <w:color w:val="auto"/>
              </w:rPr>
            </w:pPr>
            <w:r>
              <w:rPr>
                <w:rFonts w:ascii="Arial" w:cs="Arial" w:eastAsia="Arial" w:hAnsi="Arial"/>
                <w:sz w:val="11"/>
                <w:szCs w:val="11"/>
                <w:b w:val="1"/>
                <w:bCs w:val="1"/>
                <w:color w:val="auto"/>
              </w:rPr>
              <w:t>Assets under management rollforward</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80" w:type="dxa"/>
            <w:vAlign w:val="bottom"/>
            <w:gridSpan w:val="2"/>
          </w:tcPr>
          <w:p>
            <w:pPr>
              <w:spacing w:after="0"/>
              <w:rPr>
                <w:sz w:val="20"/>
                <w:szCs w:val="20"/>
                <w:color w:val="auto"/>
              </w:rPr>
            </w:pPr>
            <w:r>
              <w:rPr>
                <w:rFonts w:ascii="Arial" w:cs="Arial" w:eastAsia="Arial" w:hAnsi="Arial"/>
                <w:sz w:val="11"/>
                <w:szCs w:val="11"/>
                <w:color w:val="auto"/>
              </w:rPr>
              <w:t>Beginning balance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3,186</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3,188</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3,006</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2,766</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2,616</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2,766</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3,113</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1"/>
                <w:szCs w:val="11"/>
                <w:color w:val="auto"/>
              </w:rPr>
              <w:t>Net asset flows: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2"/>
          </w:tcPr>
          <w:p>
            <w:pPr>
              <w:ind w:left="120"/>
              <w:spacing w:after="0"/>
              <w:rPr>
                <w:sz w:val="20"/>
                <w:szCs w:val="20"/>
                <w:color w:val="auto"/>
              </w:rPr>
            </w:pPr>
            <w:r>
              <w:rPr>
                <w:rFonts w:ascii="Arial" w:cs="Arial" w:eastAsia="Arial" w:hAnsi="Arial"/>
                <w:sz w:val="11"/>
                <w:szCs w:val="11"/>
                <w:color w:val="auto"/>
              </w:rPr>
              <w:t>Liquidity</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242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(55)</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2"/>
          </w:tcPr>
          <w:p>
            <w:pPr>
              <w:ind w:left="120"/>
              <w:spacing w:after="0"/>
              <w:rPr>
                <w:sz w:val="20"/>
                <w:szCs w:val="20"/>
                <w:color w:val="auto"/>
              </w:rPr>
            </w:pPr>
            <w:r>
              <w:rPr>
                <w:rFonts w:ascii="Arial" w:cs="Arial" w:eastAsia="Arial" w:hAnsi="Arial"/>
                <w:sz w:val="11"/>
                <w:szCs w:val="11"/>
                <w:color w:val="auto"/>
              </w:rPr>
              <w:t>Fixed income</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2"/>
          </w:tcPr>
          <w:p>
            <w:pPr>
              <w:ind w:left="120"/>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2"/>
          </w:tcPr>
          <w:p>
            <w:pPr>
              <w:ind w:left="120"/>
              <w:spacing w:after="0"/>
              <w:rPr>
                <w:sz w:val="20"/>
                <w:szCs w:val="20"/>
                <w:color w:val="auto"/>
              </w:rPr>
            </w:pPr>
            <w:r>
              <w:rPr>
                <w:rFonts w:ascii="Arial" w:cs="Arial" w:eastAsia="Arial" w:hAnsi="Arial"/>
                <w:sz w:val="11"/>
                <w:szCs w:val="11"/>
                <w:color w:val="auto"/>
              </w:rPr>
              <w:t>Multi-asset</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2"/>
          </w:tcPr>
          <w:p>
            <w:pPr>
              <w:ind w:left="120"/>
              <w:spacing w:after="0"/>
              <w:rPr>
                <w:sz w:val="20"/>
                <w:szCs w:val="20"/>
                <w:color w:val="auto"/>
              </w:rPr>
            </w:pPr>
            <w:r>
              <w:rPr>
                <w:rFonts w:ascii="Arial" w:cs="Arial" w:eastAsia="Arial" w:hAnsi="Arial"/>
                <w:sz w:val="11"/>
                <w:szCs w:val="11"/>
                <w:color w:val="auto"/>
              </w:rPr>
              <w:t>Alternatives</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80" w:type="dxa"/>
            <w:vAlign w:val="bottom"/>
            <w:gridSpan w:val="2"/>
          </w:tcPr>
          <w:p>
            <w:pPr>
              <w:spacing w:after="0"/>
              <w:rPr>
                <w:sz w:val="20"/>
                <w:szCs w:val="20"/>
                <w:color w:val="auto"/>
              </w:rPr>
            </w:pPr>
            <w:r>
              <w:rPr>
                <w:rFonts w:ascii="Arial" w:cs="Arial" w:eastAsia="Arial" w:hAnsi="Arial"/>
                <w:sz w:val="11"/>
                <w:szCs w:val="11"/>
                <w:color w:val="auto"/>
              </w:rPr>
              <w:t>Market/performance/other impacts</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175</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61</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107</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274</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(339)</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480" w:type="dxa"/>
            <w:vAlign w:val="bottom"/>
            <w:gridSpan w:val="2"/>
          </w:tcPr>
          <w:p>
            <w:pPr>
              <w:ind w:left="120"/>
              <w:spacing w:after="0"/>
              <w:rPr>
                <w:sz w:val="20"/>
                <w:szCs w:val="20"/>
                <w:color w:val="auto"/>
              </w:rPr>
            </w:pPr>
            <w:r>
              <w:rPr>
                <w:rFonts w:ascii="Arial" w:cs="Arial" w:eastAsia="Arial" w:hAnsi="Arial"/>
                <w:sz w:val="11"/>
                <w:szCs w:val="11"/>
                <w:b w:val="1"/>
                <w:bCs w:val="1"/>
                <w:color w:val="auto"/>
              </w:rPr>
              <w:t>Ending balance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3,422</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3,186</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3,188</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3,006</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2,766</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3,422</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2,766</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2480" w:type="dxa"/>
            <w:vAlign w:val="bottom"/>
            <w:gridSpan w:val="2"/>
          </w:tcPr>
          <w:p>
            <w:pPr>
              <w:spacing w:after="0"/>
              <w:rPr>
                <w:sz w:val="20"/>
                <w:szCs w:val="20"/>
                <w:color w:val="auto"/>
              </w:rPr>
            </w:pPr>
            <w:r>
              <w:rPr>
                <w:rFonts w:ascii="Arial" w:cs="Arial" w:eastAsia="Arial" w:hAnsi="Arial"/>
                <w:sz w:val="11"/>
                <w:szCs w:val="11"/>
                <w:b w:val="1"/>
                <w:bCs w:val="1"/>
                <w:color w:val="auto"/>
              </w:rPr>
              <w:t>Client assets rollforward</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80" w:type="dxa"/>
            <w:vAlign w:val="bottom"/>
            <w:gridSpan w:val="2"/>
          </w:tcPr>
          <w:p>
            <w:pPr>
              <w:spacing w:after="0"/>
              <w:rPr>
                <w:sz w:val="20"/>
                <w:szCs w:val="20"/>
                <w:color w:val="auto"/>
              </w:rPr>
            </w:pPr>
            <w:r>
              <w:rPr>
                <w:rFonts w:ascii="Arial" w:cs="Arial" w:eastAsia="Arial" w:hAnsi="Arial"/>
                <w:sz w:val="11"/>
                <w:szCs w:val="11"/>
                <w:color w:val="auto"/>
              </w:rPr>
              <w:t>Beginning balance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4,644</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4,558</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4,347</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4,048</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3,823</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4,048</w:t>
            </w:r>
          </w:p>
        </w:tc>
        <w:tc>
          <w:tcPr>
            <w:tcW w:w="2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4,295</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1"/>
                <w:szCs w:val="11"/>
                <w:color w:val="auto"/>
              </w:rPr>
              <w:t>Net asset flows</w:t>
            </w: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112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70</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490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49</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80" w:type="dxa"/>
            <w:vAlign w:val="bottom"/>
            <w:gridSpan w:val="2"/>
          </w:tcPr>
          <w:p>
            <w:pPr>
              <w:spacing w:after="0"/>
              <w:rPr>
                <w:sz w:val="20"/>
                <w:szCs w:val="20"/>
                <w:color w:val="auto"/>
              </w:rPr>
            </w:pPr>
            <w:r>
              <w:rPr>
                <w:rFonts w:ascii="Arial" w:cs="Arial" w:eastAsia="Arial" w:hAnsi="Arial"/>
                <w:sz w:val="11"/>
                <w:szCs w:val="11"/>
                <w:color w:val="auto"/>
              </w:rPr>
              <w:t>Market/performance/other impacts</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99</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155</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474</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(296)</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480" w:type="dxa"/>
            <w:vAlign w:val="bottom"/>
            <w:gridSpan w:val="2"/>
          </w:tcPr>
          <w:p>
            <w:pPr>
              <w:ind w:left="120"/>
              <w:spacing w:after="0"/>
              <w:rPr>
                <w:sz w:val="20"/>
                <w:szCs w:val="20"/>
                <w:color w:val="auto"/>
              </w:rPr>
            </w:pPr>
            <w:r>
              <w:rPr>
                <w:rFonts w:ascii="Arial" w:cs="Arial" w:eastAsia="Arial" w:hAnsi="Arial"/>
                <w:sz w:val="11"/>
                <w:szCs w:val="11"/>
                <w:b w:val="1"/>
                <w:bCs w:val="1"/>
                <w:color w:val="auto"/>
              </w:rPr>
              <w:t>Ending balance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5,012</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4,644</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4,558</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4,347</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4,048</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5,012</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4,048</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5855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1"/>
          <w:szCs w:val="11"/>
          <w:color w:val="auto"/>
        </w:rPr>
        <w:t>(a) Includes CCB client investment assets invested in managed accounts and J.P. Morgan mutual funds where AWM is the investment manager.</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24</w:t>
      </w:r>
    </w:p>
    <w:p>
      <w:pPr>
        <w:sectPr>
          <w:pgSz w:w="11900" w:h="16838" w:orient="portrait"/>
          <w:cols w:equalWidth="0" w:num="1">
            <w:col w:w="11240"/>
          </w:cols>
          <w:pgMar w:left="320" w:top="572"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-19685</wp:posOffset>
            </wp:positionV>
            <wp:extent cx="237426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CORPORATE</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employee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ind w:left="340"/>
              <w:spacing w:after="0"/>
              <w:rPr>
                <w:sz w:val="20"/>
                <w:szCs w:val="20"/>
                <w:color w:val="auto"/>
              </w:rPr>
            </w:pPr>
            <w:r>
              <w:rPr>
                <w:rFonts w:ascii="Arial" w:cs="Arial" w:eastAsia="Arial" w:hAnsi="Arial"/>
                <w:sz w:val="11"/>
                <w:szCs w:val="11"/>
                <w:b w:val="1"/>
                <w:bCs w:val="1"/>
                <w:color w:val="auto"/>
              </w:rPr>
              <w:t>QUARTERLY TRENDS</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FULL YEAR</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1"/>
                <w:szCs w:val="11"/>
                <w:b w:val="1"/>
                <w:bCs w:val="1"/>
                <w:color w:val="auto"/>
              </w:rPr>
              <w:t>4Q23 Change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 Change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4Q23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rPr>
              <w:t>3Q23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2Q23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1Q23</w:t>
            </w:r>
          </w:p>
        </w:tc>
        <w:tc>
          <w:tcPr>
            <w:tcW w:w="8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4Q22</w:t>
            </w:r>
          </w:p>
        </w:tc>
        <w:tc>
          <w:tcPr>
            <w:tcW w:w="220" w:type="dxa"/>
            <w:vAlign w:val="bottom"/>
          </w:tcPr>
          <w:p>
            <w:pPr>
              <w:spacing w:after="0"/>
              <w:rPr>
                <w:sz w:val="13"/>
                <w:szCs w:val="13"/>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3Q23</w:t>
            </w:r>
          </w:p>
        </w:tc>
        <w:tc>
          <w:tcPr>
            <w:tcW w:w="96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4Q22</w:t>
            </w:r>
          </w:p>
        </w:tc>
        <w:tc>
          <w:tcPr>
            <w:tcW w:w="100" w:type="dxa"/>
            <w:vAlign w:val="bottom"/>
          </w:tcPr>
          <w:p>
            <w:pPr>
              <w:spacing w:after="0"/>
              <w:rPr>
                <w:sz w:val="13"/>
                <w:szCs w:val="13"/>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2022</w:t>
            </w:r>
          </w:p>
        </w:tc>
        <w:tc>
          <w:tcPr>
            <w:tcW w:w="94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tcBorders>
              <w:bottom w:val="single" w:sz="8" w:color="auto"/>
            </w:tcBorders>
            <w:gridSpan w:val="2"/>
          </w:tcPr>
          <w:p>
            <w:pPr>
              <w:spacing w:after="0" w:line="108" w:lineRule="exact"/>
              <w:rPr>
                <w:sz w:val="20"/>
                <w:szCs w:val="20"/>
                <w:color w:val="auto"/>
              </w:rPr>
            </w:pPr>
            <w:r>
              <w:rPr>
                <w:rFonts w:ascii="Arial" w:cs="Arial" w:eastAsia="Arial" w:hAnsi="Arial"/>
                <w:sz w:val="11"/>
                <w:szCs w:val="11"/>
                <w:b w:val="1"/>
                <w:bCs w:val="1"/>
                <w:color w:val="auto"/>
                <w:w w:val="96"/>
              </w:rPr>
              <w:t>INCOME STATEMENT</w:t>
            </w:r>
          </w:p>
        </w:tc>
        <w:tc>
          <w:tcPr>
            <w:tcW w:w="1040" w:type="dxa"/>
            <w:vAlign w:val="bottom"/>
            <w:gridSpan w:val="3"/>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60" w:type="dxa"/>
            <w:vAlign w:val="bottom"/>
            <w:gridSpan w:val="5"/>
          </w:tcPr>
          <w:p>
            <w:pPr>
              <w:spacing w:after="0"/>
              <w:rPr>
                <w:sz w:val="20"/>
                <w:szCs w:val="20"/>
                <w:color w:val="auto"/>
              </w:rPr>
            </w:pPr>
            <w:r>
              <w:rPr>
                <w:rFonts w:ascii="Arial" w:cs="Arial" w:eastAsia="Arial" w:hAnsi="Arial"/>
                <w:sz w:val="11"/>
                <w:szCs w:val="11"/>
                <w:b w:val="1"/>
                <w:bCs w:val="1"/>
                <w:color w:val="auto"/>
              </w:rPr>
              <w:t>REVENUE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Principal transactions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(21)</w:t>
            </w:r>
          </w:p>
        </w:tc>
        <w:tc>
          <w:tcPr>
            <w:tcW w:w="3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128</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113</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82</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3"/>
                <w:szCs w:val="13"/>
                <w:color w:val="auto"/>
              </w:rPr>
            </w:pP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NM</w:t>
            </w:r>
          </w:p>
        </w:tc>
        <w:tc>
          <w:tcPr>
            <w:tcW w:w="560" w:type="dxa"/>
            <w:vAlign w:val="bottom"/>
          </w:tcPr>
          <w:p>
            <w:pPr>
              <w:jc w:val="right"/>
              <w:spacing w:after="0"/>
              <w:rPr>
                <w:sz w:val="20"/>
                <w:szCs w:val="20"/>
                <w:color w:val="auto"/>
              </w:rPr>
            </w:pPr>
            <w:r>
              <w:rPr>
                <w:rFonts w:ascii="Arial" w:cs="Arial" w:eastAsia="Arial" w:hAnsi="Arial"/>
                <w:sz w:val="11"/>
                <w:szCs w:val="11"/>
                <w:color w:val="auto"/>
              </w:rPr>
              <w:t>(200)%</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302</w:t>
            </w:r>
          </w:p>
        </w:tc>
        <w:tc>
          <w:tcPr>
            <w:tcW w:w="28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(227)</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Investment securities losses</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(743)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(669)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(868)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(874)</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15 %</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(3,180)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(2,380)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All other income</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w:t>
            </w:r>
          </w:p>
        </w:tc>
        <w:tc>
          <w:tcPr>
            <w:tcW w:w="320" w:type="dxa"/>
            <w:vAlign w:val="bottom"/>
          </w:tcPr>
          <w:p>
            <w:pPr>
              <w:ind w:left="100"/>
              <w:spacing w:after="0"/>
              <w:rPr>
                <w:sz w:val="20"/>
                <w:szCs w:val="20"/>
                <w:color w:val="auto"/>
              </w:rPr>
            </w:pPr>
            <w:r>
              <w:rPr>
                <w:rFonts w:ascii="Arial" w:cs="Arial" w:eastAsia="Arial" w:hAnsi="Arial"/>
                <w:sz w:val="11"/>
                <w:szCs w:val="11"/>
                <w:color w:val="auto"/>
              </w:rPr>
              <w:t>(e)</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w:t>
            </w:r>
          </w:p>
        </w:tc>
        <w:tc>
          <w:tcPr>
            <w:tcW w:w="260" w:type="dxa"/>
            <w:vAlign w:val="bottom"/>
          </w:tcPr>
          <w:p>
            <w:pPr>
              <w:ind w:left="60"/>
              <w:spacing w:after="0"/>
              <w:rPr>
                <w:sz w:val="20"/>
                <w:szCs w:val="20"/>
                <w:color w:val="auto"/>
              </w:rPr>
            </w:pPr>
            <w:r>
              <w:rPr>
                <w:rFonts w:ascii="Arial" w:cs="Arial" w:eastAsia="Arial" w:hAnsi="Arial"/>
                <w:sz w:val="11"/>
                <w:szCs w:val="11"/>
                <w:color w:val="auto"/>
              </w:rPr>
              <w:t>(e)</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2,767</w:t>
            </w:r>
          </w:p>
        </w:tc>
        <w:tc>
          <w:tcPr>
            <w:tcW w:w="240" w:type="dxa"/>
            <w:vAlign w:val="bottom"/>
          </w:tcPr>
          <w:p>
            <w:pPr>
              <w:jc w:val="center"/>
              <w:spacing w:after="0"/>
              <w:rPr>
                <w:sz w:val="20"/>
                <w:szCs w:val="20"/>
                <w:color w:val="auto"/>
              </w:rPr>
            </w:pPr>
            <w:r>
              <w:rPr>
                <w:rFonts w:ascii="Arial" w:cs="Arial" w:eastAsia="Arial" w:hAnsi="Arial"/>
                <w:sz w:val="11"/>
                <w:szCs w:val="11"/>
                <w:color w:val="auto"/>
                <w:w w:val="88"/>
              </w:rPr>
              <w:t>(e)</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766</w:t>
            </w:r>
          </w:p>
        </w:tc>
        <w:tc>
          <w:tcPr>
            <w:tcW w:w="220" w:type="dxa"/>
            <w:vAlign w:val="bottom"/>
          </w:tcPr>
          <w:p>
            <w:pPr>
              <w:ind w:left="60"/>
              <w:spacing w:after="0"/>
              <w:rPr>
                <w:sz w:val="20"/>
                <w:szCs w:val="20"/>
                <w:color w:val="auto"/>
              </w:rPr>
            </w:pPr>
            <w:r>
              <w:rPr>
                <w:rFonts w:ascii="Arial" w:cs="Arial" w:eastAsia="Arial" w:hAnsi="Arial"/>
                <w:sz w:val="11"/>
                <w:szCs w:val="11"/>
                <w:color w:val="auto"/>
              </w:rPr>
              <w:t>(j)</w:t>
            </w:r>
          </w:p>
        </w:tc>
        <w:tc>
          <w:tcPr>
            <w:tcW w:w="480" w:type="dxa"/>
            <w:vAlign w:val="bottom"/>
          </w:tcPr>
          <w:p>
            <w:pPr>
              <w:jc w:val="right"/>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5"/>
                <w:szCs w:val="15"/>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(87)</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3,010</w:t>
            </w:r>
          </w:p>
        </w:tc>
        <w:tc>
          <w:tcPr>
            <w:tcW w:w="280" w:type="dxa"/>
            <w:vAlign w:val="bottom"/>
          </w:tcPr>
          <w:p>
            <w:pPr>
              <w:jc w:val="center"/>
              <w:spacing w:after="0"/>
              <w:rPr>
                <w:sz w:val="20"/>
                <w:szCs w:val="20"/>
                <w:color w:val="auto"/>
              </w:rPr>
            </w:pPr>
            <w:r>
              <w:rPr>
                <w:rFonts w:ascii="Arial" w:cs="Arial" w:eastAsia="Arial" w:hAnsi="Arial"/>
                <w:sz w:val="11"/>
                <w:szCs w:val="11"/>
                <w:color w:val="auto"/>
                <w:w w:val="88"/>
              </w:rPr>
              <w:t>(e)</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809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272 %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gridSpan w:val="5"/>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(668)</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(425)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1,980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(755)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(115)</w:t>
            </w: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(57)</w:t>
            </w:r>
          </w:p>
        </w:tc>
        <w:tc>
          <w:tcPr>
            <w:tcW w:w="20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(481)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132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(1,798)</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Net interest income</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2,445</w:t>
            </w:r>
          </w:p>
        </w:tc>
        <w:tc>
          <w:tcPr>
            <w:tcW w:w="320" w:type="dxa"/>
            <w:vAlign w:val="bottom"/>
          </w:tcPr>
          <w:p>
            <w:pPr>
              <w:ind w:left="100"/>
              <w:spacing w:after="0"/>
              <w:rPr>
                <w:sz w:val="20"/>
                <w:szCs w:val="20"/>
                <w:color w:val="auto"/>
              </w:rPr>
            </w:pPr>
            <w:r>
              <w:rPr>
                <w:rFonts w:ascii="Arial" w:cs="Arial" w:eastAsia="Arial" w:hAnsi="Arial"/>
                <w:sz w:val="11"/>
                <w:szCs w:val="11"/>
                <w:color w:val="auto"/>
              </w:rPr>
              <w:t>(e)</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1,983</w:t>
            </w:r>
          </w:p>
        </w:tc>
        <w:tc>
          <w:tcPr>
            <w:tcW w:w="260" w:type="dxa"/>
            <w:vAlign w:val="bottom"/>
          </w:tcPr>
          <w:p>
            <w:pPr>
              <w:ind w:left="60"/>
              <w:spacing w:after="0"/>
              <w:rPr>
                <w:sz w:val="20"/>
                <w:szCs w:val="20"/>
                <w:color w:val="auto"/>
              </w:rPr>
            </w:pPr>
            <w:r>
              <w:rPr>
                <w:rFonts w:ascii="Arial" w:cs="Arial" w:eastAsia="Arial" w:hAnsi="Arial"/>
                <w:sz w:val="11"/>
                <w:szCs w:val="11"/>
                <w:color w:val="auto"/>
              </w:rPr>
              <w:t>(e)</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1,738</w:t>
            </w:r>
          </w:p>
        </w:tc>
        <w:tc>
          <w:tcPr>
            <w:tcW w:w="240" w:type="dxa"/>
            <w:vAlign w:val="bottom"/>
          </w:tcPr>
          <w:p>
            <w:pPr>
              <w:jc w:val="center"/>
              <w:spacing w:after="0"/>
              <w:rPr>
                <w:sz w:val="20"/>
                <w:szCs w:val="20"/>
                <w:color w:val="auto"/>
              </w:rPr>
            </w:pPr>
            <w:r>
              <w:rPr>
                <w:rFonts w:ascii="Arial" w:cs="Arial" w:eastAsia="Arial" w:hAnsi="Arial"/>
                <w:sz w:val="11"/>
                <w:szCs w:val="11"/>
                <w:color w:val="auto"/>
                <w:w w:val="88"/>
              </w:rPr>
              <w:t>(e)</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1,740</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1,298</w:t>
            </w:r>
          </w:p>
        </w:tc>
        <w:tc>
          <w:tcPr>
            <w:tcW w:w="2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23</w:t>
            </w:r>
          </w:p>
        </w:tc>
        <w:tc>
          <w:tcPr>
            <w:tcW w:w="2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88</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7,906</w:t>
            </w:r>
          </w:p>
        </w:tc>
        <w:tc>
          <w:tcPr>
            <w:tcW w:w="280" w:type="dxa"/>
            <w:vAlign w:val="bottom"/>
          </w:tcPr>
          <w:p>
            <w:pPr>
              <w:jc w:val="center"/>
              <w:spacing w:after="0"/>
              <w:rPr>
                <w:sz w:val="20"/>
                <w:szCs w:val="20"/>
                <w:color w:val="auto"/>
              </w:rPr>
            </w:pPr>
            <w:r>
              <w:rPr>
                <w:rFonts w:ascii="Arial" w:cs="Arial" w:eastAsia="Arial" w:hAnsi="Arial"/>
                <w:sz w:val="11"/>
                <w:szCs w:val="11"/>
                <w:color w:val="auto"/>
                <w:w w:val="88"/>
              </w:rPr>
              <w:t>(e)</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1,878</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321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 (a)</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1,777</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1,558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3,718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985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1,183</w:t>
            </w:r>
          </w:p>
        </w:tc>
        <w:tc>
          <w:tcPr>
            <w:tcW w:w="2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8,038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80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(243)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370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24"/>
                <w:szCs w:val="24"/>
                <w:color w:val="auto"/>
              </w:rPr>
            </w:pP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NM</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86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171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2160" w:type="dxa"/>
            <w:vAlign w:val="bottom"/>
            <w:gridSpan w:val="5"/>
          </w:tcPr>
          <w:p>
            <w:pPr>
              <w:spacing w:after="0"/>
              <w:rPr>
                <w:sz w:val="20"/>
                <w:szCs w:val="20"/>
                <w:color w:val="auto"/>
              </w:rPr>
            </w:pPr>
            <w:r>
              <w:rPr>
                <w:rFonts w:ascii="Arial" w:cs="Arial" w:eastAsia="Arial" w:hAnsi="Arial"/>
                <w:sz w:val="11"/>
                <w:szCs w:val="11"/>
                <w:b w:val="1"/>
                <w:bCs w:val="1"/>
                <w:color w:val="auto"/>
              </w:rPr>
              <w:t>NONINTEREST EXPENSE</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3,593</w:t>
            </w:r>
          </w:p>
        </w:tc>
        <w:tc>
          <w:tcPr>
            <w:tcW w:w="320" w:type="dxa"/>
            <w:vAlign w:val="bottom"/>
          </w:tcPr>
          <w:p>
            <w:pPr>
              <w:ind w:left="20"/>
              <w:spacing w:after="0"/>
              <w:rPr>
                <w:sz w:val="20"/>
                <w:szCs w:val="20"/>
                <w:color w:val="auto"/>
              </w:rPr>
            </w:pPr>
            <w:r>
              <w:rPr>
                <w:rFonts w:ascii="Arial" w:cs="Arial" w:eastAsia="Arial" w:hAnsi="Arial"/>
                <w:sz w:val="11"/>
                <w:szCs w:val="11"/>
                <w:color w:val="auto"/>
              </w:rPr>
              <w:t>(e)(f)</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696</w:t>
            </w:r>
          </w:p>
        </w:tc>
        <w:tc>
          <w:tcPr>
            <w:tcW w:w="260" w:type="dxa"/>
            <w:vAlign w:val="bottom"/>
          </w:tcPr>
          <w:p>
            <w:pPr>
              <w:ind w:left="60"/>
              <w:spacing w:after="0"/>
              <w:rPr>
                <w:sz w:val="20"/>
                <w:szCs w:val="20"/>
                <w:color w:val="auto"/>
              </w:rPr>
            </w:pPr>
            <w:r>
              <w:rPr>
                <w:rFonts w:ascii="Arial" w:cs="Arial" w:eastAsia="Arial" w:hAnsi="Arial"/>
                <w:sz w:val="11"/>
                <w:szCs w:val="11"/>
                <w:color w:val="auto"/>
              </w:rPr>
              <w:t>(e)</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1,152</w:t>
            </w:r>
          </w:p>
        </w:tc>
        <w:tc>
          <w:tcPr>
            <w:tcW w:w="240" w:type="dxa"/>
            <w:vAlign w:val="bottom"/>
          </w:tcPr>
          <w:p>
            <w:pPr>
              <w:jc w:val="center"/>
              <w:spacing w:after="0"/>
              <w:rPr>
                <w:sz w:val="20"/>
                <w:szCs w:val="20"/>
                <w:color w:val="auto"/>
              </w:rPr>
            </w:pPr>
            <w:r>
              <w:rPr>
                <w:rFonts w:ascii="Arial" w:cs="Arial" w:eastAsia="Arial" w:hAnsi="Arial"/>
                <w:sz w:val="11"/>
                <w:szCs w:val="11"/>
                <w:color w:val="auto"/>
                <w:w w:val="88"/>
              </w:rPr>
              <w:t>(e)</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160</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339</w:t>
            </w:r>
          </w:p>
        </w:tc>
        <w:tc>
          <w:tcPr>
            <w:tcW w:w="2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416</w:t>
            </w:r>
          </w:p>
        </w:tc>
        <w:tc>
          <w:tcPr>
            <w:tcW w:w="200" w:type="dxa"/>
            <w:vAlign w:val="bottom"/>
          </w:tcPr>
          <w:p>
            <w:pPr>
              <w:spacing w:after="0"/>
              <w:rPr>
                <w:sz w:val="24"/>
                <w:szCs w:val="24"/>
                <w:color w:val="auto"/>
              </w:rPr>
            </w:pPr>
          </w:p>
        </w:tc>
        <w:tc>
          <w:tcPr>
            <w:tcW w:w="96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5,601</w:t>
            </w:r>
          </w:p>
        </w:tc>
        <w:tc>
          <w:tcPr>
            <w:tcW w:w="280" w:type="dxa"/>
            <w:vAlign w:val="bottom"/>
          </w:tcPr>
          <w:p>
            <w:pPr>
              <w:jc w:val="center"/>
              <w:spacing w:after="0"/>
              <w:rPr>
                <w:sz w:val="20"/>
                <w:szCs w:val="20"/>
                <w:color w:val="auto"/>
              </w:rPr>
            </w:pPr>
            <w:r>
              <w:rPr>
                <w:rFonts w:ascii="Arial" w:cs="Arial" w:eastAsia="Arial" w:hAnsi="Arial"/>
                <w:sz w:val="11"/>
                <w:szCs w:val="11"/>
                <w:color w:val="auto"/>
              </w:rPr>
              <w:t>(e)(f)</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1,034</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442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gridSpan w:val="5"/>
          </w:tcPr>
          <w:p>
            <w:pPr>
              <w:spacing w:after="0" w:line="95" w:lineRule="exact"/>
              <w:rPr>
                <w:sz w:val="20"/>
                <w:szCs w:val="20"/>
                <w:color w:val="auto"/>
              </w:rPr>
            </w:pPr>
            <w:r>
              <w:rPr>
                <w:rFonts w:ascii="Arial" w:cs="Arial" w:eastAsia="Arial" w:hAnsi="Arial"/>
                <w:sz w:val="10"/>
                <w:szCs w:val="10"/>
                <w:b w:val="1"/>
                <w:bCs w:val="1"/>
                <w:color w:val="auto"/>
              </w:rPr>
              <w:t>Income/(loss) before income tax</w:t>
            </w: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(1,814)</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816</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2,809</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455</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858</w:t>
            </w:r>
          </w:p>
        </w:tc>
        <w:tc>
          <w:tcPr>
            <w:tcW w:w="220" w:type="dxa"/>
            <w:vAlign w:val="bottom"/>
          </w:tcPr>
          <w:p>
            <w:pPr>
              <w:spacing w:after="0"/>
              <w:rPr>
                <w:sz w:val="8"/>
                <w:szCs w:val="8"/>
                <w:color w:val="auto"/>
              </w:rPr>
            </w:pPr>
          </w:p>
        </w:tc>
        <w:tc>
          <w:tcPr>
            <w:tcW w:w="680" w:type="dxa"/>
            <w:vAlign w:val="bottom"/>
            <w:gridSpan w:val="2"/>
            <w:vMerge w:val="restart"/>
          </w:tcPr>
          <w:p>
            <w:pPr>
              <w:ind w:left="300"/>
              <w:spacing w:after="0"/>
              <w:rPr>
                <w:sz w:val="20"/>
                <w:szCs w:val="20"/>
                <w:color w:val="auto"/>
              </w:rPr>
            </w:pPr>
            <w:r>
              <w:rPr>
                <w:rFonts w:ascii="Arial" w:cs="Arial" w:eastAsia="Arial" w:hAnsi="Arial"/>
                <w:sz w:val="11"/>
                <w:szCs w:val="11"/>
                <w:color w:val="auto"/>
              </w:rPr>
              <w:t>NM</w:t>
            </w:r>
          </w:p>
        </w:tc>
        <w:tc>
          <w:tcPr>
            <w:tcW w:w="960" w:type="dxa"/>
            <w:vAlign w:val="bottom"/>
            <w:gridSpan w:val="2"/>
            <w:vMerge w:val="restart"/>
          </w:tcPr>
          <w:p>
            <w:pPr>
              <w:ind w:left="380"/>
              <w:spacing w:after="0"/>
              <w:rPr>
                <w:sz w:val="20"/>
                <w:szCs w:val="20"/>
                <w:color w:val="auto"/>
              </w:rPr>
            </w:pPr>
            <w:r>
              <w:rPr>
                <w:rFonts w:ascii="Arial" w:cs="Arial" w:eastAsia="Arial" w:hAnsi="Arial"/>
                <w:sz w:val="11"/>
                <w:szCs w:val="11"/>
                <w:color w:val="auto"/>
              </w:rPr>
              <w:t>NM</w:t>
            </w:r>
          </w:p>
        </w:tc>
        <w:tc>
          <w:tcPr>
            <w:tcW w:w="100" w:type="dxa"/>
            <w:vAlign w:val="bottom"/>
          </w:tcPr>
          <w:p>
            <w:pPr>
              <w:spacing w:after="0"/>
              <w:rPr>
                <w:sz w:val="8"/>
                <w:szCs w:val="8"/>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2,266</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(976)</w:t>
            </w:r>
          </w:p>
        </w:tc>
        <w:tc>
          <w:tcPr>
            <w:tcW w:w="2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gridSpan w:val="5"/>
          </w:tcPr>
          <w:p>
            <w:pPr>
              <w:spacing w:after="0"/>
              <w:rPr>
                <w:sz w:val="20"/>
                <w:szCs w:val="20"/>
                <w:color w:val="auto"/>
              </w:rPr>
            </w:pPr>
            <w:r>
              <w:rPr>
                <w:rFonts w:ascii="Arial" w:cs="Arial" w:eastAsia="Arial" w:hAnsi="Arial"/>
                <w:sz w:val="11"/>
                <w:szCs w:val="11"/>
                <w:b w:val="1"/>
                <w:bCs w:val="1"/>
                <w:color w:val="auto"/>
              </w:rPr>
              <w:t>expense/(benefit)</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Income tax expense/(benefit)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(939)</w:t>
            </w:r>
          </w:p>
        </w:tc>
        <w:tc>
          <w:tcPr>
            <w:tcW w:w="320" w:type="dxa"/>
            <w:vAlign w:val="bottom"/>
          </w:tcPr>
          <w:p>
            <w:pPr>
              <w:ind w:left="100"/>
              <w:spacing w:after="0"/>
              <w:rPr>
                <w:sz w:val="20"/>
                <w:szCs w:val="20"/>
                <w:color w:val="auto"/>
              </w:rPr>
            </w:pPr>
            <w:r>
              <w:rPr>
                <w:rFonts w:ascii="Arial" w:cs="Arial" w:eastAsia="Arial" w:hAnsi="Arial"/>
                <w:sz w:val="11"/>
                <w:szCs w:val="11"/>
                <w:color w:val="auto"/>
              </w:rPr>
              <w:t>(g)</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169</w:t>
            </w:r>
          </w:p>
        </w:tc>
        <w:tc>
          <w:tcPr>
            <w:tcW w:w="240" w:type="dxa"/>
            <w:vAlign w:val="bottom"/>
          </w:tcPr>
          <w:p>
            <w:pPr>
              <w:jc w:val="center"/>
              <w:spacing w:after="0"/>
              <w:rPr>
                <w:sz w:val="20"/>
                <w:szCs w:val="20"/>
                <w:color w:val="auto"/>
              </w:rPr>
            </w:pPr>
            <w:r>
              <w:rPr>
                <w:rFonts w:ascii="Arial" w:cs="Arial" w:eastAsia="Arial" w:hAnsi="Arial"/>
                <w:sz w:val="11"/>
                <w:szCs w:val="11"/>
                <w:color w:val="auto"/>
                <w:w w:val="81"/>
              </w:rPr>
              <w:t>(i)</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277</w:t>
            </w:r>
          </w:p>
        </w:tc>
        <w:tc>
          <w:tcPr>
            <w:tcW w:w="220" w:type="dxa"/>
            <w:vAlign w:val="bottom"/>
          </w:tcPr>
          <w:p>
            <w:pPr>
              <w:spacing w:after="0"/>
              <w:rPr>
                <w:sz w:val="14"/>
                <w:szCs w:val="14"/>
                <w:color w:val="auto"/>
              </w:rPr>
            </w:pP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NM</w:t>
            </w:r>
          </w:p>
        </w:tc>
        <w:tc>
          <w:tcPr>
            <w:tcW w:w="96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00" w:type="dxa"/>
            <w:vAlign w:val="bottom"/>
          </w:tcPr>
          <w:p>
            <w:pPr>
              <w:spacing w:after="0"/>
              <w:rPr>
                <w:sz w:val="14"/>
                <w:szCs w:val="14"/>
                <w:color w:val="auto"/>
              </w:rPr>
            </w:pPr>
          </w:p>
        </w:tc>
        <w:tc>
          <w:tcPr>
            <w:tcW w:w="840" w:type="dxa"/>
            <w:vAlign w:val="bottom"/>
            <w:gridSpan w:val="2"/>
          </w:tcPr>
          <w:p>
            <w:pPr>
              <w:ind w:left="280"/>
              <w:spacing w:after="0"/>
              <w:rPr>
                <w:sz w:val="20"/>
                <w:szCs w:val="20"/>
                <w:color w:val="auto"/>
              </w:rPr>
            </w:pPr>
            <w:r>
              <w:rPr>
                <w:rFonts w:ascii="Arial" w:cs="Arial" w:eastAsia="Arial" w:hAnsi="Arial"/>
                <w:sz w:val="11"/>
                <w:szCs w:val="11"/>
                <w:color w:val="auto"/>
              </w:rPr>
              <w:t>(555) (g)(i)</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(233)</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(138)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gridSpan w:val="5"/>
          </w:tcPr>
          <w:p>
            <w:pPr>
              <w:ind w:left="120"/>
              <w:spacing w:after="0"/>
              <w:rPr>
                <w:sz w:val="20"/>
                <w:szCs w:val="20"/>
                <w:color w:val="auto"/>
              </w:rPr>
            </w:pPr>
            <w:r>
              <w:rPr>
                <w:rFonts w:ascii="Arial" w:cs="Arial" w:eastAsia="Arial" w:hAnsi="Arial"/>
                <w:sz w:val="11"/>
                <w:szCs w:val="11"/>
                <w:b w:val="1"/>
                <w:bCs w:val="1"/>
                <w:color w:val="auto"/>
              </w:rPr>
              <w:t>NET INCOME/(LOSS)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(875)</w:t>
            </w:r>
          </w:p>
        </w:tc>
        <w:tc>
          <w:tcPr>
            <w:tcW w:w="3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812</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2,640</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244</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581</w:t>
            </w:r>
          </w:p>
        </w:tc>
        <w:tc>
          <w:tcPr>
            <w:tcW w:w="220" w:type="dxa"/>
            <w:vAlign w:val="bottom"/>
          </w:tcPr>
          <w:p>
            <w:pPr>
              <w:spacing w:after="0"/>
              <w:rPr>
                <w:sz w:val="14"/>
                <w:szCs w:val="14"/>
                <w:color w:val="auto"/>
              </w:rPr>
            </w:pP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NM</w:t>
            </w:r>
          </w:p>
        </w:tc>
        <w:tc>
          <w:tcPr>
            <w:tcW w:w="96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2,821</w:t>
            </w: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(743)</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160" w:type="dxa"/>
            <w:vAlign w:val="bottom"/>
            <w:gridSpan w:val="5"/>
          </w:tcPr>
          <w:p>
            <w:pPr>
              <w:spacing w:after="0"/>
              <w:rPr>
                <w:sz w:val="20"/>
                <w:szCs w:val="20"/>
                <w:color w:val="auto"/>
              </w:rPr>
            </w:pPr>
            <w:r>
              <w:rPr>
                <w:rFonts w:ascii="Arial" w:cs="Arial" w:eastAsia="Arial" w:hAnsi="Arial"/>
                <w:sz w:val="11"/>
                <w:szCs w:val="11"/>
                <w:b w:val="1"/>
                <w:bCs w:val="1"/>
                <w:color w:val="auto"/>
              </w:rPr>
              <w:t>MEMO:</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gridSpan w:val="5"/>
          </w:tcPr>
          <w:p>
            <w:pPr>
              <w:spacing w:after="0"/>
              <w:rPr>
                <w:sz w:val="20"/>
                <w:szCs w:val="20"/>
                <w:color w:val="auto"/>
              </w:rPr>
            </w:pPr>
            <w:r>
              <w:rPr>
                <w:rFonts w:ascii="Arial" w:cs="Arial" w:eastAsia="Arial" w:hAnsi="Arial"/>
                <w:sz w:val="11"/>
                <w:szCs w:val="11"/>
                <w:b w:val="1"/>
                <w:bCs w:val="1"/>
                <w:color w:val="auto"/>
              </w:rPr>
              <w:t>TOTAL NET REVENUE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60" w:type="dxa"/>
            <w:vAlign w:val="bottom"/>
            <w:gridSpan w:val="5"/>
          </w:tcPr>
          <w:p>
            <w:pPr>
              <w:spacing w:after="0" w:line="122" w:lineRule="exact"/>
              <w:rPr>
                <w:sz w:val="20"/>
                <w:szCs w:val="20"/>
                <w:color w:val="auto"/>
              </w:rPr>
            </w:pPr>
            <w:r>
              <w:rPr>
                <w:rFonts w:ascii="Arial" w:cs="Arial" w:eastAsia="Arial" w:hAnsi="Arial"/>
                <w:sz w:val="11"/>
                <w:szCs w:val="11"/>
                <w:color w:val="auto"/>
              </w:rPr>
              <w:t>Treasury and Chief Investment Office</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2,065</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1,640</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1,261</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1,106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603</w:t>
            </w:r>
          </w:p>
        </w:tc>
        <w:tc>
          <w:tcPr>
            <w:tcW w:w="220" w:type="dxa"/>
            <w:vAlign w:val="bottom"/>
          </w:tcPr>
          <w:p>
            <w:pPr>
              <w:spacing w:after="0"/>
              <w:rPr>
                <w:sz w:val="10"/>
                <w:szCs w:val="10"/>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26</w:t>
            </w:r>
          </w:p>
        </w:tc>
        <w:tc>
          <w:tcPr>
            <w:tcW w:w="200" w:type="dxa"/>
            <w:vAlign w:val="bottom"/>
          </w:tcPr>
          <w:p>
            <w:pPr>
              <w:spacing w:after="0"/>
              <w:rPr>
                <w:sz w:val="10"/>
                <w:szCs w:val="10"/>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1"/>
                <w:szCs w:val="11"/>
                <w:color w:val="auto"/>
              </w:rPr>
              <w:t>242</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6,072</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(439)</w:t>
            </w:r>
          </w:p>
        </w:tc>
        <w:tc>
          <w:tcPr>
            <w:tcW w:w="2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(“CIO”)</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Other Corporate</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(288)</w:t>
            </w:r>
          </w:p>
        </w:tc>
        <w:tc>
          <w:tcPr>
            <w:tcW w:w="320" w:type="dxa"/>
            <w:vAlign w:val="bottom"/>
          </w:tcPr>
          <w:p>
            <w:pPr>
              <w:ind w:left="100"/>
              <w:spacing w:after="0"/>
              <w:rPr>
                <w:sz w:val="20"/>
                <w:szCs w:val="20"/>
                <w:color w:val="auto"/>
              </w:rPr>
            </w:pPr>
            <w:r>
              <w:rPr>
                <w:rFonts w:ascii="Arial" w:cs="Arial" w:eastAsia="Arial" w:hAnsi="Arial"/>
                <w:sz w:val="11"/>
                <w:szCs w:val="11"/>
                <w:color w:val="auto"/>
              </w:rPr>
              <w:t>(e)</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w:t>
            </w:r>
          </w:p>
        </w:tc>
        <w:tc>
          <w:tcPr>
            <w:tcW w:w="260" w:type="dxa"/>
            <w:vAlign w:val="bottom"/>
          </w:tcPr>
          <w:p>
            <w:pPr>
              <w:ind w:left="60"/>
              <w:spacing w:after="0"/>
              <w:rPr>
                <w:sz w:val="20"/>
                <w:szCs w:val="20"/>
                <w:color w:val="auto"/>
              </w:rPr>
            </w:pPr>
            <w:r>
              <w:rPr>
                <w:rFonts w:ascii="Arial" w:cs="Arial" w:eastAsia="Arial" w:hAnsi="Arial"/>
                <w:sz w:val="11"/>
                <w:szCs w:val="11"/>
                <w:color w:val="auto"/>
              </w:rPr>
              <w:t>(e)</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2,457</w:t>
            </w:r>
          </w:p>
        </w:tc>
        <w:tc>
          <w:tcPr>
            <w:tcW w:w="240" w:type="dxa"/>
            <w:vAlign w:val="bottom"/>
          </w:tcPr>
          <w:p>
            <w:pPr>
              <w:jc w:val="center"/>
              <w:spacing w:after="0"/>
              <w:rPr>
                <w:sz w:val="20"/>
                <w:szCs w:val="20"/>
                <w:color w:val="auto"/>
              </w:rPr>
            </w:pPr>
            <w:r>
              <w:rPr>
                <w:rFonts w:ascii="Arial" w:cs="Arial" w:eastAsia="Arial" w:hAnsi="Arial"/>
                <w:sz w:val="11"/>
                <w:szCs w:val="11"/>
                <w:color w:val="auto"/>
                <w:w w:val="88"/>
              </w:rPr>
              <w:t>(e)</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(121)</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580</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(251)</w:t>
            </w:r>
          </w:p>
        </w:tc>
        <w:tc>
          <w:tcPr>
            <w:tcW w:w="200" w:type="dxa"/>
            <w:vAlign w:val="bottom"/>
          </w:tcPr>
          <w:p>
            <w:pPr>
              <w:spacing w:after="0"/>
              <w:rPr>
                <w:sz w:val="15"/>
                <w:szCs w:val="15"/>
                <w:color w:val="auto"/>
              </w:rPr>
            </w:pPr>
          </w:p>
        </w:tc>
        <w:tc>
          <w:tcPr>
            <w:tcW w:w="96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1,966</w:t>
            </w:r>
          </w:p>
        </w:tc>
        <w:tc>
          <w:tcPr>
            <w:tcW w:w="280" w:type="dxa"/>
            <w:vAlign w:val="bottom"/>
          </w:tcPr>
          <w:p>
            <w:pPr>
              <w:jc w:val="center"/>
              <w:spacing w:after="0"/>
              <w:rPr>
                <w:sz w:val="20"/>
                <w:szCs w:val="20"/>
                <w:color w:val="auto"/>
              </w:rPr>
            </w:pPr>
            <w:r>
              <w:rPr>
                <w:rFonts w:ascii="Arial" w:cs="Arial" w:eastAsia="Arial" w:hAnsi="Arial"/>
                <w:sz w:val="11"/>
                <w:szCs w:val="11"/>
                <w:color w:val="auto"/>
                <w:w w:val="88"/>
              </w:rPr>
              <w:t>(e)</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519</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279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1,777</w:t>
            </w:r>
          </w:p>
        </w:tc>
        <w:tc>
          <w:tcPr>
            <w:tcW w:w="3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1,558</w:t>
            </w:r>
          </w:p>
        </w:tc>
        <w:tc>
          <w:tcPr>
            <w:tcW w:w="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3,718</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985</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1,183</w:t>
            </w:r>
          </w:p>
        </w:tc>
        <w:tc>
          <w:tcPr>
            <w:tcW w:w="2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50</w:t>
            </w:r>
          </w:p>
        </w:tc>
        <w:tc>
          <w:tcPr>
            <w:tcW w:w="4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8,038</w:t>
            </w:r>
          </w:p>
        </w:tc>
        <w:tc>
          <w:tcPr>
            <w:tcW w:w="280" w:type="dxa"/>
            <w:vAlign w:val="bottom"/>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80</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160" w:type="dxa"/>
            <w:vAlign w:val="bottom"/>
            <w:gridSpan w:val="5"/>
          </w:tcPr>
          <w:p>
            <w:pPr>
              <w:spacing w:after="0"/>
              <w:rPr>
                <w:sz w:val="20"/>
                <w:szCs w:val="20"/>
                <w:color w:val="auto"/>
              </w:rPr>
            </w:pPr>
            <w:r>
              <w:rPr>
                <w:rFonts w:ascii="Arial" w:cs="Arial" w:eastAsia="Arial" w:hAnsi="Arial"/>
                <w:sz w:val="11"/>
                <w:szCs w:val="11"/>
                <w:b w:val="1"/>
                <w:bCs w:val="1"/>
                <w:color w:val="auto"/>
              </w:rPr>
              <w:t>NET INCOME/(LOSS)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Treasury and CIO</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1,396</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1,129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1,057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624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531</w:t>
            </w:r>
          </w:p>
        </w:tc>
        <w:tc>
          <w:tcPr>
            <w:tcW w:w="2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w:t>
            </w:r>
          </w:p>
        </w:tc>
        <w:tc>
          <w:tcPr>
            <w:tcW w:w="200" w:type="dxa"/>
            <w:vAlign w:val="bottom"/>
          </w:tcPr>
          <w:p>
            <w:pPr>
              <w:spacing w:after="0"/>
              <w:rPr>
                <w:sz w:val="13"/>
                <w:szCs w:val="13"/>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163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4,206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(197)</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Other Corporate</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(2,271)</w:t>
            </w:r>
          </w:p>
        </w:tc>
        <w:tc>
          <w:tcPr>
            <w:tcW w:w="320" w:type="dxa"/>
            <w:vAlign w:val="bottom"/>
          </w:tcPr>
          <w:p>
            <w:pPr>
              <w:ind w:left="100"/>
              <w:spacing w:after="0"/>
              <w:rPr>
                <w:sz w:val="20"/>
                <w:szCs w:val="20"/>
                <w:color w:val="auto"/>
              </w:rPr>
            </w:pPr>
            <w:r>
              <w:rPr>
                <w:rFonts w:ascii="Arial" w:cs="Arial" w:eastAsia="Arial" w:hAnsi="Arial"/>
                <w:sz w:val="11"/>
                <w:szCs w:val="11"/>
                <w:color w:val="auto"/>
              </w:rPr>
              <w:t>(e)</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(317)</w:t>
            </w:r>
          </w:p>
        </w:tc>
        <w:tc>
          <w:tcPr>
            <w:tcW w:w="260" w:type="dxa"/>
            <w:vAlign w:val="bottom"/>
          </w:tcPr>
          <w:p>
            <w:pPr>
              <w:ind w:left="60"/>
              <w:spacing w:after="0"/>
              <w:rPr>
                <w:sz w:val="20"/>
                <w:szCs w:val="20"/>
                <w:color w:val="auto"/>
              </w:rPr>
            </w:pPr>
            <w:r>
              <w:rPr>
                <w:rFonts w:ascii="Arial" w:cs="Arial" w:eastAsia="Arial" w:hAnsi="Arial"/>
                <w:sz w:val="11"/>
                <w:szCs w:val="11"/>
                <w:color w:val="auto"/>
              </w:rPr>
              <w:t>(e)</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1,583</w:t>
            </w:r>
          </w:p>
        </w:tc>
        <w:tc>
          <w:tcPr>
            <w:tcW w:w="240" w:type="dxa"/>
            <w:vAlign w:val="bottom"/>
          </w:tcPr>
          <w:p>
            <w:pPr>
              <w:jc w:val="center"/>
              <w:spacing w:after="0"/>
              <w:rPr>
                <w:sz w:val="20"/>
                <w:szCs w:val="20"/>
                <w:color w:val="auto"/>
              </w:rPr>
            </w:pPr>
            <w:r>
              <w:rPr>
                <w:rFonts w:ascii="Arial" w:cs="Arial" w:eastAsia="Arial" w:hAnsi="Arial"/>
                <w:sz w:val="11"/>
                <w:szCs w:val="11"/>
                <w:color w:val="auto"/>
                <w:w w:val="88"/>
              </w:rPr>
              <w:t>(e)</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(380)</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50</w:t>
            </w:r>
          </w:p>
        </w:tc>
        <w:tc>
          <w:tcPr>
            <w:tcW w:w="220" w:type="dxa"/>
            <w:vAlign w:val="bottom"/>
          </w:tcPr>
          <w:p>
            <w:pPr>
              <w:spacing w:after="0"/>
              <w:rPr>
                <w:sz w:val="15"/>
                <w:szCs w:val="15"/>
                <w:color w:val="auto"/>
              </w:rPr>
            </w:pP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NM</w:t>
            </w:r>
          </w:p>
        </w:tc>
        <w:tc>
          <w:tcPr>
            <w:tcW w:w="96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(1,385)</w:t>
            </w:r>
          </w:p>
        </w:tc>
        <w:tc>
          <w:tcPr>
            <w:tcW w:w="280" w:type="dxa"/>
            <w:vAlign w:val="bottom"/>
          </w:tcPr>
          <w:p>
            <w:pPr>
              <w:jc w:val="center"/>
              <w:spacing w:after="0"/>
              <w:rPr>
                <w:sz w:val="20"/>
                <w:szCs w:val="20"/>
                <w:color w:val="auto"/>
              </w:rPr>
            </w:pPr>
            <w:r>
              <w:rPr>
                <w:rFonts w:ascii="Arial" w:cs="Arial" w:eastAsia="Arial" w:hAnsi="Arial"/>
                <w:sz w:val="11"/>
                <w:szCs w:val="11"/>
                <w:color w:val="auto"/>
                <w:w w:val="88"/>
              </w:rPr>
              <w:t>(e)</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(546)</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(154)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INCOME/(LOSS)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(875)</w:t>
            </w:r>
          </w:p>
        </w:tc>
        <w:tc>
          <w:tcPr>
            <w:tcW w:w="3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812</w:t>
            </w:r>
          </w:p>
        </w:tc>
        <w:tc>
          <w:tcPr>
            <w:tcW w:w="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2,640</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244</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581</w:t>
            </w:r>
          </w:p>
        </w:tc>
        <w:tc>
          <w:tcPr>
            <w:tcW w:w="220" w:type="dxa"/>
            <w:vAlign w:val="bottom"/>
          </w:tcPr>
          <w:p>
            <w:pPr>
              <w:spacing w:after="0"/>
              <w:rPr>
                <w:sz w:val="14"/>
                <w:szCs w:val="14"/>
                <w:color w:val="auto"/>
              </w:rPr>
            </w:pPr>
          </w:p>
        </w:tc>
        <w:tc>
          <w:tcPr>
            <w:tcW w:w="680" w:type="dxa"/>
            <w:vAlign w:val="bottom"/>
            <w:gridSpan w:val="2"/>
          </w:tcPr>
          <w:p>
            <w:pPr>
              <w:ind w:left="300"/>
              <w:spacing w:after="0"/>
              <w:rPr>
                <w:sz w:val="20"/>
                <w:szCs w:val="20"/>
                <w:color w:val="auto"/>
              </w:rPr>
            </w:pPr>
            <w:r>
              <w:rPr>
                <w:rFonts w:ascii="Arial" w:cs="Arial" w:eastAsia="Arial" w:hAnsi="Arial"/>
                <w:sz w:val="11"/>
                <w:szCs w:val="11"/>
                <w:color w:val="auto"/>
              </w:rPr>
              <w:t>NM</w:t>
            </w:r>
          </w:p>
        </w:tc>
        <w:tc>
          <w:tcPr>
            <w:tcW w:w="96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2,821</w:t>
            </w:r>
          </w:p>
        </w:tc>
        <w:tc>
          <w:tcPr>
            <w:tcW w:w="280" w:type="dxa"/>
            <w:vAlign w:val="bottom"/>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(743)</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60" w:type="dxa"/>
            <w:vAlign w:val="bottom"/>
            <w:gridSpan w:val="5"/>
          </w:tcPr>
          <w:p>
            <w:pPr>
              <w:spacing w:after="0"/>
              <w:rPr>
                <w:sz w:val="20"/>
                <w:szCs w:val="20"/>
                <w:color w:val="auto"/>
              </w:rPr>
            </w:pPr>
            <w:r>
              <w:rPr>
                <w:rFonts w:ascii="Arial" w:cs="Arial" w:eastAsia="Arial" w:hAnsi="Arial"/>
                <w:sz w:val="11"/>
                <w:szCs w:val="11"/>
                <w:b w:val="1"/>
                <w:bCs w:val="1"/>
                <w:color w:val="auto"/>
              </w:rPr>
              <w:t>SELECTED BALANCE SHEET DATA</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rPr>
              <w:t>(period-end)</w:t>
            </w:r>
          </w:p>
        </w:tc>
        <w:tc>
          <w:tcPr>
            <w:tcW w:w="1200" w:type="dxa"/>
            <w:vAlign w:val="bottom"/>
            <w:tcBorders>
              <w:top w:val="single" w:sz="8" w:color="auto"/>
            </w:tcBorders>
            <w:gridSpan w:val="3"/>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Total assets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1,348,437</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1,275,673</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1,263,595</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1,307,989</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1,328,219</w:t>
            </w:r>
          </w:p>
        </w:tc>
        <w:tc>
          <w:tcPr>
            <w:tcW w:w="2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1,348,437</w:t>
            </w:r>
          </w:p>
        </w:tc>
        <w:tc>
          <w:tcPr>
            <w:tcW w:w="2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1,328,219</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1,924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2,099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2,172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2,267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2,181</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1,924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2,181</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Deposits (b)</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21,826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20,363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21,083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19,458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14,203</w:t>
            </w:r>
          </w:p>
        </w:tc>
        <w:tc>
          <w:tcPr>
            <w:tcW w:w="22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54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21,826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14,203</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160" w:type="dxa"/>
            <w:vAlign w:val="bottom"/>
            <w:gridSpan w:val="5"/>
          </w:tcPr>
          <w:p>
            <w:pPr>
              <w:spacing w:after="0"/>
              <w:rPr>
                <w:sz w:val="20"/>
                <w:szCs w:val="20"/>
                <w:color w:val="auto"/>
              </w:rPr>
            </w:pPr>
            <w:r>
              <w:rPr>
                <w:rFonts w:ascii="Arial" w:cs="Arial" w:eastAsia="Arial" w:hAnsi="Arial"/>
                <w:sz w:val="11"/>
                <w:szCs w:val="11"/>
                <w:b w:val="1"/>
                <w:bCs w:val="1"/>
                <w:color w:val="auto"/>
              </w:rPr>
              <w:t>Employees</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47,530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47,280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45,235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44,743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44,196</w:t>
            </w:r>
          </w:p>
        </w:tc>
        <w:tc>
          <w:tcPr>
            <w:tcW w:w="220" w:type="dxa"/>
            <w:vAlign w:val="bottom"/>
          </w:tcPr>
          <w:p>
            <w:pPr>
              <w:spacing w:after="0"/>
              <w:rPr>
                <w:sz w:val="24"/>
                <w:szCs w:val="2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24"/>
                <w:szCs w:val="2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47,530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44,196</w:t>
            </w:r>
          </w:p>
        </w:tc>
        <w:tc>
          <w:tcPr>
            <w:tcW w:w="940" w:type="dxa"/>
            <w:vAlign w:val="bottom"/>
            <w:gridSpan w:val="2"/>
          </w:tcPr>
          <w:p>
            <w:pPr>
              <w:jc w:val="right"/>
              <w:ind w:right="8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160" w:type="dxa"/>
            <w:vAlign w:val="bottom"/>
            <w:gridSpan w:val="5"/>
          </w:tcPr>
          <w:p>
            <w:pPr>
              <w:spacing w:after="0"/>
              <w:rPr>
                <w:sz w:val="20"/>
                <w:szCs w:val="20"/>
                <w:color w:val="auto"/>
              </w:rPr>
            </w:pPr>
            <w:r>
              <w:rPr>
                <w:rFonts w:ascii="Arial" w:cs="Arial" w:eastAsia="Arial" w:hAnsi="Arial"/>
                <w:sz w:val="11"/>
                <w:szCs w:val="11"/>
                <w:b w:val="1"/>
                <w:bCs w:val="1"/>
                <w:color w:val="auto"/>
              </w:rPr>
              <w:t>SUPPLEMENTAL INFORMATION</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60" w:type="dxa"/>
            <w:vAlign w:val="bottom"/>
            <w:tcBorders>
              <w:top w:val="single" w:sz="8" w:color="auto"/>
            </w:tcBorders>
            <w:gridSpan w:val="3"/>
          </w:tcPr>
          <w:p>
            <w:pPr>
              <w:spacing w:after="0"/>
              <w:rPr>
                <w:sz w:val="20"/>
                <w:szCs w:val="20"/>
                <w:color w:val="auto"/>
              </w:rPr>
            </w:pPr>
            <w:r>
              <w:rPr>
                <w:rFonts w:ascii="Arial" w:cs="Arial" w:eastAsia="Arial" w:hAnsi="Arial"/>
                <w:sz w:val="11"/>
                <w:szCs w:val="11"/>
                <w:b w:val="1"/>
                <w:bCs w:val="1"/>
                <w:color w:val="auto"/>
              </w:rPr>
              <w:t>TREASURY and CIO</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Investment securities losses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(743)</w:t>
            </w:r>
          </w:p>
        </w:tc>
        <w:tc>
          <w:tcPr>
            <w:tcW w:w="3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(669)</w:t>
            </w:r>
          </w:p>
        </w:tc>
        <w:tc>
          <w:tcPr>
            <w:tcW w:w="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(900)</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(868)</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(874)</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15</w:t>
            </w:r>
          </w:p>
        </w:tc>
        <w:tc>
          <w:tcPr>
            <w:tcW w:w="4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(3,180)</w:t>
            </w:r>
          </w:p>
        </w:tc>
        <w:tc>
          <w:tcPr>
            <w:tcW w:w="280" w:type="dxa"/>
            <w:vAlign w:val="bottom"/>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(2,380)</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Available-for-sale securities (average)</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199,581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201,875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198,620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202,776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195,788</w:t>
            </w: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200,708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239,924</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Held-to-maturity securities (average) (c)</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377,709</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402,816</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410,594</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417,350</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427,802</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5"/>
                <w:szCs w:val="15"/>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402,010</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412,180</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Investment securities portfolio (average)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577,290</w:t>
            </w:r>
          </w:p>
        </w:tc>
        <w:tc>
          <w:tcPr>
            <w:tcW w:w="3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604,691</w:t>
            </w:r>
          </w:p>
        </w:tc>
        <w:tc>
          <w:tcPr>
            <w:tcW w:w="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609,214</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620,126</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623,590</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4"/>
                <w:szCs w:val="1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602,718</w:t>
            </w:r>
          </w:p>
        </w:tc>
        <w:tc>
          <w:tcPr>
            <w:tcW w:w="280" w:type="dxa"/>
            <w:vAlign w:val="bottom"/>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652,104</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Available-for-sale securities (period-end)</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199,354</w:t>
            </w:r>
          </w:p>
        </w:tc>
        <w:tc>
          <w:tcPr>
            <w:tcW w:w="320" w:type="dxa"/>
            <w:vAlign w:val="bottom"/>
          </w:tcPr>
          <w:p>
            <w:pPr>
              <w:ind w:left="100"/>
              <w:spacing w:after="0"/>
              <w:rPr>
                <w:sz w:val="20"/>
                <w:szCs w:val="20"/>
                <w:color w:val="auto"/>
              </w:rPr>
            </w:pPr>
            <w:r>
              <w:rPr>
                <w:rFonts w:ascii="Arial" w:cs="Arial" w:eastAsia="Arial" w:hAnsi="Arial"/>
                <w:sz w:val="11"/>
                <w:szCs w:val="11"/>
                <w:color w:val="auto"/>
              </w:rPr>
              <w:t>(h)</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195,200</w:t>
            </w:r>
          </w:p>
        </w:tc>
        <w:tc>
          <w:tcPr>
            <w:tcW w:w="260" w:type="dxa"/>
            <w:vAlign w:val="bottom"/>
          </w:tcPr>
          <w:p>
            <w:pPr>
              <w:ind w:left="60"/>
              <w:spacing w:after="0"/>
              <w:rPr>
                <w:sz w:val="20"/>
                <w:szCs w:val="20"/>
                <w:color w:val="auto"/>
              </w:rPr>
            </w:pPr>
            <w:r>
              <w:rPr>
                <w:rFonts w:ascii="Arial" w:cs="Arial" w:eastAsia="Arial" w:hAnsi="Arial"/>
                <w:sz w:val="11"/>
                <w:szCs w:val="11"/>
                <w:color w:val="auto"/>
              </w:rPr>
              <w:t>(h)</w:t>
            </w: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201,211</w:t>
            </w:r>
          </w:p>
        </w:tc>
        <w:tc>
          <w:tcPr>
            <w:tcW w:w="240" w:type="dxa"/>
            <w:vAlign w:val="bottom"/>
          </w:tcPr>
          <w:p>
            <w:pPr>
              <w:jc w:val="center"/>
              <w:spacing w:after="0"/>
              <w:rPr>
                <w:sz w:val="20"/>
                <w:szCs w:val="20"/>
                <w:color w:val="auto"/>
              </w:rPr>
            </w:pPr>
            <w:r>
              <w:rPr>
                <w:rFonts w:ascii="Arial" w:cs="Arial" w:eastAsia="Arial" w:hAnsi="Arial"/>
                <w:sz w:val="11"/>
                <w:szCs w:val="11"/>
                <w:color w:val="auto"/>
                <w:w w:val="88"/>
              </w:rPr>
              <w:t>(h)</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195,228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203,981</w:t>
            </w:r>
          </w:p>
        </w:tc>
        <w:tc>
          <w:tcPr>
            <w:tcW w:w="2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199,354</w:t>
            </w:r>
          </w:p>
        </w:tc>
        <w:tc>
          <w:tcPr>
            <w:tcW w:w="280" w:type="dxa"/>
            <w:vAlign w:val="bottom"/>
          </w:tcPr>
          <w:p>
            <w:pPr>
              <w:jc w:val="center"/>
              <w:spacing w:after="0"/>
              <w:rPr>
                <w:sz w:val="20"/>
                <w:szCs w:val="20"/>
                <w:color w:val="auto"/>
              </w:rPr>
            </w:pPr>
            <w:r>
              <w:rPr>
                <w:rFonts w:ascii="Arial" w:cs="Arial" w:eastAsia="Arial" w:hAnsi="Arial"/>
                <w:sz w:val="11"/>
                <w:szCs w:val="11"/>
                <w:color w:val="auto"/>
                <w:w w:val="88"/>
              </w:rPr>
              <w:t>(h)</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203,981</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Held-to-maturity securities (period-end) (c)</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369,848</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388,261</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408,941</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412,827</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425,305</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5"/>
                <w:szCs w:val="15"/>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369,848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425,305</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gridSpan w:val="5"/>
          </w:tcPr>
          <w:p>
            <w:pPr>
              <w:spacing w:after="0" w:line="95" w:lineRule="exact"/>
              <w:rPr>
                <w:sz w:val="20"/>
                <w:szCs w:val="20"/>
                <w:color w:val="auto"/>
              </w:rPr>
            </w:pPr>
            <w:r>
              <w:rPr>
                <w:rFonts w:ascii="Arial" w:cs="Arial" w:eastAsia="Arial" w:hAnsi="Arial"/>
                <w:sz w:val="10"/>
                <w:szCs w:val="10"/>
                <w:color w:val="auto"/>
              </w:rPr>
              <w:t>Investment securities portfolio, net of</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569,202</w:t>
            </w:r>
          </w:p>
        </w:tc>
        <w:tc>
          <w:tcPr>
            <w:tcW w:w="3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583,461</w:t>
            </w:r>
          </w:p>
        </w:tc>
        <w:tc>
          <w:tcPr>
            <w:tcW w:w="26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610,152</w:t>
            </w:r>
          </w:p>
        </w:tc>
        <w:tc>
          <w:tcPr>
            <w:tcW w:w="24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608,055</w:t>
            </w:r>
          </w:p>
        </w:tc>
        <w:tc>
          <w:tcPr>
            <w:tcW w:w="2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629,286</w:t>
            </w:r>
          </w:p>
        </w:tc>
        <w:tc>
          <w:tcPr>
            <w:tcW w:w="22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8"/>
                <w:szCs w:val="8"/>
                <w:color w:val="auto"/>
              </w:rPr>
            </w:pPr>
          </w:p>
        </w:tc>
        <w:tc>
          <w:tcPr>
            <w:tcW w:w="560" w:type="dxa"/>
            <w:vAlign w:val="bottom"/>
            <w:vMerge w:val="restart"/>
          </w:tcPr>
          <w:p>
            <w:pPr>
              <w:jc w:val="right"/>
              <w:ind w:right="66"/>
              <w:spacing w:after="0"/>
              <w:rPr>
                <w:sz w:val="20"/>
                <w:szCs w:val="20"/>
                <w:color w:val="auto"/>
              </w:rPr>
            </w:pPr>
            <w:r>
              <w:rPr>
                <w:rFonts w:ascii="Arial" w:cs="Arial" w:eastAsia="Arial" w:hAnsi="Arial"/>
                <w:sz w:val="11"/>
                <w:szCs w:val="11"/>
                <w:color w:val="auto"/>
              </w:rPr>
              <w:t>(10)</w:t>
            </w:r>
          </w:p>
        </w:tc>
        <w:tc>
          <w:tcPr>
            <w:tcW w:w="4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569,202</w:t>
            </w:r>
          </w:p>
        </w:tc>
        <w:tc>
          <w:tcPr>
            <w:tcW w:w="280" w:type="dxa"/>
            <w:vAlign w:val="bottom"/>
          </w:tcPr>
          <w:p>
            <w:pPr>
              <w:spacing w:after="0"/>
              <w:rPr>
                <w:sz w:val="8"/>
                <w:szCs w:val="8"/>
                <w:color w:val="auto"/>
              </w:rPr>
            </w:pPr>
          </w:p>
        </w:tc>
        <w:tc>
          <w:tcPr>
            <w:tcW w:w="1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629,286</w:t>
            </w:r>
          </w:p>
        </w:tc>
        <w:tc>
          <w:tcPr>
            <w:tcW w:w="9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60" w:type="dxa"/>
            <w:vAlign w:val="bottom"/>
            <w:gridSpan w:val="5"/>
          </w:tcPr>
          <w:p>
            <w:pPr>
              <w:spacing w:after="0"/>
              <w:rPr>
                <w:sz w:val="20"/>
                <w:szCs w:val="20"/>
                <w:color w:val="auto"/>
              </w:rPr>
            </w:pPr>
            <w:r>
              <w:rPr>
                <w:rFonts w:ascii="Arial" w:cs="Arial" w:eastAsia="Arial" w:hAnsi="Arial"/>
                <w:sz w:val="11"/>
                <w:szCs w:val="11"/>
                <w:color w:val="auto"/>
              </w:rPr>
              <w:t>allowance for credit losses (period-end) (d)</w:t>
            </w: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right="280" w:hanging="172"/>
        <w:spacing w:after="0" w:line="264" w:lineRule="auto"/>
        <w:tabs>
          <w:tab w:leader="none" w:pos="172" w:val="left"/>
        </w:tabs>
        <w:numPr>
          <w:ilvl w:val="0"/>
          <w:numId w:val="29"/>
        </w:numPr>
        <w:rPr>
          <w:rFonts w:ascii="Arial" w:cs="Arial" w:eastAsia="Arial" w:hAnsi="Arial"/>
          <w:sz w:val="10"/>
          <w:szCs w:val="10"/>
          <w:color w:val="auto"/>
        </w:rPr>
      </w:pPr>
      <w:r>
        <w:rPr>
          <w:rFonts w:ascii="Arial" w:cs="Arial" w:eastAsia="Arial" w:hAnsi="Arial"/>
          <w:sz w:val="10"/>
          <w:szCs w:val="10"/>
          <w:color w:val="auto"/>
        </w:rPr>
        <w:t>Included tax-equivalent adjustments, predominantly driven by tax-exempt income from municipal bonds, of $53 million, $57 million, $45 million, $56 million and $58 million for the three months ended December 31, 2023, September 30, 2023, June 30, 2023, March 31, 2023 and December 31, 2022, respectively, and $211 million and $235 million for the full year 2023 and 2022, respectively.</w:t>
      </w:r>
    </w:p>
    <w:p>
      <w:pPr>
        <w:ind w:left="160" w:hanging="152"/>
        <w:spacing w:after="0" w:line="225" w:lineRule="auto"/>
        <w:tabs>
          <w:tab w:leader="none" w:pos="160" w:val="left"/>
        </w:tabs>
        <w:numPr>
          <w:ilvl w:val="0"/>
          <w:numId w:val="29"/>
        </w:numPr>
        <w:rPr>
          <w:rFonts w:ascii="Arial" w:cs="Arial" w:eastAsia="Arial" w:hAnsi="Arial"/>
          <w:sz w:val="10"/>
          <w:szCs w:val="10"/>
          <w:color w:val="auto"/>
        </w:rPr>
      </w:pPr>
      <w:r>
        <w:rPr>
          <w:rFonts w:ascii="Arial" w:cs="Arial" w:eastAsia="Arial" w:hAnsi="Arial"/>
          <w:sz w:val="10"/>
          <w:szCs w:val="10"/>
          <w:color w:val="auto"/>
        </w:rPr>
        <w:t>Predominantly relates to the Firm's international consumer initiatives.</w:t>
      </w:r>
    </w:p>
    <w:p>
      <w:pPr>
        <w:ind w:left="180" w:right="60" w:hanging="172"/>
        <w:spacing w:after="0" w:line="249" w:lineRule="auto"/>
        <w:tabs>
          <w:tab w:leader="none" w:pos="166" w:val="left"/>
        </w:tabs>
        <w:numPr>
          <w:ilvl w:val="0"/>
          <w:numId w:val="29"/>
        </w:numPr>
        <w:rPr>
          <w:rFonts w:ascii="Arial" w:cs="Arial" w:eastAsia="Arial" w:hAnsi="Arial"/>
          <w:sz w:val="10"/>
          <w:szCs w:val="10"/>
          <w:color w:val="auto"/>
        </w:rPr>
      </w:pPr>
      <w:r>
        <w:rPr>
          <w:rFonts w:ascii="Arial" w:cs="Arial" w:eastAsia="Arial" w:hAnsi="Arial"/>
          <w:sz w:val="10"/>
          <w:szCs w:val="10"/>
          <w:color w:val="auto"/>
        </w:rPr>
        <w:t>In January 2023, upon adoption of the Derivatives and Hedging: Fair Value Hedging - Portfolio Layer Method accounting guidance, the Firm elected to transfer $7.1 billion of HTM securities to AFS. The transferred securities were placed in a closed AFS securities portfolio as part of a portfolio layer method hedge. During 2022, the Firm transferred $78.3 billion of investment securities from AFS to HTM for capital management purposes. At December 31, 2023, September 30, 2023, June 30, 2023, March 31, 2023 and December 31, 2022, the estimated fair value of the HTM securities portfolio was $342.8 billion, $348.7 billion, $375.3 billion, $382.0 billion and $388.6 billion, respectively. Refer to Note 1 of the Firm’s Quarterly Report on Form 10-Q for the quarterly period ended September 30, 2023 for additional information on the portfolio layer method.</w:t>
      </w:r>
    </w:p>
    <w:p>
      <w:pPr>
        <w:ind w:left="160" w:hanging="152"/>
        <w:spacing w:after="0"/>
        <w:tabs>
          <w:tab w:leader="none" w:pos="160" w:val="left"/>
        </w:tabs>
        <w:numPr>
          <w:ilvl w:val="0"/>
          <w:numId w:val="29"/>
        </w:numPr>
        <w:rPr>
          <w:rFonts w:ascii="Arial" w:cs="Arial" w:eastAsia="Arial" w:hAnsi="Arial"/>
          <w:sz w:val="10"/>
          <w:szCs w:val="10"/>
          <w:color w:val="auto"/>
        </w:rPr>
      </w:pPr>
      <w:r>
        <w:rPr>
          <w:rFonts w:ascii="Arial" w:cs="Arial" w:eastAsia="Arial" w:hAnsi="Arial"/>
          <w:sz w:val="10"/>
          <w:szCs w:val="10"/>
          <w:color w:val="auto"/>
        </w:rPr>
        <w:t>At December 31, 2023, September 30, 2023, June 30, 2023, March 31, 2023 and December 31, 2022, the allowance for credit losses on investment securities was $94 million, $87 million, $74 million, $61 million and $67 million, respectively.</w:t>
      </w:r>
    </w:p>
    <w:p>
      <w:pPr>
        <w:spacing w:after="0" w:line="15" w:lineRule="exact"/>
        <w:rPr>
          <w:rFonts w:ascii="Arial" w:cs="Arial" w:eastAsia="Arial" w:hAnsi="Arial"/>
          <w:sz w:val="10"/>
          <w:szCs w:val="10"/>
          <w:color w:val="auto"/>
        </w:rPr>
      </w:pPr>
    </w:p>
    <w:p>
      <w:pPr>
        <w:ind w:left="160" w:hanging="152"/>
        <w:spacing w:after="0"/>
        <w:tabs>
          <w:tab w:leader="none" w:pos="160" w:val="left"/>
        </w:tabs>
        <w:numPr>
          <w:ilvl w:val="0"/>
          <w:numId w:val="29"/>
        </w:numPr>
        <w:rPr>
          <w:rFonts w:ascii="Arial" w:cs="Arial" w:eastAsia="Arial" w:hAnsi="Arial"/>
          <w:sz w:val="10"/>
          <w:szCs w:val="10"/>
          <w:color w:val="auto"/>
        </w:rPr>
      </w:pPr>
      <w:r>
        <w:rPr>
          <w:rFonts w:ascii="Arial" w:cs="Arial" w:eastAsia="Arial" w:hAnsi="Arial"/>
          <w:sz w:val="10"/>
          <w:szCs w:val="10"/>
          <w:color w:val="auto"/>
        </w:rPr>
        <w:t>Includes First Republic. Refer to page 30 for additional information.</w:t>
      </w:r>
    </w:p>
    <w:p>
      <w:pPr>
        <w:spacing w:after="0" w:line="11" w:lineRule="exact"/>
        <w:rPr>
          <w:rFonts w:ascii="Arial" w:cs="Arial" w:eastAsia="Arial" w:hAnsi="Arial"/>
          <w:sz w:val="10"/>
          <w:szCs w:val="10"/>
          <w:color w:val="auto"/>
        </w:rPr>
      </w:pPr>
    </w:p>
    <w:p>
      <w:pPr>
        <w:ind w:left="160" w:hanging="152"/>
        <w:spacing w:after="0"/>
        <w:tabs>
          <w:tab w:leader="none" w:pos="160" w:val="left"/>
        </w:tabs>
        <w:numPr>
          <w:ilvl w:val="0"/>
          <w:numId w:val="29"/>
        </w:numPr>
        <w:rPr>
          <w:rFonts w:ascii="Arial" w:cs="Arial" w:eastAsia="Arial" w:hAnsi="Arial"/>
          <w:sz w:val="10"/>
          <w:szCs w:val="10"/>
          <w:color w:val="auto"/>
        </w:rPr>
      </w:pPr>
      <w:r>
        <w:rPr>
          <w:rFonts w:ascii="Arial" w:cs="Arial" w:eastAsia="Arial" w:hAnsi="Arial"/>
          <w:sz w:val="10"/>
          <w:szCs w:val="10"/>
          <w:color w:val="auto"/>
        </w:rPr>
        <w:t>Included a $2.9 billion special assessment from the FDIC on certain banks to recover losses to the DIF arising from the protection of uninsured depositors resulting from bank resolutions in 2023.</w:t>
      </w:r>
    </w:p>
    <w:p>
      <w:pPr>
        <w:spacing w:after="0" w:line="11" w:lineRule="exact"/>
        <w:rPr>
          <w:rFonts w:ascii="Arial" w:cs="Arial" w:eastAsia="Arial" w:hAnsi="Arial"/>
          <w:sz w:val="10"/>
          <w:szCs w:val="10"/>
          <w:color w:val="auto"/>
        </w:rPr>
      </w:pPr>
    </w:p>
    <w:p>
      <w:pPr>
        <w:ind w:left="160" w:hanging="152"/>
        <w:spacing w:after="0" w:line="236" w:lineRule="auto"/>
        <w:tabs>
          <w:tab w:leader="none" w:pos="1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Included an income tax benefit of $463 million and $428 million for the three months and full year ended December 31, 2023, respectively, related to the finalization of certain income tax regulations.</w:t>
      </w:r>
    </w:p>
    <w:p>
      <w:pPr>
        <w:ind w:left="160" w:hanging="152"/>
        <w:spacing w:after="0"/>
        <w:tabs>
          <w:tab w:leader="none" w:pos="160" w:val="left"/>
        </w:tabs>
        <w:numPr>
          <w:ilvl w:val="0"/>
          <w:numId w:val="29"/>
        </w:numPr>
        <w:rPr>
          <w:rFonts w:ascii="Arial" w:cs="Arial" w:eastAsia="Arial" w:hAnsi="Arial"/>
          <w:sz w:val="10"/>
          <w:szCs w:val="10"/>
          <w:color w:val="auto"/>
        </w:rPr>
      </w:pPr>
      <w:r>
        <w:rPr>
          <w:rFonts w:ascii="Arial" w:cs="Arial" w:eastAsia="Arial" w:hAnsi="Arial"/>
          <w:sz w:val="10"/>
          <w:szCs w:val="10"/>
          <w:color w:val="auto"/>
        </w:rPr>
        <w:t>At December 31, 2023, September 30, 2023 and June 30, 2023, included AFS securities of $24.2 billion, $22.9 billion and $25.8 billion, respectively, associated with First Republic.</w:t>
      </w:r>
    </w:p>
    <w:p>
      <w:pPr>
        <w:spacing w:after="0" w:line="11" w:lineRule="exact"/>
        <w:rPr>
          <w:rFonts w:ascii="Arial" w:cs="Arial" w:eastAsia="Arial" w:hAnsi="Arial"/>
          <w:sz w:val="10"/>
          <w:szCs w:val="10"/>
          <w:color w:val="auto"/>
        </w:rPr>
      </w:pPr>
    </w:p>
    <w:p>
      <w:pPr>
        <w:ind w:left="160" w:hanging="152"/>
        <w:spacing w:after="0"/>
        <w:tabs>
          <w:tab w:leader="none" w:pos="160" w:val="left"/>
        </w:tabs>
        <w:numPr>
          <w:ilvl w:val="0"/>
          <w:numId w:val="29"/>
        </w:numPr>
        <w:rPr>
          <w:rFonts w:ascii="Arial" w:cs="Arial" w:eastAsia="Arial" w:hAnsi="Arial"/>
          <w:sz w:val="10"/>
          <w:szCs w:val="10"/>
          <w:color w:val="auto"/>
        </w:rPr>
      </w:pPr>
      <w:r>
        <w:rPr>
          <w:rFonts w:ascii="Arial" w:cs="Arial" w:eastAsia="Arial" w:hAnsi="Arial"/>
          <w:sz w:val="10"/>
          <w:szCs w:val="10"/>
          <w:color w:val="auto"/>
        </w:rPr>
        <w:t>Income taxes associated with the First Republic acquisition are reflected in the estimated bargain purchase gain.</w:t>
      </w:r>
    </w:p>
    <w:p>
      <w:pPr>
        <w:spacing w:after="0" w:line="15" w:lineRule="exact"/>
        <w:rPr>
          <w:rFonts w:ascii="Arial" w:cs="Arial" w:eastAsia="Arial" w:hAnsi="Arial"/>
          <w:sz w:val="10"/>
          <w:szCs w:val="10"/>
          <w:color w:val="auto"/>
        </w:rPr>
      </w:pPr>
    </w:p>
    <w:p>
      <w:pPr>
        <w:ind w:left="160" w:hanging="152"/>
        <w:spacing w:after="0"/>
        <w:tabs>
          <w:tab w:leader="none" w:pos="160" w:val="left"/>
        </w:tabs>
        <w:numPr>
          <w:ilvl w:val="0"/>
          <w:numId w:val="29"/>
        </w:numPr>
        <w:rPr>
          <w:rFonts w:ascii="Arial" w:cs="Arial" w:eastAsia="Arial" w:hAnsi="Arial"/>
          <w:sz w:val="10"/>
          <w:szCs w:val="10"/>
          <w:color w:val="auto"/>
        </w:rPr>
      </w:pPr>
      <w:r>
        <w:rPr>
          <w:rFonts w:ascii="Arial" w:cs="Arial" w:eastAsia="Arial" w:hAnsi="Arial"/>
          <w:sz w:val="10"/>
          <w:szCs w:val="10"/>
          <w:color w:val="auto"/>
        </w:rPr>
        <w:t>Included a $914 million gain on sale of Visa B shares.</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25</w:t>
      </w:r>
    </w:p>
    <w:p>
      <w:pPr>
        <w:sectPr>
          <w:pgSz w:w="11900" w:h="16838" w:orient="portrait"/>
          <w:cols w:equalWidth="0" w:num="1">
            <w:col w:w="11240"/>
          </w:cols>
          <w:pgMar w:left="320" w:top="572"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13970</wp:posOffset>
            </wp:positionV>
            <wp:extent cx="237426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CREDIT-RELATED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INFORMATION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Dec 31, 2023</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446"/>
              <w:spacing w:after="0"/>
              <w:rPr>
                <w:sz w:val="20"/>
                <w:szCs w:val="20"/>
                <w:color w:val="auto"/>
              </w:rPr>
            </w:pPr>
            <w:r>
              <w:rPr>
                <w:rFonts w:ascii="Arial" w:cs="Arial" w:eastAsia="Arial" w:hAnsi="Arial"/>
                <w:sz w:val="11"/>
                <w:szCs w:val="11"/>
                <w:b w:val="1"/>
                <w:bCs w:val="1"/>
                <w:color w:val="auto"/>
                <w:w w:val="99"/>
              </w:rPr>
              <w:t>Change</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Jun 30,</w:t>
            </w:r>
          </w:p>
        </w:tc>
        <w:tc>
          <w:tcPr>
            <w:tcW w:w="8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b w:val="1"/>
                <w:bCs w:val="1"/>
                <w:color w:val="auto"/>
              </w:rPr>
              <w:t>Dec 31,</w:t>
            </w:r>
          </w:p>
        </w:tc>
        <w:tc>
          <w:tcPr>
            <w:tcW w:w="240" w:type="dxa"/>
            <w:vAlign w:val="bottom"/>
          </w:tcPr>
          <w:p>
            <w:pPr>
              <w:spacing w:after="0"/>
              <w:rPr>
                <w:sz w:val="12"/>
                <w:szCs w:val="12"/>
                <w:color w:val="auto"/>
              </w:rPr>
            </w:pPr>
          </w:p>
        </w:tc>
        <w:tc>
          <w:tcPr>
            <w:tcW w:w="940" w:type="dxa"/>
            <w:vAlign w:val="bottom"/>
            <w:gridSpan w:val="3"/>
          </w:tcPr>
          <w:p>
            <w:pPr>
              <w:ind w:left="100"/>
              <w:spacing w:after="0"/>
              <w:rPr>
                <w:sz w:val="20"/>
                <w:szCs w:val="20"/>
                <w:color w:val="auto"/>
              </w:rPr>
            </w:pPr>
            <w:r>
              <w:rPr>
                <w:rFonts w:ascii="Arial" w:cs="Arial" w:eastAsia="Arial" w:hAnsi="Arial"/>
                <w:sz w:val="11"/>
                <w:szCs w:val="11"/>
                <w:b w:val="1"/>
                <w:bCs w:val="1"/>
                <w:color w:val="auto"/>
              </w:rPr>
              <w:t>Sep 30,</w:t>
            </w:r>
          </w:p>
        </w:tc>
        <w:tc>
          <w:tcPr>
            <w:tcW w:w="500" w:type="dxa"/>
            <w:vAlign w:val="bottom"/>
          </w:tcPr>
          <w:p>
            <w:pPr>
              <w:jc w:val="right"/>
              <w:ind w:right="66"/>
              <w:spacing w:after="0"/>
              <w:rPr>
                <w:sz w:val="20"/>
                <w:szCs w:val="20"/>
                <w:color w:val="auto"/>
              </w:rPr>
            </w:pPr>
            <w:r>
              <w:rPr>
                <w:rFonts w:ascii="Arial" w:cs="Arial" w:eastAsia="Arial" w:hAnsi="Arial"/>
                <w:sz w:val="11"/>
                <w:szCs w:val="11"/>
                <w:b w:val="1"/>
                <w:bCs w:val="1"/>
                <w:color w:val="auto"/>
                <w:w w:val="93"/>
              </w:rPr>
              <w:t>Dec 31,</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4"/>
                <w:szCs w:val="14"/>
                <w:color w:val="auto"/>
              </w:rPr>
            </w:pP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8"/>
        </w:trPr>
        <w:tc>
          <w:tcPr>
            <w:tcW w:w="1040" w:type="dxa"/>
            <w:vAlign w:val="bottom"/>
            <w:tcBorders>
              <w:bottom w:val="single" w:sz="8" w:color="auto"/>
            </w:tcBorders>
          </w:tcPr>
          <w:p>
            <w:pPr>
              <w:spacing w:after="0" w:line="108" w:lineRule="exact"/>
              <w:rPr>
                <w:sz w:val="20"/>
                <w:szCs w:val="20"/>
                <w:color w:val="auto"/>
              </w:rPr>
            </w:pPr>
            <w:r>
              <w:rPr>
                <w:rFonts w:ascii="Arial" w:cs="Arial" w:eastAsia="Arial" w:hAnsi="Arial"/>
                <w:sz w:val="11"/>
                <w:szCs w:val="11"/>
                <w:b w:val="1"/>
                <w:bCs w:val="1"/>
                <w:color w:val="auto"/>
                <w:w w:val="96"/>
              </w:rPr>
              <w:t>CREDIT EXPOSURE</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120" w:type="dxa"/>
            <w:vAlign w:val="bottom"/>
            <w:gridSpan w:val="2"/>
          </w:tcPr>
          <w:p>
            <w:pPr>
              <w:spacing w:after="0"/>
              <w:rPr>
                <w:sz w:val="20"/>
                <w:szCs w:val="20"/>
                <w:color w:val="auto"/>
              </w:rPr>
            </w:pPr>
            <w:r>
              <w:rPr>
                <w:rFonts w:ascii="Arial" w:cs="Arial" w:eastAsia="Arial" w:hAnsi="Arial"/>
                <w:sz w:val="11"/>
                <w:szCs w:val="11"/>
                <w:b w:val="1"/>
                <w:bCs w:val="1"/>
                <w:color w:val="auto"/>
              </w:rPr>
              <w:t>Consumer, excluding credit card loans</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gridSpan w:val="2"/>
          </w:tcPr>
          <w:p>
            <w:pPr>
              <w:spacing w:after="0"/>
              <w:rPr>
                <w:sz w:val="20"/>
                <w:szCs w:val="20"/>
                <w:color w:val="auto"/>
              </w:rPr>
            </w:pPr>
            <w:r>
              <w:rPr>
                <w:rFonts w:ascii="Arial" w:cs="Arial" w:eastAsia="Arial" w:hAnsi="Arial"/>
                <w:sz w:val="11"/>
                <w:szCs w:val="11"/>
                <w:b w:val="1"/>
                <w:bCs w:val="1"/>
                <w:color w:val="auto"/>
              </w:rPr>
              <w:t>(a)</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2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397,275</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397,054</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396,195</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300,447</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300,753</w:t>
            </w:r>
          </w:p>
        </w:tc>
        <w:tc>
          <w:tcPr>
            <w:tcW w:w="240" w:type="dxa"/>
            <w:vAlign w:val="bottom"/>
          </w:tcPr>
          <w:p>
            <w:pPr>
              <w:spacing w:after="0"/>
              <w:rPr>
                <w:sz w:val="13"/>
                <w:szCs w:val="13"/>
                <w:color w:val="auto"/>
              </w:rPr>
            </w:pPr>
          </w:p>
        </w:tc>
        <w:tc>
          <w:tcPr>
            <w:tcW w:w="940" w:type="dxa"/>
            <w:vAlign w:val="bottom"/>
            <w:gridSpan w:val="3"/>
          </w:tcPr>
          <w:p>
            <w:pPr>
              <w:ind w:left="340"/>
              <w:spacing w:after="0"/>
              <w:rPr>
                <w:sz w:val="20"/>
                <w:szCs w:val="20"/>
                <w:color w:val="auto"/>
              </w:rPr>
            </w:pPr>
            <w:r>
              <w:rPr>
                <w:rFonts w:ascii="Arial" w:cs="Arial" w:eastAsia="Arial" w:hAnsi="Arial"/>
                <w:sz w:val="11"/>
                <w:szCs w:val="11"/>
                <w:color w:val="auto"/>
              </w:rPr>
              <w:t>— %</w:t>
            </w:r>
          </w:p>
        </w:tc>
        <w:tc>
          <w:tcPr>
            <w:tcW w:w="500" w:type="dxa"/>
            <w:vAlign w:val="bottom"/>
          </w:tcPr>
          <w:p>
            <w:pPr>
              <w:jc w:val="right"/>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28"/>
        </w:trPr>
        <w:tc>
          <w:tcPr>
            <w:tcW w:w="2120" w:type="dxa"/>
            <w:vAlign w:val="bottom"/>
            <w:gridSpan w:val="2"/>
          </w:tcPr>
          <w:p>
            <w:pPr>
              <w:ind w:left="120"/>
              <w:spacing w:after="0"/>
              <w:rPr>
                <w:sz w:val="20"/>
                <w:szCs w:val="20"/>
                <w:color w:val="auto"/>
              </w:rPr>
            </w:pPr>
            <w:r>
              <w:rPr>
                <w:rFonts w:ascii="Arial" w:cs="Arial" w:eastAsia="Arial" w:hAnsi="Arial"/>
                <w:sz w:val="11"/>
                <w:szCs w:val="11"/>
                <w:color w:val="auto"/>
              </w:rPr>
              <w:t>Loans held-for-sale and loans at fair</w:t>
            </w: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12,818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11,715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12,009</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10,986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10,622</w:t>
            </w:r>
          </w:p>
        </w:tc>
        <w:tc>
          <w:tcPr>
            <w:tcW w:w="240" w:type="dxa"/>
            <w:vAlign w:val="bottom"/>
          </w:tcPr>
          <w:p>
            <w:pPr>
              <w:spacing w:after="0"/>
              <w:rPr>
                <w:sz w:val="11"/>
                <w:szCs w:val="11"/>
                <w:color w:val="auto"/>
              </w:rPr>
            </w:pPr>
          </w:p>
        </w:tc>
        <w:tc>
          <w:tcPr>
            <w:tcW w:w="600" w:type="dxa"/>
            <w:vAlign w:val="bottom"/>
            <w:vMerge w:val="restart"/>
          </w:tcPr>
          <w:p>
            <w:pPr>
              <w:jc w:val="right"/>
              <w:ind w:right="10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55"/>
        </w:trPr>
        <w:tc>
          <w:tcPr>
            <w:tcW w:w="2120" w:type="dxa"/>
            <w:vAlign w:val="bottom"/>
            <w:gridSpan w:val="2"/>
          </w:tcPr>
          <w:p>
            <w:pPr>
              <w:ind w:left="120"/>
              <w:spacing w:after="0"/>
              <w:rPr>
                <w:sz w:val="20"/>
                <w:szCs w:val="20"/>
                <w:color w:val="auto"/>
              </w:rPr>
            </w:pPr>
            <w:r>
              <w:rPr>
                <w:rFonts w:ascii="Arial" w:cs="Arial" w:eastAsia="Arial" w:hAnsi="Arial"/>
                <w:sz w:val="11"/>
                <w:szCs w:val="11"/>
                <w:color w:val="auto"/>
              </w:rPr>
              <w:t>value</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12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rPr>
              <w:t>Total consumer, excluding credit card</w:t>
            </w: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410,093</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408,769</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408,204</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311,433</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311,375</w:t>
            </w:r>
          </w:p>
        </w:tc>
        <w:tc>
          <w:tcPr>
            <w:tcW w:w="240" w:type="dxa"/>
            <w:vAlign w:val="bottom"/>
          </w:tcPr>
          <w:p>
            <w:pPr>
              <w:spacing w:after="0"/>
              <w:rPr>
                <w:sz w:val="8"/>
                <w:szCs w:val="8"/>
                <w:color w:val="auto"/>
              </w:rPr>
            </w:pPr>
          </w:p>
        </w:tc>
        <w:tc>
          <w:tcPr>
            <w:tcW w:w="940" w:type="dxa"/>
            <w:vAlign w:val="bottom"/>
            <w:gridSpan w:val="3"/>
            <w:vMerge w:val="restart"/>
          </w:tcPr>
          <w:p>
            <w:pPr>
              <w:jc w:val="right"/>
              <w:ind w:right="500"/>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55"/>
        </w:trPr>
        <w:tc>
          <w:tcPr>
            <w:tcW w:w="2120" w:type="dxa"/>
            <w:vAlign w:val="bottom"/>
            <w:gridSpan w:val="2"/>
          </w:tcPr>
          <w:p>
            <w:pPr>
              <w:spacing w:after="0"/>
              <w:rPr>
                <w:sz w:val="20"/>
                <w:szCs w:val="20"/>
                <w:color w:val="auto"/>
              </w:rPr>
            </w:pPr>
            <w:r>
              <w:rPr>
                <w:rFonts w:ascii="Arial" w:cs="Arial" w:eastAsia="Arial" w:hAnsi="Arial"/>
                <w:sz w:val="11"/>
                <w:szCs w:val="11"/>
                <w:b w:val="1"/>
                <w:bCs w:val="1"/>
                <w:color w:val="auto"/>
              </w:rPr>
              <w:t>loans</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120" w:type="dxa"/>
            <w:vAlign w:val="bottom"/>
            <w:gridSpan w:val="2"/>
          </w:tcPr>
          <w:p>
            <w:pPr>
              <w:spacing w:after="0"/>
              <w:rPr>
                <w:sz w:val="20"/>
                <w:szCs w:val="20"/>
                <w:color w:val="auto"/>
              </w:rPr>
            </w:pPr>
            <w:r>
              <w:rPr>
                <w:rFonts w:ascii="Arial" w:cs="Arial" w:eastAsia="Arial" w:hAnsi="Arial"/>
                <w:sz w:val="11"/>
                <w:szCs w:val="11"/>
                <w:b w:val="1"/>
                <w:bCs w:val="1"/>
                <w:color w:val="auto"/>
              </w:rPr>
              <w:t>Credit card loans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12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211,123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196,935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191,348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180,079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185,175</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75"/>
        </w:trPr>
        <w:tc>
          <w:tcPr>
            <w:tcW w:w="2120" w:type="dxa"/>
            <w:vAlign w:val="bottom"/>
            <w:gridSpan w:val="2"/>
          </w:tcPr>
          <w:p>
            <w:pPr>
              <w:spacing w:after="0"/>
              <w:rPr>
                <w:sz w:val="20"/>
                <w:szCs w:val="20"/>
                <w:color w:val="auto"/>
              </w:rPr>
            </w:pPr>
            <w:r>
              <w:rPr>
                <w:rFonts w:ascii="Arial" w:cs="Arial" w:eastAsia="Arial" w:hAnsi="Arial"/>
                <w:sz w:val="11"/>
                <w:szCs w:val="11"/>
                <w:b w:val="1"/>
                <w:bCs w:val="1"/>
                <w:color w:val="auto"/>
              </w:rPr>
              <w:t>Total credit card loans</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211,123</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196,935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191,348</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180,079</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185,175</w:t>
            </w:r>
          </w:p>
        </w:tc>
        <w:tc>
          <w:tcPr>
            <w:tcW w:w="240" w:type="dxa"/>
            <w:vAlign w:val="bottom"/>
          </w:tcPr>
          <w:p>
            <w:pPr>
              <w:spacing w:after="0"/>
              <w:rPr>
                <w:sz w:val="15"/>
                <w:szCs w:val="15"/>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8"/>
        </w:trPr>
        <w:tc>
          <w:tcPr>
            <w:tcW w:w="2120" w:type="dxa"/>
            <w:vAlign w:val="bottom"/>
            <w:gridSpan w:val="2"/>
          </w:tcPr>
          <w:p>
            <w:pPr>
              <w:spacing w:after="0"/>
              <w:rPr>
                <w:sz w:val="20"/>
                <w:szCs w:val="20"/>
                <w:color w:val="auto"/>
              </w:rPr>
            </w:pPr>
            <w:r>
              <w:rPr>
                <w:rFonts w:ascii="Arial" w:cs="Arial" w:eastAsia="Arial" w:hAnsi="Arial"/>
                <w:sz w:val="11"/>
                <w:szCs w:val="11"/>
                <w:b w:val="1"/>
                <w:bCs w:val="1"/>
                <w:color w:val="auto"/>
              </w:rPr>
              <w:t>Total consumer loans</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621,216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605,704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599,552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491,512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496,550</w:t>
            </w:r>
          </w:p>
        </w:tc>
        <w:tc>
          <w:tcPr>
            <w:tcW w:w="24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324"/>
        </w:trPr>
        <w:tc>
          <w:tcPr>
            <w:tcW w:w="2120" w:type="dxa"/>
            <w:vAlign w:val="bottom"/>
            <w:gridSpan w:val="2"/>
          </w:tcPr>
          <w:p>
            <w:pPr>
              <w:spacing w:after="0"/>
              <w:rPr>
                <w:sz w:val="20"/>
                <w:szCs w:val="20"/>
                <w:color w:val="auto"/>
              </w:rPr>
            </w:pPr>
            <w:r>
              <w:rPr>
                <w:rFonts w:ascii="Arial" w:cs="Arial" w:eastAsia="Arial" w:hAnsi="Arial"/>
                <w:sz w:val="11"/>
                <w:szCs w:val="11"/>
                <w:b w:val="1"/>
                <w:bCs w:val="1"/>
                <w:color w:val="auto"/>
              </w:rPr>
              <w:t>Wholesale loans (b)</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12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672,472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671,952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668,145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604,324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603,670</w:t>
            </w:r>
          </w:p>
        </w:tc>
        <w:tc>
          <w:tcPr>
            <w:tcW w:w="240" w:type="dxa"/>
            <w:vAlign w:val="bottom"/>
          </w:tcPr>
          <w:p>
            <w:pPr>
              <w:spacing w:after="0"/>
              <w:rPr>
                <w:sz w:val="13"/>
                <w:szCs w:val="13"/>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28"/>
        </w:trPr>
        <w:tc>
          <w:tcPr>
            <w:tcW w:w="2120" w:type="dxa"/>
            <w:vAlign w:val="bottom"/>
            <w:gridSpan w:val="2"/>
          </w:tcPr>
          <w:p>
            <w:pPr>
              <w:ind w:left="120"/>
              <w:spacing w:after="0"/>
              <w:rPr>
                <w:sz w:val="20"/>
                <w:szCs w:val="20"/>
                <w:color w:val="auto"/>
              </w:rPr>
            </w:pPr>
            <w:r>
              <w:rPr>
                <w:rFonts w:ascii="Arial" w:cs="Arial" w:eastAsia="Arial" w:hAnsi="Arial"/>
                <w:sz w:val="11"/>
                <w:szCs w:val="11"/>
                <w:color w:val="auto"/>
              </w:rPr>
              <w:t>Loans held-for-sale and loans at fair</w:t>
            </w: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30,018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32,403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32,372</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33,060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35,427</w:t>
            </w:r>
          </w:p>
        </w:tc>
        <w:tc>
          <w:tcPr>
            <w:tcW w:w="240" w:type="dxa"/>
            <w:vAlign w:val="bottom"/>
          </w:tcPr>
          <w:p>
            <w:pPr>
              <w:spacing w:after="0"/>
              <w:rPr>
                <w:sz w:val="11"/>
                <w:szCs w:val="11"/>
                <w:color w:val="auto"/>
              </w:rPr>
            </w:pP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5"/>
        </w:trPr>
        <w:tc>
          <w:tcPr>
            <w:tcW w:w="2120" w:type="dxa"/>
            <w:vAlign w:val="bottom"/>
            <w:gridSpan w:val="2"/>
          </w:tcPr>
          <w:p>
            <w:pPr>
              <w:ind w:left="120"/>
              <w:spacing w:after="0"/>
              <w:rPr>
                <w:sz w:val="20"/>
                <w:szCs w:val="20"/>
                <w:color w:val="auto"/>
              </w:rPr>
            </w:pPr>
            <w:r>
              <w:rPr>
                <w:rFonts w:ascii="Arial" w:cs="Arial" w:eastAsia="Arial" w:hAnsi="Arial"/>
                <w:sz w:val="11"/>
                <w:szCs w:val="11"/>
                <w:color w:val="auto"/>
              </w:rPr>
              <w:t>value</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gridSpan w:val="2"/>
          </w:tcPr>
          <w:p>
            <w:pPr>
              <w:spacing w:after="0"/>
              <w:rPr>
                <w:sz w:val="20"/>
                <w:szCs w:val="20"/>
                <w:color w:val="auto"/>
              </w:rPr>
            </w:pPr>
            <w:r>
              <w:rPr>
                <w:rFonts w:ascii="Arial" w:cs="Arial" w:eastAsia="Arial" w:hAnsi="Arial"/>
                <w:sz w:val="11"/>
                <w:szCs w:val="11"/>
                <w:b w:val="1"/>
                <w:bCs w:val="1"/>
                <w:color w:val="auto"/>
              </w:rPr>
              <w:t>Total wholesale loans</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702,490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704,355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700,517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637,384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639,097</w:t>
            </w:r>
          </w:p>
        </w:tc>
        <w:tc>
          <w:tcPr>
            <w:tcW w:w="240" w:type="dxa"/>
            <w:vAlign w:val="bottom"/>
          </w:tcPr>
          <w:p>
            <w:pPr>
              <w:spacing w:after="0"/>
              <w:rPr>
                <w:sz w:val="12"/>
                <w:szCs w:val="12"/>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324"/>
        </w:trPr>
        <w:tc>
          <w:tcPr>
            <w:tcW w:w="2120" w:type="dxa"/>
            <w:vAlign w:val="bottom"/>
            <w:gridSpan w:val="2"/>
          </w:tcPr>
          <w:p>
            <w:pPr>
              <w:spacing w:after="0"/>
              <w:rPr>
                <w:sz w:val="20"/>
                <w:szCs w:val="20"/>
                <w:color w:val="auto"/>
              </w:rPr>
            </w:pPr>
            <w:r>
              <w:rPr>
                <w:rFonts w:ascii="Arial" w:cs="Arial" w:eastAsia="Arial" w:hAnsi="Arial"/>
                <w:sz w:val="11"/>
                <w:szCs w:val="11"/>
                <w:b w:val="1"/>
                <w:bCs w:val="1"/>
                <w:color w:val="auto"/>
              </w:rPr>
              <w:t>Total loans</w:t>
            </w: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1,323,706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1,310,059</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1,300,069</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1,128,896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1,135,647</w:t>
            </w:r>
          </w:p>
        </w:tc>
        <w:tc>
          <w:tcPr>
            <w:tcW w:w="240" w:type="dxa"/>
            <w:vAlign w:val="bottom"/>
          </w:tcPr>
          <w:p>
            <w:pPr>
              <w:spacing w:after="0"/>
              <w:rPr>
                <w:sz w:val="24"/>
                <w:szCs w:val="2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6"/>
        </w:trPr>
        <w:tc>
          <w:tcPr>
            <w:tcW w:w="2120" w:type="dxa"/>
            <w:vAlign w:val="bottom"/>
            <w:gridSpan w:val="2"/>
          </w:tcPr>
          <w:p>
            <w:pPr>
              <w:ind w:left="120"/>
              <w:spacing w:after="0"/>
              <w:rPr>
                <w:sz w:val="20"/>
                <w:szCs w:val="20"/>
                <w:color w:val="auto"/>
              </w:rPr>
            </w:pPr>
            <w:r>
              <w:rPr>
                <w:rFonts w:ascii="Arial" w:cs="Arial" w:eastAsia="Arial" w:hAnsi="Arial"/>
                <w:sz w:val="11"/>
                <w:szCs w:val="11"/>
                <w:color w:val="auto"/>
              </w:rPr>
              <w:t>Derivative receivables</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54,864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67,070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64,217</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59,274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70,880</w:t>
            </w:r>
          </w:p>
        </w:tc>
        <w:tc>
          <w:tcPr>
            <w:tcW w:w="24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75"/>
        </w:trPr>
        <w:tc>
          <w:tcPr>
            <w:tcW w:w="2120" w:type="dxa"/>
            <w:vAlign w:val="bottom"/>
            <w:gridSpan w:val="2"/>
          </w:tcPr>
          <w:p>
            <w:pPr>
              <w:ind w:left="120"/>
              <w:spacing w:after="0"/>
              <w:rPr>
                <w:sz w:val="20"/>
                <w:szCs w:val="20"/>
                <w:color w:val="auto"/>
              </w:rPr>
            </w:pPr>
            <w:r>
              <w:rPr>
                <w:rFonts w:ascii="Arial" w:cs="Arial" w:eastAsia="Arial" w:hAnsi="Arial"/>
                <w:sz w:val="11"/>
                <w:szCs w:val="11"/>
                <w:color w:val="auto"/>
              </w:rPr>
              <w:t>Receivables from customers (c)</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47,625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43,376</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42,741</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43,943</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49,257</w:t>
            </w:r>
          </w:p>
        </w:tc>
        <w:tc>
          <w:tcPr>
            <w:tcW w:w="240" w:type="dxa"/>
            <w:vAlign w:val="bottom"/>
          </w:tcPr>
          <w:p>
            <w:pPr>
              <w:spacing w:after="0"/>
              <w:rPr>
                <w:sz w:val="15"/>
                <w:szCs w:val="15"/>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8"/>
        </w:trPr>
        <w:tc>
          <w:tcPr>
            <w:tcW w:w="2120" w:type="dxa"/>
            <w:vAlign w:val="bottom"/>
            <w:gridSpan w:val="2"/>
          </w:tcPr>
          <w:p>
            <w:pPr>
              <w:spacing w:after="0"/>
              <w:rPr>
                <w:sz w:val="20"/>
                <w:szCs w:val="20"/>
                <w:color w:val="auto"/>
              </w:rPr>
            </w:pPr>
            <w:r>
              <w:rPr>
                <w:rFonts w:ascii="Arial" w:cs="Arial" w:eastAsia="Arial" w:hAnsi="Arial"/>
                <w:sz w:val="11"/>
                <w:szCs w:val="11"/>
                <w:b w:val="1"/>
                <w:bCs w:val="1"/>
                <w:color w:val="auto"/>
              </w:rPr>
              <w:t>Total credit-related assets</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1,426,195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1,420,505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1,407,027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1,232,113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1,255,784</w:t>
            </w:r>
          </w:p>
        </w:tc>
        <w:tc>
          <w:tcPr>
            <w:tcW w:w="240" w:type="dxa"/>
            <w:vAlign w:val="bottom"/>
          </w:tcPr>
          <w:p>
            <w:pPr>
              <w:spacing w:after="0"/>
              <w:rPr>
                <w:sz w:val="12"/>
                <w:szCs w:val="12"/>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324"/>
        </w:trPr>
        <w:tc>
          <w:tcPr>
            <w:tcW w:w="2120" w:type="dxa"/>
            <w:vAlign w:val="bottom"/>
            <w:gridSpan w:val="2"/>
          </w:tcPr>
          <w:p>
            <w:pPr>
              <w:spacing w:after="0"/>
              <w:rPr>
                <w:sz w:val="20"/>
                <w:szCs w:val="20"/>
                <w:color w:val="auto"/>
              </w:rPr>
            </w:pPr>
            <w:r>
              <w:rPr>
                <w:rFonts w:ascii="Arial" w:cs="Arial" w:eastAsia="Arial" w:hAnsi="Arial"/>
                <w:sz w:val="11"/>
                <w:szCs w:val="11"/>
                <w:b w:val="1"/>
                <w:bCs w:val="1"/>
                <w:color w:val="auto"/>
              </w:rPr>
              <w:t>Lending-related commitments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120" w:type="dxa"/>
            <w:vAlign w:val="bottom"/>
            <w:gridSpan w:val="2"/>
          </w:tcPr>
          <w:p>
            <w:pPr>
              <w:spacing w:after="0"/>
              <w:rPr>
                <w:sz w:val="20"/>
                <w:szCs w:val="20"/>
                <w:color w:val="auto"/>
              </w:rPr>
            </w:pPr>
            <w:r>
              <w:rPr>
                <w:rFonts w:ascii="Arial" w:cs="Arial" w:eastAsia="Arial" w:hAnsi="Arial"/>
                <w:sz w:val="11"/>
                <w:szCs w:val="11"/>
                <w:color w:val="auto"/>
              </w:rPr>
              <w:t>Consumer, excluding credit card</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45,403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48,313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50,846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37,568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33,518</w:t>
            </w:r>
          </w:p>
        </w:tc>
        <w:tc>
          <w:tcPr>
            <w:tcW w:w="24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62"/>
        </w:trPr>
        <w:tc>
          <w:tcPr>
            <w:tcW w:w="2120" w:type="dxa"/>
            <w:vAlign w:val="bottom"/>
            <w:gridSpan w:val="2"/>
          </w:tcPr>
          <w:p>
            <w:pPr>
              <w:spacing w:after="0"/>
              <w:rPr>
                <w:sz w:val="20"/>
                <w:szCs w:val="20"/>
                <w:color w:val="auto"/>
              </w:rPr>
            </w:pPr>
            <w:r>
              <w:rPr>
                <w:rFonts w:ascii="Arial" w:cs="Arial" w:eastAsia="Arial" w:hAnsi="Arial"/>
                <w:sz w:val="11"/>
                <w:szCs w:val="11"/>
                <w:color w:val="auto"/>
              </w:rPr>
              <w:t>Credit card (d)</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915,658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898,903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881,485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861,218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821,284</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6"/>
        </w:trPr>
        <w:tc>
          <w:tcPr>
            <w:tcW w:w="2120" w:type="dxa"/>
            <w:vAlign w:val="bottom"/>
            <w:gridSpan w:val="2"/>
          </w:tcPr>
          <w:p>
            <w:pPr>
              <w:spacing w:after="0"/>
              <w:rPr>
                <w:sz w:val="20"/>
                <w:szCs w:val="20"/>
                <w:color w:val="auto"/>
              </w:rPr>
            </w:pPr>
            <w:r>
              <w:rPr>
                <w:rFonts w:ascii="Arial" w:cs="Arial" w:eastAsia="Arial" w:hAnsi="Arial"/>
                <w:sz w:val="11"/>
                <w:szCs w:val="11"/>
                <w:color w:val="auto"/>
              </w:rPr>
              <w:t>Wholesale</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536,786</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531,568</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541,089</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484,539</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471,980</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8"/>
        </w:trPr>
        <w:tc>
          <w:tcPr>
            <w:tcW w:w="2120" w:type="dxa"/>
            <w:vAlign w:val="bottom"/>
            <w:gridSpan w:val="2"/>
          </w:tcPr>
          <w:p>
            <w:pPr>
              <w:spacing w:after="0"/>
              <w:rPr>
                <w:sz w:val="20"/>
                <w:szCs w:val="20"/>
                <w:color w:val="auto"/>
              </w:rPr>
            </w:pPr>
            <w:r>
              <w:rPr>
                <w:rFonts w:ascii="Arial" w:cs="Arial" w:eastAsia="Arial" w:hAnsi="Arial"/>
                <w:sz w:val="11"/>
                <w:szCs w:val="11"/>
                <w:b w:val="1"/>
                <w:bCs w:val="1"/>
                <w:color w:val="auto"/>
              </w:rPr>
              <w:t>Total lending-related commitments</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1,497,847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1,478,784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7"/>
              </w:rPr>
              <w:t>1,473,420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1,383,325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1,326,782</w:t>
            </w:r>
          </w:p>
        </w:tc>
        <w:tc>
          <w:tcPr>
            <w:tcW w:w="24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120" w:type="dxa"/>
            <w:vAlign w:val="bottom"/>
            <w:gridSpan w:val="2"/>
          </w:tcPr>
          <w:p>
            <w:pPr>
              <w:spacing w:after="0"/>
              <w:rPr>
                <w:sz w:val="20"/>
                <w:szCs w:val="20"/>
                <w:color w:val="auto"/>
              </w:rPr>
            </w:pPr>
            <w:r>
              <w:rPr>
                <w:rFonts w:ascii="Arial" w:cs="Arial" w:eastAsia="Arial" w:hAnsi="Arial"/>
                <w:sz w:val="11"/>
                <w:szCs w:val="11"/>
                <w:b w:val="1"/>
                <w:bCs w:val="1"/>
                <w:color w:val="auto"/>
              </w:rPr>
              <w:t>Total credit exposure</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2,924,042 </w:t>
            </w:r>
            <w:r>
              <w:rPr>
                <w:rFonts w:ascii="Arial" w:cs="Arial" w:eastAsia="Arial" w:hAnsi="Arial"/>
                <w:sz w:val="11"/>
                <w:szCs w:val="11"/>
                <w:color w:val="auto"/>
              </w:rPr>
              <w:t>(g)</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2,899,289 </w:t>
            </w:r>
            <w:r>
              <w:rPr>
                <w:rFonts w:ascii="Arial" w:cs="Arial" w:eastAsia="Arial" w:hAnsi="Arial"/>
                <w:sz w:val="11"/>
                <w:szCs w:val="11"/>
                <w:color w:val="auto"/>
              </w:rPr>
              <w:t>(g)</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 xml:space="preserve">2,880,447 </w:t>
            </w:r>
            <w:r>
              <w:rPr>
                <w:rFonts w:ascii="Arial" w:cs="Arial" w:eastAsia="Arial" w:hAnsi="Arial"/>
                <w:sz w:val="11"/>
                <w:szCs w:val="11"/>
                <w:color w:val="auto"/>
              </w:rPr>
              <w:t>(g)</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2,615,438</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2,582,566</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296"/>
        </w:trPr>
        <w:tc>
          <w:tcPr>
            <w:tcW w:w="2120" w:type="dxa"/>
            <w:vAlign w:val="bottom"/>
            <w:gridSpan w:val="2"/>
          </w:tcPr>
          <w:p>
            <w:pPr>
              <w:spacing w:after="0"/>
              <w:rPr>
                <w:sz w:val="20"/>
                <w:szCs w:val="20"/>
                <w:color w:val="auto"/>
              </w:rPr>
            </w:pPr>
            <w:r>
              <w:rPr>
                <w:rFonts w:ascii="Arial" w:cs="Arial" w:eastAsia="Arial" w:hAnsi="Arial"/>
                <w:sz w:val="11"/>
                <w:szCs w:val="11"/>
                <w:b w:val="1"/>
                <w:bCs w:val="1"/>
                <w:color w:val="auto"/>
              </w:rPr>
              <w:t>Memo: Total by category</w:t>
            </w: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120" w:type="dxa"/>
            <w:vAlign w:val="bottom"/>
            <w:gridSpan w:val="2"/>
          </w:tcPr>
          <w:p>
            <w:pPr>
              <w:spacing w:after="0"/>
              <w:rPr>
                <w:sz w:val="20"/>
                <w:szCs w:val="20"/>
                <w:color w:val="auto"/>
              </w:rPr>
            </w:pPr>
            <w:r>
              <w:rPr>
                <w:rFonts w:ascii="Arial" w:cs="Arial" w:eastAsia="Arial" w:hAnsi="Arial"/>
                <w:sz w:val="11"/>
                <w:szCs w:val="11"/>
                <w:color w:val="auto"/>
              </w:rPr>
              <w:t>Consumer exposure (e)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1,582,277</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1,552,920</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1,531,883</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1,390,298</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1,351,352</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75"/>
        </w:trPr>
        <w:tc>
          <w:tcPr>
            <w:tcW w:w="2120" w:type="dxa"/>
            <w:vAlign w:val="bottom"/>
            <w:gridSpan w:val="2"/>
          </w:tcPr>
          <w:p>
            <w:pPr>
              <w:spacing w:after="0"/>
              <w:rPr>
                <w:sz w:val="20"/>
                <w:szCs w:val="20"/>
                <w:color w:val="auto"/>
              </w:rPr>
            </w:pPr>
            <w:r>
              <w:rPr>
                <w:rFonts w:ascii="Arial" w:cs="Arial" w:eastAsia="Arial" w:hAnsi="Arial"/>
                <w:sz w:val="11"/>
                <w:szCs w:val="11"/>
                <w:color w:val="auto"/>
              </w:rPr>
              <w:t>Wholesale exposure (f)</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3"/>
              </w:rPr>
              <w:t>1,341,765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3"/>
              </w:rPr>
              <w:t>1,346,369</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1,348,564</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3"/>
              </w:rPr>
              <w:t>1,225,140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3"/>
              </w:rPr>
              <w:t>1,231,214</w:t>
            </w:r>
          </w:p>
        </w:tc>
        <w:tc>
          <w:tcPr>
            <w:tcW w:w="240" w:type="dxa"/>
            <w:vAlign w:val="bottom"/>
          </w:tcPr>
          <w:p>
            <w:pPr>
              <w:spacing w:after="0"/>
              <w:rPr>
                <w:sz w:val="15"/>
                <w:szCs w:val="15"/>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69"/>
        </w:trPr>
        <w:tc>
          <w:tcPr>
            <w:tcW w:w="2120" w:type="dxa"/>
            <w:vAlign w:val="bottom"/>
            <w:gridSpan w:val="2"/>
          </w:tcPr>
          <w:p>
            <w:pPr>
              <w:spacing w:after="0"/>
              <w:rPr>
                <w:sz w:val="20"/>
                <w:szCs w:val="20"/>
                <w:color w:val="auto"/>
              </w:rPr>
            </w:pPr>
            <w:r>
              <w:rPr>
                <w:rFonts w:ascii="Arial" w:cs="Arial" w:eastAsia="Arial" w:hAnsi="Arial"/>
                <w:sz w:val="11"/>
                <w:szCs w:val="11"/>
                <w:b w:val="1"/>
                <w:bCs w:val="1"/>
                <w:color w:val="auto"/>
              </w:rPr>
              <w:t>Total credit exposure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2,924,042</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2,899,289</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2,880,447</w:t>
            </w:r>
          </w:p>
        </w:tc>
        <w:tc>
          <w:tcPr>
            <w:tcW w:w="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2,615,438</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2,582,566</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3544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99" w:lineRule="exact"/>
        <w:rPr>
          <w:sz w:val="20"/>
          <w:szCs w:val="20"/>
          <w:color w:val="auto"/>
        </w:rPr>
      </w:pPr>
    </w:p>
    <w:p>
      <w:pPr>
        <w:ind w:left="160" w:hanging="152"/>
        <w:spacing w:after="0"/>
        <w:tabs>
          <w:tab w:leader="none" w:pos="1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Includes scored loans held in CCB, scored mortgage and home equity loans held in AWM, and scored mortgage loans held in CIB and Corporate.</w:t>
      </w:r>
    </w:p>
    <w:p>
      <w:pPr>
        <w:spacing w:after="0" w:line="5" w:lineRule="exact"/>
        <w:rPr>
          <w:rFonts w:ascii="Arial" w:cs="Arial" w:eastAsia="Arial" w:hAnsi="Arial"/>
          <w:sz w:val="11"/>
          <w:szCs w:val="11"/>
          <w:color w:val="auto"/>
        </w:rPr>
      </w:pPr>
    </w:p>
    <w:p>
      <w:pPr>
        <w:ind w:left="180" w:right="260" w:hanging="172"/>
        <w:spacing w:after="0" w:line="243" w:lineRule="auto"/>
        <w:tabs>
          <w:tab w:leader="none" w:pos="177"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Includes loans held in CIB, CB, AWM, Corporate as well as risk-rated loans held in CCB, including business banking and J.P. Morgan Wealth Management loans held in Banking &amp; Wealth Management, and auto dealer loans for which the wholesale methodology is applied when determining the allowance for loan losses.</w:t>
      </w:r>
    </w:p>
    <w:p>
      <w:pPr>
        <w:ind w:left="160" w:hanging="152"/>
        <w:spacing w:after="0"/>
        <w:tabs>
          <w:tab w:leader="none" w:pos="1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Receivables from customers reflect held-for-investment margin loans to brokerage clients in CIB, CCB and AWM; these are reported within accrued interest and accounts receivable on the Consolidated balance sheets.</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Also includes commercial card lending-related commitments primarily in CB and CIB.</w:t>
      </w:r>
    </w:p>
    <w:p>
      <w:pPr>
        <w:spacing w:after="0" w:line="8" w:lineRule="exact"/>
        <w:rPr>
          <w:rFonts w:ascii="Arial" w:cs="Arial" w:eastAsia="Arial" w:hAnsi="Arial"/>
          <w:sz w:val="11"/>
          <w:szCs w:val="11"/>
          <w:color w:val="auto"/>
        </w:rPr>
      </w:pPr>
    </w:p>
    <w:p>
      <w:pPr>
        <w:ind w:left="160" w:hanging="152"/>
        <w:spacing w:after="0" w:line="236" w:lineRule="auto"/>
        <w:tabs>
          <w:tab w:leader="none" w:pos="1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Represents total consumer loans and lending-related commitments.</w:t>
      </w:r>
    </w:p>
    <w:p>
      <w:pPr>
        <w:ind w:left="160" w:hanging="152"/>
        <w:spacing w:after="0"/>
        <w:tabs>
          <w:tab w:leader="none" w:pos="1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Represents total wholesale loans, lending-related commitments, derivative receivables, and receivables from customers.</w:t>
      </w:r>
    </w:p>
    <w:p>
      <w:pPr>
        <w:spacing w:after="0" w:line="5" w:lineRule="exact"/>
        <w:rPr>
          <w:rFonts w:ascii="Arial" w:cs="Arial" w:eastAsia="Arial" w:hAnsi="Arial"/>
          <w:sz w:val="11"/>
          <w:szCs w:val="11"/>
          <w:color w:val="auto"/>
        </w:rPr>
      </w:pPr>
    </w:p>
    <w:p>
      <w:pPr>
        <w:ind w:left="180" w:right="180" w:hanging="172"/>
        <w:spacing w:after="0" w:line="243" w:lineRule="auto"/>
        <w:tabs>
          <w:tab w:leader="none" w:pos="177" w:val="left"/>
        </w:tabs>
        <w:numPr>
          <w:ilvl w:val="0"/>
          <w:numId w:val="30"/>
        </w:numPr>
        <w:rPr>
          <w:rFonts w:ascii="Arial" w:cs="Arial" w:eastAsia="Arial" w:hAnsi="Arial"/>
          <w:sz w:val="11"/>
          <w:szCs w:val="11"/>
          <w:color w:val="auto"/>
        </w:rPr>
      </w:pPr>
      <w:r>
        <w:rPr>
          <w:rFonts w:ascii="Arial" w:cs="Arial" w:eastAsia="Arial" w:hAnsi="Arial"/>
          <w:sz w:val="11"/>
          <w:szCs w:val="11"/>
          <w:color w:val="auto"/>
        </w:rPr>
        <w:t>As of December 31, 2023, September 30, 2023 and June 30, 2023 includes credit exposure associated with First Republic consisting of $101.6 billion, $103.3 billion and $104.6 billion in the Consumer credit portfolio, respectively, and $90.6 billion, $95.2 billion and $98.2 billion in the Wholesale credit portfolio, respectively.</w:t>
      </w:r>
    </w:p>
    <w:p>
      <w:pPr>
        <w:ind w:left="160" w:hanging="152"/>
        <w:spacing w:after="0"/>
        <w:tabs>
          <w:tab w:leader="none" w:pos="1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Prior-period amount has been revised to conform with the current presentation.</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26</w:t>
      </w:r>
    </w:p>
    <w:p>
      <w:pPr>
        <w:sectPr>
          <w:pgSz w:w="11900" w:h="16838" w:orient="portrait"/>
          <w:cols w:equalWidth="0" w:num="1">
            <w:col w:w="11240"/>
          </w:cols>
          <w:pgMar w:left="320" w:top="626"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13970</wp:posOffset>
            </wp:positionV>
            <wp:extent cx="237426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right="8880"/>
        <w:spacing w:after="0" w:line="273" w:lineRule="auto"/>
        <w:rPr>
          <w:sz w:val="20"/>
          <w:szCs w:val="20"/>
          <w:color w:val="auto"/>
        </w:rPr>
      </w:pPr>
      <w:r>
        <w:rPr>
          <w:rFonts w:ascii="Arial" w:cs="Arial" w:eastAsia="Arial" w:hAnsi="Arial"/>
          <w:sz w:val="14"/>
          <w:szCs w:val="14"/>
          <w:b w:val="1"/>
          <w:bCs w:val="1"/>
          <w:color w:val="auto"/>
        </w:rPr>
        <w:t>CREDIT-RELATED INFORMATION, CONTINUED</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1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Dec 31, 2023</w:t>
            </w:r>
          </w:p>
        </w:tc>
        <w:tc>
          <w:tcPr>
            <w:tcW w:w="0" w:type="dxa"/>
            <w:vAlign w:val="bottom"/>
          </w:tcPr>
          <w:p>
            <w:pPr>
              <w:spacing w:after="0"/>
              <w:rPr>
                <w:sz w:val="1"/>
                <w:szCs w:val="1"/>
                <w:color w:val="auto"/>
              </w:rPr>
            </w:pPr>
          </w:p>
        </w:tc>
      </w:tr>
      <w:tr>
        <w:trPr>
          <w:trHeight w:val="169"/>
        </w:trPr>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446"/>
              <w:spacing w:after="0"/>
              <w:rPr>
                <w:sz w:val="20"/>
                <w:szCs w:val="20"/>
                <w:color w:val="auto"/>
              </w:rPr>
            </w:pPr>
            <w:r>
              <w:rPr>
                <w:rFonts w:ascii="Arial" w:cs="Arial" w:eastAsia="Arial" w:hAnsi="Arial"/>
                <w:sz w:val="11"/>
                <w:szCs w:val="11"/>
                <w:b w:val="1"/>
                <w:bCs w:val="1"/>
                <w:color w:val="auto"/>
                <w:w w:val="99"/>
              </w:rPr>
              <w:t>Change</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Dec 31,</w:t>
            </w:r>
          </w:p>
        </w:tc>
        <w:tc>
          <w:tcPr>
            <w:tcW w:w="100" w:type="dxa"/>
            <w:vAlign w:val="bottom"/>
          </w:tcPr>
          <w:p>
            <w:pPr>
              <w:spacing w:after="0"/>
              <w:rPr>
                <w:sz w:val="12"/>
                <w:szCs w:val="12"/>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Sep 30,</w:t>
            </w:r>
          </w:p>
        </w:tc>
        <w:tc>
          <w:tcPr>
            <w:tcW w:w="120" w:type="dxa"/>
            <w:vAlign w:val="bottom"/>
          </w:tcPr>
          <w:p>
            <w:pPr>
              <w:spacing w:after="0"/>
              <w:rPr>
                <w:sz w:val="12"/>
                <w:szCs w:val="12"/>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Jun 30,</w:t>
            </w: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Dec 31,</w:t>
            </w:r>
          </w:p>
        </w:tc>
        <w:tc>
          <w:tcPr>
            <w:tcW w:w="240" w:type="dxa"/>
            <w:vAlign w:val="bottom"/>
          </w:tcPr>
          <w:p>
            <w:pPr>
              <w:spacing w:after="0"/>
              <w:rPr>
                <w:sz w:val="12"/>
                <w:szCs w:val="12"/>
                <w:color w:val="auto"/>
              </w:rPr>
            </w:pPr>
          </w:p>
        </w:tc>
        <w:tc>
          <w:tcPr>
            <w:tcW w:w="940" w:type="dxa"/>
            <w:vAlign w:val="bottom"/>
            <w:gridSpan w:val="3"/>
          </w:tcPr>
          <w:p>
            <w:pPr>
              <w:ind w:left="100"/>
              <w:spacing w:after="0"/>
              <w:rPr>
                <w:sz w:val="20"/>
                <w:szCs w:val="20"/>
                <w:color w:val="auto"/>
              </w:rPr>
            </w:pPr>
            <w:r>
              <w:rPr>
                <w:rFonts w:ascii="Arial" w:cs="Arial" w:eastAsia="Arial" w:hAnsi="Arial"/>
                <w:sz w:val="11"/>
                <w:szCs w:val="11"/>
                <w:b w:val="1"/>
                <w:bCs w:val="1"/>
                <w:color w:val="auto"/>
              </w:rPr>
              <w:t>Sep 30,</w:t>
            </w:r>
          </w:p>
        </w:tc>
        <w:tc>
          <w:tcPr>
            <w:tcW w:w="500" w:type="dxa"/>
            <w:vAlign w:val="bottom"/>
          </w:tcPr>
          <w:p>
            <w:pPr>
              <w:jc w:val="right"/>
              <w:ind w:right="66"/>
              <w:spacing w:after="0"/>
              <w:rPr>
                <w:sz w:val="20"/>
                <w:szCs w:val="20"/>
                <w:color w:val="auto"/>
              </w:rPr>
            </w:pPr>
            <w:r>
              <w:rPr>
                <w:rFonts w:ascii="Arial" w:cs="Arial" w:eastAsia="Arial" w:hAnsi="Arial"/>
                <w:sz w:val="11"/>
                <w:szCs w:val="11"/>
                <w:b w:val="1"/>
                <w:bCs w:val="1"/>
                <w:color w:val="auto"/>
                <w:w w:val="93"/>
              </w:rPr>
              <w:t>Dec 31,</w:t>
            </w:r>
          </w:p>
        </w:tc>
        <w:tc>
          <w:tcPr>
            <w:tcW w:w="0" w:type="dxa"/>
            <w:vAlign w:val="bottom"/>
          </w:tcPr>
          <w:p>
            <w:pPr>
              <w:spacing w:after="0"/>
              <w:rPr>
                <w:sz w:val="1"/>
                <w:szCs w:val="1"/>
                <w:color w:val="auto"/>
              </w:rPr>
            </w:pPr>
          </w:p>
        </w:tc>
      </w:tr>
      <w:tr>
        <w:trPr>
          <w:trHeight w:val="169"/>
        </w:trPr>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right"/>
              <w:ind w:right="146"/>
              <w:spacing w:after="0"/>
              <w:rPr>
                <w:sz w:val="20"/>
                <w:szCs w:val="20"/>
                <w:color w:val="auto"/>
              </w:rPr>
            </w:pPr>
            <w:r>
              <w:rPr>
                <w:rFonts w:ascii="Arial" w:cs="Arial" w:eastAsia="Arial" w:hAnsi="Arial"/>
                <w:sz w:val="11"/>
                <w:szCs w:val="11"/>
                <w:b w:val="1"/>
                <w:bCs w:val="1"/>
                <w:color w:val="auto"/>
              </w:rPr>
              <w:t>2023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2023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66"/>
              <w:spacing w:after="0"/>
              <w:rPr>
                <w:sz w:val="20"/>
                <w:szCs w:val="20"/>
                <w:color w:val="auto"/>
              </w:rPr>
            </w:pPr>
            <w:r>
              <w:rPr>
                <w:rFonts w:ascii="Arial" w:cs="Arial" w:eastAsia="Arial" w:hAnsi="Arial"/>
                <w:sz w:val="11"/>
                <w:szCs w:val="11"/>
                <w:b w:val="1"/>
                <w:bCs w:val="1"/>
                <w:color w:val="auto"/>
              </w:rPr>
              <w:t>2023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84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8"/>
        </w:trPr>
        <w:tc>
          <w:tcPr>
            <w:tcW w:w="198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NONPERFORMING ASSETS (a)</w:t>
            </w: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6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Consumer nonaccrual loans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80" w:type="dxa"/>
            <w:vAlign w:val="bottom"/>
            <w:gridSpan w:val="2"/>
          </w:tcPr>
          <w:p>
            <w:pPr>
              <w:ind w:left="100"/>
              <w:spacing w:after="0"/>
              <w:rPr>
                <w:sz w:val="20"/>
                <w:szCs w:val="20"/>
                <w:color w:val="auto"/>
              </w:rPr>
            </w:pPr>
            <w:r>
              <w:rPr>
                <w:rFonts w:ascii="Arial" w:cs="Arial" w:eastAsia="Arial" w:hAnsi="Arial"/>
                <w:sz w:val="11"/>
                <w:szCs w:val="11"/>
                <w:color w:val="auto"/>
              </w:rPr>
              <w:t>Loans retained</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2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3,643</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3,766</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3,784</w:t>
            </w:r>
          </w:p>
        </w:tc>
        <w:tc>
          <w:tcPr>
            <w:tcW w:w="26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3,843</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3,874</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28"/>
        </w:trPr>
        <w:tc>
          <w:tcPr>
            <w:tcW w:w="1980" w:type="dxa"/>
            <w:vAlign w:val="bottom"/>
            <w:gridSpan w:val="2"/>
          </w:tcPr>
          <w:p>
            <w:pPr>
              <w:ind w:left="100"/>
              <w:spacing w:after="0"/>
              <w:rPr>
                <w:sz w:val="20"/>
                <w:szCs w:val="20"/>
                <w:color w:val="auto"/>
              </w:rPr>
            </w:pPr>
            <w:r>
              <w:rPr>
                <w:rFonts w:ascii="Arial" w:cs="Arial" w:eastAsia="Arial" w:hAnsi="Arial"/>
                <w:sz w:val="11"/>
                <w:szCs w:val="11"/>
                <w:color w:val="auto"/>
              </w:rPr>
              <w:t>Loans held-for-sale and loans at fair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vMerge w:val="restart"/>
          </w:tcPr>
          <w:p>
            <w:pPr>
              <w:jc w:val="right"/>
              <w:ind w:right="86"/>
              <w:spacing w:after="0"/>
              <w:rPr>
                <w:sz w:val="20"/>
                <w:szCs w:val="20"/>
                <w:color w:val="auto"/>
              </w:rPr>
            </w:pPr>
            <w:r>
              <w:rPr>
                <w:rFonts w:ascii="Arial" w:cs="Arial" w:eastAsia="Arial" w:hAnsi="Arial"/>
                <w:sz w:val="11"/>
                <w:szCs w:val="11"/>
                <w:color w:val="auto"/>
              </w:rPr>
              <w:t>560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408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481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452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451</w:t>
            </w:r>
          </w:p>
        </w:tc>
        <w:tc>
          <w:tcPr>
            <w:tcW w:w="84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37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55"/>
        </w:trPr>
        <w:tc>
          <w:tcPr>
            <w:tcW w:w="1980" w:type="dxa"/>
            <w:vAlign w:val="bottom"/>
            <w:gridSpan w:val="2"/>
          </w:tcPr>
          <w:p>
            <w:pPr>
              <w:spacing w:after="0"/>
              <w:rPr>
                <w:sz w:val="20"/>
                <w:szCs w:val="20"/>
                <w:color w:val="auto"/>
              </w:rPr>
            </w:pPr>
            <w:r>
              <w:rPr>
                <w:rFonts w:ascii="Arial" w:cs="Arial" w:eastAsia="Arial" w:hAnsi="Arial"/>
                <w:sz w:val="11"/>
                <w:szCs w:val="11"/>
                <w:color w:val="auto"/>
              </w:rPr>
              <w:t>value</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80" w:type="dxa"/>
            <w:vAlign w:val="bottom"/>
            <w:gridSpan w:val="2"/>
          </w:tcPr>
          <w:p>
            <w:pPr>
              <w:spacing w:after="0"/>
              <w:rPr>
                <w:sz w:val="20"/>
                <w:szCs w:val="20"/>
                <w:color w:val="auto"/>
              </w:rPr>
            </w:pPr>
            <w:r>
              <w:rPr>
                <w:rFonts w:ascii="Arial" w:cs="Arial" w:eastAsia="Arial" w:hAnsi="Arial"/>
                <w:sz w:val="11"/>
                <w:szCs w:val="11"/>
                <w:b w:val="1"/>
                <w:bCs w:val="1"/>
                <w:color w:val="auto"/>
              </w:rPr>
              <w:t>Total consumer nonaccrual loans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4,203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4,174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4,265</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4,295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4,325</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324"/>
        </w:trPr>
        <w:tc>
          <w:tcPr>
            <w:tcW w:w="1980" w:type="dxa"/>
            <w:vAlign w:val="bottom"/>
            <w:gridSpan w:val="2"/>
          </w:tcPr>
          <w:p>
            <w:pPr>
              <w:spacing w:after="0"/>
              <w:rPr>
                <w:sz w:val="20"/>
                <w:szCs w:val="20"/>
                <w:color w:val="auto"/>
              </w:rPr>
            </w:pPr>
            <w:r>
              <w:rPr>
                <w:rFonts w:ascii="Arial" w:cs="Arial" w:eastAsia="Arial" w:hAnsi="Arial"/>
                <w:sz w:val="11"/>
                <w:szCs w:val="11"/>
                <w:b w:val="1"/>
                <w:bCs w:val="1"/>
                <w:color w:val="auto"/>
              </w:rPr>
              <w:t>Wholesale nonaccrual loans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98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2,346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2,907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2,593</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2,211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1,963</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28"/>
        </w:trPr>
        <w:tc>
          <w:tcPr>
            <w:tcW w:w="1980" w:type="dxa"/>
            <w:vAlign w:val="bottom"/>
            <w:gridSpan w:val="2"/>
          </w:tcPr>
          <w:p>
            <w:pPr>
              <w:ind w:left="120"/>
              <w:spacing w:after="0"/>
              <w:rPr>
                <w:sz w:val="20"/>
                <w:szCs w:val="20"/>
                <w:color w:val="auto"/>
              </w:rPr>
            </w:pPr>
            <w:r>
              <w:rPr>
                <w:rFonts w:ascii="Arial" w:cs="Arial" w:eastAsia="Arial" w:hAnsi="Arial"/>
                <w:sz w:val="11"/>
                <w:szCs w:val="11"/>
                <w:color w:val="auto"/>
              </w:rPr>
              <w:t>Loans held-for-sale and loans at fair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vMerge w:val="restart"/>
          </w:tcPr>
          <w:p>
            <w:pPr>
              <w:jc w:val="right"/>
              <w:ind w:right="86"/>
              <w:spacing w:after="0"/>
              <w:rPr>
                <w:sz w:val="20"/>
                <w:szCs w:val="20"/>
                <w:color w:val="auto"/>
              </w:rPr>
            </w:pPr>
            <w:r>
              <w:rPr>
                <w:rFonts w:ascii="Arial" w:cs="Arial" w:eastAsia="Arial" w:hAnsi="Arial"/>
                <w:sz w:val="11"/>
                <w:szCs w:val="11"/>
                <w:color w:val="auto"/>
              </w:rPr>
              <w:t>368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439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415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389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432</w:t>
            </w:r>
          </w:p>
        </w:tc>
        <w:tc>
          <w:tcPr>
            <w:tcW w:w="8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5"/>
        </w:trPr>
        <w:tc>
          <w:tcPr>
            <w:tcW w:w="1980" w:type="dxa"/>
            <w:vAlign w:val="bottom"/>
            <w:gridSpan w:val="2"/>
          </w:tcPr>
          <w:p>
            <w:pPr>
              <w:ind w:left="120"/>
              <w:spacing w:after="0"/>
              <w:rPr>
                <w:sz w:val="20"/>
                <w:szCs w:val="20"/>
                <w:color w:val="auto"/>
              </w:rPr>
            </w:pPr>
            <w:r>
              <w:rPr>
                <w:rFonts w:ascii="Arial" w:cs="Arial" w:eastAsia="Arial" w:hAnsi="Arial"/>
                <w:sz w:val="11"/>
                <w:szCs w:val="11"/>
                <w:color w:val="auto"/>
              </w:rPr>
              <w:t>value</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80" w:type="dxa"/>
            <w:vAlign w:val="bottom"/>
            <w:gridSpan w:val="2"/>
          </w:tcPr>
          <w:p>
            <w:pPr>
              <w:spacing w:after="0"/>
              <w:rPr>
                <w:sz w:val="20"/>
                <w:szCs w:val="20"/>
                <w:color w:val="auto"/>
              </w:rPr>
            </w:pPr>
            <w:r>
              <w:rPr>
                <w:rFonts w:ascii="Arial" w:cs="Arial" w:eastAsia="Arial" w:hAnsi="Arial"/>
                <w:sz w:val="11"/>
                <w:szCs w:val="11"/>
                <w:b w:val="1"/>
                <w:bCs w:val="1"/>
                <w:color w:val="auto"/>
              </w:rPr>
              <w:t>Total wholesale nonaccrual loans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2,714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3,346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3,008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2,600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2,395</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76"/>
        </w:trPr>
        <w:tc>
          <w:tcPr>
            <w:tcW w:w="19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nonaccrual loans (b)</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9"/>
        </w:trPr>
        <w:tc>
          <w:tcPr>
            <w:tcW w:w="1980" w:type="dxa"/>
            <w:vAlign w:val="bottom"/>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6,917</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7,520</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7,273</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6,895</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6,720</w:t>
            </w: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980" w:type="dxa"/>
            <w:vAlign w:val="bottom"/>
            <w:gridSpan w:val="2"/>
          </w:tcPr>
          <w:p>
            <w:pPr>
              <w:spacing w:after="0"/>
              <w:rPr>
                <w:sz w:val="20"/>
                <w:szCs w:val="20"/>
                <w:color w:val="auto"/>
              </w:rPr>
            </w:pPr>
            <w:r>
              <w:rPr>
                <w:rFonts w:ascii="Arial" w:cs="Arial" w:eastAsia="Arial" w:hAnsi="Arial"/>
                <w:sz w:val="11"/>
                <w:szCs w:val="11"/>
                <w:color w:val="auto"/>
              </w:rPr>
              <w:t>Derivative receivables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364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293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286</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296</w:t>
            </w:r>
          </w:p>
        </w:tc>
        <w:tc>
          <w:tcPr>
            <w:tcW w:w="840" w:type="dxa"/>
            <w:vAlign w:val="bottom"/>
            <w:gridSpan w:val="2"/>
          </w:tcPr>
          <w:p>
            <w:pPr>
              <w:jc w:val="right"/>
              <w:ind w:right="106"/>
              <w:spacing w:after="0"/>
              <w:rPr>
                <w:sz w:val="20"/>
                <w:szCs w:val="20"/>
                <w:color w:val="auto"/>
              </w:rPr>
            </w:pPr>
            <w:r>
              <w:rPr>
                <w:rFonts w:ascii="Arial" w:cs="Arial" w:eastAsia="Arial" w:hAnsi="Arial"/>
                <w:sz w:val="11"/>
                <w:szCs w:val="11"/>
                <w:color w:val="auto"/>
              </w:rPr>
              <w:t>24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1"/>
                <w:szCs w:val="11"/>
                <w:color w:val="auto"/>
              </w:rPr>
              <w:t>Assets acquired in loan satisfactions</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318</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279</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232</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231</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48"/>
        </w:trPr>
        <w:tc>
          <w:tcPr>
            <w:tcW w:w="1980" w:type="dxa"/>
            <w:vAlign w:val="bottom"/>
            <w:gridSpan w:val="2"/>
          </w:tcPr>
          <w:p>
            <w:pPr>
              <w:spacing w:after="0"/>
              <w:rPr>
                <w:sz w:val="20"/>
                <w:szCs w:val="20"/>
                <w:color w:val="auto"/>
              </w:rPr>
            </w:pPr>
            <w:r>
              <w:rPr>
                <w:rFonts w:ascii="Arial" w:cs="Arial" w:eastAsia="Arial" w:hAnsi="Arial"/>
                <w:sz w:val="11"/>
                <w:szCs w:val="11"/>
                <w:b w:val="1"/>
                <w:bCs w:val="1"/>
                <w:color w:val="auto"/>
              </w:rPr>
              <w:t>Total nonperforming assets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7,597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8,131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7,838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7,418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7,247</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2"/>
        </w:trPr>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Wholesale lending-related commitments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vMerge w:val="restart"/>
          </w:tcPr>
          <w:p>
            <w:pPr>
              <w:jc w:val="right"/>
              <w:ind w:right="86"/>
              <w:spacing w:after="0"/>
              <w:rPr>
                <w:sz w:val="20"/>
                <w:szCs w:val="20"/>
                <w:color w:val="auto"/>
              </w:rPr>
            </w:pPr>
            <w:r>
              <w:rPr>
                <w:rFonts w:ascii="Arial" w:cs="Arial" w:eastAsia="Arial" w:hAnsi="Arial"/>
                <w:sz w:val="11"/>
                <w:szCs w:val="11"/>
                <w:color w:val="auto"/>
              </w:rPr>
              <w:t>464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387</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332</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401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455</w:t>
            </w:r>
          </w:p>
        </w:tc>
        <w:tc>
          <w:tcPr>
            <w:tcW w:w="84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20</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5"/>
        </w:trPr>
        <w:tc>
          <w:tcPr>
            <w:tcW w:w="1980" w:type="dxa"/>
            <w:vAlign w:val="bottom"/>
            <w:gridSpan w:val="2"/>
          </w:tcPr>
          <w:p>
            <w:pPr>
              <w:spacing w:after="0"/>
              <w:rPr>
                <w:sz w:val="20"/>
                <w:szCs w:val="20"/>
                <w:color w:val="auto"/>
              </w:rPr>
            </w:pPr>
            <w:r>
              <w:rPr>
                <w:rFonts w:ascii="Arial" w:cs="Arial" w:eastAsia="Arial" w:hAnsi="Arial"/>
                <w:sz w:val="11"/>
                <w:szCs w:val="11"/>
                <w:color w:val="auto"/>
              </w:rPr>
              <w:t>(c)</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80" w:type="dxa"/>
            <w:vAlign w:val="bottom"/>
            <w:gridSpan w:val="2"/>
          </w:tcPr>
          <w:p>
            <w:pPr>
              <w:spacing w:after="0"/>
              <w:rPr>
                <w:sz w:val="20"/>
                <w:szCs w:val="20"/>
                <w:color w:val="auto"/>
              </w:rPr>
            </w:pPr>
            <w:r>
              <w:rPr>
                <w:rFonts w:ascii="Arial" w:cs="Arial" w:eastAsia="Arial" w:hAnsi="Arial"/>
                <w:sz w:val="11"/>
                <w:szCs w:val="11"/>
                <w:b w:val="1"/>
                <w:bCs w:val="1"/>
                <w:color w:val="auto"/>
              </w:rPr>
              <w:t>Total nonperforming exposure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8,061</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8,518</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8,170</w:t>
            </w: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7,819</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7,702</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70"/>
        </w:trPr>
        <w:tc>
          <w:tcPr>
            <w:tcW w:w="2100" w:type="dxa"/>
            <w:vAlign w:val="bottom"/>
            <w:gridSpan w:val="4"/>
          </w:tcPr>
          <w:p>
            <w:pPr>
              <w:spacing w:after="0"/>
              <w:rPr>
                <w:sz w:val="20"/>
                <w:szCs w:val="20"/>
                <w:color w:val="auto"/>
              </w:rPr>
            </w:pPr>
            <w:r>
              <w:rPr>
                <w:rFonts w:ascii="Arial" w:cs="Arial" w:eastAsia="Arial" w:hAnsi="Arial"/>
                <w:sz w:val="11"/>
                <w:szCs w:val="11"/>
                <w:b w:val="1"/>
                <w:bCs w:val="1"/>
                <w:color w:val="auto"/>
                <w:w w:val="97"/>
              </w:rPr>
              <w:t>NONACCRUAL LOAN-RELATED RATIOS</w:t>
            </w: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Total nonaccrual loans to total loans</w:t>
            </w:r>
          </w:p>
        </w:tc>
        <w:tc>
          <w:tcPr>
            <w:tcW w:w="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0.52 %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0.57 %</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0.56 %</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0.61 %</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0.59 %</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80" w:type="dxa"/>
            <w:vAlign w:val="bottom"/>
            <w:gridSpan w:val="2"/>
          </w:tcPr>
          <w:p>
            <w:pPr>
              <w:spacing w:after="0"/>
              <w:rPr>
                <w:sz w:val="20"/>
                <w:szCs w:val="20"/>
                <w:color w:val="auto"/>
              </w:rPr>
            </w:pPr>
            <w:r>
              <w:rPr>
                <w:rFonts w:ascii="Arial" w:cs="Arial" w:eastAsia="Arial" w:hAnsi="Arial"/>
                <w:sz w:val="11"/>
                <w:szCs w:val="11"/>
                <w:color w:val="auto"/>
              </w:rPr>
              <w:t>Total consumer, excluding credit card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80" w:type="dxa"/>
            <w:vAlign w:val="bottom"/>
            <w:gridSpan w:val="2"/>
          </w:tcPr>
          <w:p>
            <w:pPr>
              <w:spacing w:after="0"/>
              <w:rPr>
                <w:sz w:val="20"/>
                <w:szCs w:val="20"/>
                <w:color w:val="auto"/>
              </w:rPr>
            </w:pPr>
            <w:r>
              <w:rPr>
                <w:rFonts w:ascii="Arial" w:cs="Arial" w:eastAsia="Arial" w:hAnsi="Arial"/>
                <w:sz w:val="11"/>
                <w:szCs w:val="11"/>
                <w:color w:val="auto"/>
              </w:rPr>
              <w:t>nonaccrual loans to</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80" w:type="dxa"/>
            <w:vAlign w:val="bottom"/>
            <w:gridSpan w:val="2"/>
          </w:tcPr>
          <w:p>
            <w:pPr>
              <w:ind w:left="120"/>
              <w:spacing w:after="0"/>
              <w:rPr>
                <w:sz w:val="20"/>
                <w:szCs w:val="20"/>
                <w:color w:val="auto"/>
              </w:rPr>
            </w:pPr>
            <w:r>
              <w:rPr>
                <w:rFonts w:ascii="Arial" w:cs="Arial" w:eastAsia="Arial" w:hAnsi="Arial"/>
                <w:sz w:val="11"/>
                <w:szCs w:val="11"/>
                <w:color w:val="auto"/>
              </w:rPr>
              <w:t>total consumer, excluding credit card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vMerge w:val="restart"/>
          </w:tcPr>
          <w:p>
            <w:pPr>
              <w:jc w:val="right"/>
              <w:ind w:right="86"/>
              <w:spacing w:after="0"/>
              <w:rPr>
                <w:sz w:val="20"/>
                <w:szCs w:val="20"/>
                <w:color w:val="auto"/>
              </w:rPr>
            </w:pPr>
            <w:r>
              <w:rPr>
                <w:rFonts w:ascii="Arial" w:cs="Arial" w:eastAsia="Arial" w:hAnsi="Arial"/>
                <w:sz w:val="11"/>
                <w:szCs w:val="11"/>
                <w:color w:val="auto"/>
              </w:rPr>
              <w:t>1.02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1.02</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1.04</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1.38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1.39</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80" w:type="dxa"/>
            <w:vAlign w:val="bottom"/>
            <w:gridSpan w:val="2"/>
          </w:tcPr>
          <w:p>
            <w:pPr>
              <w:ind w:left="120"/>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1"/>
                <w:szCs w:val="11"/>
                <w:color w:val="auto"/>
                <w:w w:val="98"/>
              </w:rPr>
              <w:t>Total wholesale nonaccrual loans to total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gridSpan w:val="2"/>
          </w:tcPr>
          <w:p>
            <w:pPr>
              <w:ind w:left="120"/>
              <w:spacing w:after="0"/>
              <w:rPr>
                <w:sz w:val="20"/>
                <w:szCs w:val="20"/>
                <w:color w:val="auto"/>
              </w:rPr>
            </w:pPr>
            <w:r>
              <w:rPr>
                <w:rFonts w:ascii="Arial" w:cs="Arial" w:eastAsia="Arial" w:hAnsi="Arial"/>
                <w:sz w:val="11"/>
                <w:szCs w:val="11"/>
                <w:color w:val="auto"/>
              </w:rPr>
              <w:t>wholesale loans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0.39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0.48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0.43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0.41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0.37</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2598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left="180" w:right="180" w:hanging="172"/>
        <w:spacing w:after="0" w:line="245" w:lineRule="auto"/>
        <w:tabs>
          <w:tab w:leader="none" w:pos="177" w:val="left"/>
        </w:tabs>
        <w:numPr>
          <w:ilvl w:val="0"/>
          <w:numId w:val="31"/>
        </w:numPr>
        <w:rPr>
          <w:rFonts w:ascii="Arial" w:cs="Arial" w:eastAsia="Arial" w:hAnsi="Arial"/>
          <w:sz w:val="11"/>
          <w:szCs w:val="11"/>
          <w:color w:val="auto"/>
        </w:rPr>
      </w:pPr>
      <w:r>
        <w:rPr>
          <w:rFonts w:ascii="Arial" w:cs="Arial" w:eastAsia="Arial" w:hAnsi="Arial"/>
          <w:sz w:val="11"/>
          <w:szCs w:val="11"/>
          <w:color w:val="auto"/>
        </w:rPr>
        <w:t>At December 31, 2023, September 30, 2023, June 30, 2023, March 31, 2023 and December 31, 2022, nonperforming assets excluded mortgage loans 90 or more days past due and insured by U.S. government agencies of $182 million, $188 million, $215 million, $263 million and $302 million, respectively. These amounts have been excluded based upon the government guarantee. In addition, the Firm’s policy is generally to exempt credit card loans from being placed on nonaccrual status as permitted by regulatory guidance. Refer to Note 12 of the Firm’s 2022 Form 10-K for additional information on the Firm’s credit card nonaccrual and charge-off policies.</w:t>
      </w:r>
    </w:p>
    <w:p>
      <w:pPr>
        <w:ind w:left="160" w:hanging="152"/>
        <w:spacing w:after="0"/>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Generally excludes loans that were under payment deferral or other assistance, including amendments or waivers of financial covenants, in response to the COVID-19 pandemic.</w:t>
      </w:r>
    </w:p>
    <w:p>
      <w:pPr>
        <w:spacing w:after="0" w:line="5" w:lineRule="exact"/>
        <w:rPr>
          <w:rFonts w:ascii="Arial" w:cs="Arial" w:eastAsia="Arial" w:hAnsi="Arial"/>
          <w:sz w:val="11"/>
          <w:szCs w:val="11"/>
          <w:color w:val="auto"/>
        </w:rPr>
      </w:pPr>
    </w:p>
    <w:p>
      <w:pPr>
        <w:ind w:left="160" w:hanging="152"/>
        <w:spacing w:after="0"/>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Represents commitments that are risk rated as nonaccrual.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27</w:t>
      </w:r>
    </w:p>
    <w:p>
      <w:pPr>
        <w:sectPr>
          <w:pgSz w:w="11900" w:h="16838" w:orient="portrait"/>
          <w:cols w:equalWidth="0" w:num="1">
            <w:col w:w="11240"/>
          </w:cols>
          <w:pgMar w:left="320" w:top="612"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-2540</wp:posOffset>
            </wp:positionV>
            <wp:extent cx="237426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CREDIT-RELATED INFORMATION,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CONTINUED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460"/>
              <w:spacing w:after="0"/>
              <w:rPr>
                <w:sz w:val="20"/>
                <w:szCs w:val="20"/>
                <w:color w:val="auto"/>
              </w:rPr>
            </w:pPr>
            <w:r>
              <w:rPr>
                <w:rFonts w:ascii="Arial" w:cs="Arial" w:eastAsia="Arial" w:hAnsi="Arial"/>
                <w:sz w:val="11"/>
                <w:szCs w:val="11"/>
                <w:b w:val="1"/>
                <w:bCs w:val="1"/>
                <w:color w:val="auto"/>
              </w:rPr>
              <w:t>QUARTERLY TRENDS</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FULL YEAR</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3"/>
            <w:vMerge w:val="restart"/>
          </w:tcPr>
          <w:p>
            <w:pPr>
              <w:jc w:val="right"/>
              <w:ind w:right="186"/>
              <w:spacing w:after="0"/>
              <w:rPr>
                <w:sz w:val="20"/>
                <w:szCs w:val="20"/>
                <w:color w:val="auto"/>
              </w:rPr>
            </w:pPr>
            <w:r>
              <w:rPr>
                <w:rFonts w:ascii="Arial" w:cs="Arial" w:eastAsia="Arial" w:hAnsi="Arial"/>
                <w:sz w:val="11"/>
                <w:szCs w:val="11"/>
                <w:b w:val="1"/>
                <w:bCs w:val="1"/>
                <w:color w:val="auto"/>
              </w:rPr>
              <w:t>4Q23 Change</w:t>
            </w:r>
          </w:p>
        </w:tc>
        <w:tc>
          <w:tcPr>
            <w:tcW w:w="36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gridSpan w:val="2"/>
          </w:tcPr>
          <w:p>
            <w:pPr>
              <w:jc w:val="right"/>
              <w:ind w:right="186"/>
              <w:spacing w:after="0" w:line="109" w:lineRule="exact"/>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Borders>
              <w:bottom w:val="single" w:sz="8" w:color="auto"/>
            </w:tcBorders>
            <w:gridSpan w:val="3"/>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4Q23</w:t>
            </w:r>
          </w:p>
        </w:tc>
        <w:tc>
          <w:tcPr>
            <w:tcW w:w="8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3Q23</w:t>
            </w:r>
          </w:p>
        </w:tc>
        <w:tc>
          <w:tcPr>
            <w:tcW w:w="80" w:type="dxa"/>
            <w:vAlign w:val="bottom"/>
          </w:tcPr>
          <w:p>
            <w:pPr>
              <w:spacing w:after="0"/>
              <w:rPr>
                <w:sz w:val="13"/>
                <w:szCs w:val="13"/>
                <w:color w:val="auto"/>
              </w:rPr>
            </w:pP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auto"/>
              </w:rPr>
              <w:t>2Q23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1Q23</w:t>
            </w:r>
          </w:p>
        </w:tc>
        <w:tc>
          <w:tcPr>
            <w:tcW w:w="10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4Q22</w:t>
            </w:r>
          </w:p>
        </w:tc>
        <w:tc>
          <w:tcPr>
            <w:tcW w:w="18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3Q23</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4Q22</w:t>
            </w:r>
          </w:p>
        </w:tc>
        <w:tc>
          <w:tcPr>
            <w:tcW w:w="80" w:type="dxa"/>
            <w:vAlign w:val="bottom"/>
          </w:tcPr>
          <w:p>
            <w:pPr>
              <w:spacing w:after="0"/>
              <w:rPr>
                <w:sz w:val="13"/>
                <w:szCs w:val="13"/>
                <w:color w:val="auto"/>
              </w:rPr>
            </w:pP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2023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88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40" w:type="dxa"/>
            <w:vAlign w:val="bottom"/>
            <w:gridSpan w:val="6"/>
          </w:tcPr>
          <w:p>
            <w:pPr>
              <w:spacing w:after="0" w:line="108" w:lineRule="exact"/>
              <w:rPr>
                <w:sz w:val="20"/>
                <w:szCs w:val="20"/>
                <w:color w:val="auto"/>
              </w:rPr>
            </w:pPr>
            <w:r>
              <w:rPr>
                <w:rFonts w:ascii="Arial" w:cs="Arial" w:eastAsia="Arial" w:hAnsi="Arial"/>
                <w:sz w:val="11"/>
                <w:szCs w:val="11"/>
                <w:b w:val="1"/>
                <w:bCs w:val="1"/>
                <w:color w:val="auto"/>
              </w:rPr>
              <w:t>SUMMARY OF CHANGES IN THE</w:t>
            </w: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ALLOWANCES</w:t>
            </w:r>
          </w:p>
        </w:tc>
        <w:tc>
          <w:tcPr>
            <w:tcW w:w="920" w:type="dxa"/>
            <w:vAlign w:val="bottom"/>
            <w:tcBorders>
              <w:top w:val="single" w:sz="8" w:color="auto"/>
            </w:tcBorders>
            <w:gridSpan w:val="3"/>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40" w:type="dxa"/>
            <w:vAlign w:val="bottom"/>
            <w:gridSpan w:val="6"/>
          </w:tcPr>
          <w:p>
            <w:pPr>
              <w:spacing w:after="0"/>
              <w:rPr>
                <w:sz w:val="20"/>
                <w:szCs w:val="20"/>
                <w:color w:val="auto"/>
              </w:rPr>
            </w:pPr>
            <w:r>
              <w:rPr>
                <w:rFonts w:ascii="Arial" w:cs="Arial" w:eastAsia="Arial" w:hAnsi="Arial"/>
                <w:sz w:val="11"/>
                <w:szCs w:val="11"/>
                <w:b w:val="1"/>
                <w:bCs w:val="1"/>
                <w:color w:val="auto"/>
              </w:rPr>
              <w:t>ALLOWANCE FOR LOAN LOSSES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6"/>
          </w:tcPr>
          <w:p>
            <w:pPr>
              <w:spacing w:after="0"/>
              <w:rPr>
                <w:sz w:val="20"/>
                <w:szCs w:val="20"/>
                <w:color w:val="auto"/>
              </w:rPr>
            </w:pPr>
            <w:r>
              <w:rPr>
                <w:rFonts w:ascii="Arial" w:cs="Arial" w:eastAsia="Arial" w:hAnsi="Arial"/>
                <w:sz w:val="11"/>
                <w:szCs w:val="11"/>
                <w:color w:val="auto"/>
              </w:rPr>
              <w:t>Beginning balance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21,946</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21,980</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20,053</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ind w:left="160"/>
              <w:spacing w:after="0"/>
              <w:rPr>
                <w:sz w:val="20"/>
                <w:szCs w:val="20"/>
                <w:color w:val="auto"/>
              </w:rPr>
            </w:pPr>
            <w:r>
              <w:rPr>
                <w:rFonts w:ascii="Arial" w:cs="Arial" w:eastAsia="Arial" w:hAnsi="Arial"/>
                <w:sz w:val="11"/>
                <w:szCs w:val="11"/>
                <w:color w:val="auto"/>
              </w:rPr>
              <w:t>19,139   (c)</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18,185</w:t>
            </w:r>
          </w:p>
        </w:tc>
        <w:tc>
          <w:tcPr>
            <w:tcW w:w="1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 %</w:t>
            </w:r>
          </w:p>
        </w:tc>
        <w:tc>
          <w:tcPr>
            <w:tcW w:w="480" w:type="dxa"/>
            <w:vAlign w:val="bottom"/>
          </w:tcPr>
          <w:p>
            <w:pPr>
              <w:jc w:val="right"/>
              <w:spacing w:after="0"/>
              <w:rPr>
                <w:sz w:val="20"/>
                <w:szCs w:val="20"/>
                <w:color w:val="auto"/>
              </w:rPr>
            </w:pPr>
            <w:r>
              <w:rPr>
                <w:rFonts w:ascii="Arial" w:cs="Arial" w:eastAsia="Arial" w:hAnsi="Arial"/>
                <w:sz w:val="11"/>
                <w:szCs w:val="11"/>
                <w:color w:val="auto"/>
              </w:rPr>
              <w:t>21 %</w:t>
            </w:r>
          </w:p>
        </w:tc>
        <w:tc>
          <w:tcPr>
            <w:tcW w:w="3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19,139</w:t>
            </w:r>
          </w:p>
        </w:tc>
        <w:tc>
          <w:tcPr>
            <w:tcW w:w="22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16,386</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gridSpan w:val="6"/>
          </w:tcPr>
          <w:p>
            <w:pPr>
              <w:spacing w:after="0"/>
              <w:rPr>
                <w:sz w:val="20"/>
                <w:szCs w:val="20"/>
                <w:color w:val="auto"/>
              </w:rPr>
            </w:pPr>
            <w:r>
              <w:rPr>
                <w:rFonts w:ascii="Arial" w:cs="Arial" w:eastAsia="Arial" w:hAnsi="Arial"/>
                <w:sz w:val="11"/>
                <w:szCs w:val="11"/>
                <w:color w:val="auto"/>
              </w:rPr>
              <w:t>Net charge-offs: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gridSpan w:val="6"/>
          </w:tcPr>
          <w:p>
            <w:pPr>
              <w:ind w:left="120"/>
              <w:spacing w:after="0"/>
              <w:rPr>
                <w:sz w:val="20"/>
                <w:szCs w:val="20"/>
                <w:color w:val="auto"/>
              </w:rPr>
            </w:pPr>
            <w:r>
              <w:rPr>
                <w:rFonts w:ascii="Arial" w:cs="Arial" w:eastAsia="Arial" w:hAnsi="Arial"/>
                <w:sz w:val="11"/>
                <w:szCs w:val="11"/>
                <w:color w:val="auto"/>
              </w:rPr>
              <w:t>Gross charge-offs</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2,557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1,869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1,776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1,451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1,210</w:t>
            </w:r>
          </w:p>
        </w:tc>
        <w:tc>
          <w:tcPr>
            <w:tcW w:w="700" w:type="dxa"/>
            <w:vAlign w:val="bottom"/>
            <w:gridSpan w:val="2"/>
          </w:tcPr>
          <w:p>
            <w:pPr>
              <w:jc w:val="right"/>
              <w:ind w:right="86"/>
              <w:spacing w:after="0"/>
              <w:rPr>
                <w:sz w:val="20"/>
                <w:szCs w:val="20"/>
                <w:color w:val="auto"/>
              </w:rPr>
            </w:pPr>
            <w:r>
              <w:rPr>
                <w:rFonts w:ascii="Arial" w:cs="Arial" w:eastAsia="Arial" w:hAnsi="Arial"/>
                <w:sz w:val="11"/>
                <w:szCs w:val="11"/>
                <w:color w:val="auto"/>
              </w:rPr>
              <w:t>37</w:t>
            </w:r>
          </w:p>
        </w:tc>
        <w:tc>
          <w:tcPr>
            <w:tcW w:w="18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111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7,653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4,326</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40" w:type="dxa"/>
            <w:vAlign w:val="bottom"/>
            <w:gridSpan w:val="6"/>
          </w:tcPr>
          <w:p>
            <w:pPr>
              <w:ind w:left="120"/>
              <w:spacing w:after="0"/>
              <w:rPr>
                <w:sz w:val="20"/>
                <w:szCs w:val="20"/>
                <w:color w:val="auto"/>
              </w:rPr>
            </w:pPr>
            <w:r>
              <w:rPr>
                <w:rFonts w:ascii="Arial" w:cs="Arial" w:eastAsia="Arial" w:hAnsi="Arial"/>
                <w:sz w:val="11"/>
                <w:szCs w:val="11"/>
                <w:color w:val="auto"/>
              </w:rPr>
              <w:t>Gross recoveries collected</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(393)</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(372)</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(365)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(314)</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(323)</w:t>
            </w:r>
          </w:p>
        </w:tc>
        <w:tc>
          <w:tcPr>
            <w:tcW w:w="700" w:type="dxa"/>
            <w:vAlign w:val="bottom"/>
            <w:gridSpan w:val="2"/>
          </w:tcPr>
          <w:p>
            <w:pPr>
              <w:jc w:val="right"/>
              <w:ind w:right="66"/>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5"/>
                <w:szCs w:val="15"/>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(1,444)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(1,473)</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40" w:type="dxa"/>
            <w:vAlign w:val="bottom"/>
            <w:gridSpan w:val="6"/>
          </w:tcPr>
          <w:p>
            <w:pPr>
              <w:spacing w:after="0"/>
              <w:rPr>
                <w:sz w:val="20"/>
                <w:szCs w:val="20"/>
                <w:color w:val="auto"/>
              </w:rPr>
            </w:pPr>
            <w:r>
              <w:rPr>
                <w:rFonts w:ascii="Arial" w:cs="Arial" w:eastAsia="Arial" w:hAnsi="Arial"/>
                <w:sz w:val="11"/>
                <w:szCs w:val="11"/>
                <w:color w:val="auto"/>
              </w:rPr>
              <w:t>Net charge-offs</w:t>
            </w:r>
          </w:p>
        </w:tc>
        <w:tc>
          <w:tcPr>
            <w:tcW w:w="10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2,164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1,497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1,411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1,137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887</w:t>
            </w:r>
          </w:p>
        </w:tc>
        <w:tc>
          <w:tcPr>
            <w:tcW w:w="700" w:type="dxa"/>
            <w:vAlign w:val="bottom"/>
            <w:gridSpan w:val="2"/>
          </w:tcPr>
          <w:p>
            <w:pPr>
              <w:jc w:val="right"/>
              <w:ind w:right="86"/>
              <w:spacing w:after="0"/>
              <w:rPr>
                <w:sz w:val="20"/>
                <w:szCs w:val="20"/>
                <w:color w:val="auto"/>
              </w:rPr>
            </w:pPr>
            <w:r>
              <w:rPr>
                <w:rFonts w:ascii="Arial" w:cs="Arial" w:eastAsia="Arial" w:hAnsi="Arial"/>
                <w:sz w:val="11"/>
                <w:szCs w:val="11"/>
                <w:color w:val="auto"/>
              </w:rPr>
              <w:t>45</w:t>
            </w:r>
          </w:p>
        </w:tc>
        <w:tc>
          <w:tcPr>
            <w:tcW w:w="18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144</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6,209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2,853</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gridSpan w:val="6"/>
          </w:tcPr>
          <w:p>
            <w:pPr>
              <w:spacing w:after="0"/>
              <w:rPr>
                <w:sz w:val="20"/>
                <w:szCs w:val="20"/>
                <w:color w:val="auto"/>
              </w:rPr>
            </w:pPr>
            <w:r>
              <w:rPr>
                <w:rFonts w:ascii="Arial" w:cs="Arial" w:eastAsia="Arial" w:hAnsi="Arial"/>
                <w:sz w:val="11"/>
                <w:szCs w:val="11"/>
                <w:color w:val="auto"/>
              </w:rPr>
              <w:t>Provision for loan losses</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2,625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1,479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3,317</w:t>
            </w:r>
          </w:p>
        </w:tc>
        <w:tc>
          <w:tcPr>
            <w:tcW w:w="220" w:type="dxa"/>
            <w:vAlign w:val="bottom"/>
          </w:tcPr>
          <w:p>
            <w:pPr>
              <w:ind w:left="20"/>
              <w:spacing w:after="0"/>
              <w:rPr>
                <w:sz w:val="20"/>
                <w:szCs w:val="20"/>
                <w:color w:val="auto"/>
              </w:rPr>
            </w:pPr>
            <w:r>
              <w:rPr>
                <w:rFonts w:ascii="Arial" w:cs="Arial" w:eastAsia="Arial" w:hAnsi="Arial"/>
                <w:sz w:val="11"/>
                <w:szCs w:val="11"/>
                <w:color w:val="auto"/>
              </w:rPr>
              <w:t>(b)</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2,047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2,426</w:t>
            </w:r>
          </w:p>
        </w:tc>
        <w:tc>
          <w:tcPr>
            <w:tcW w:w="700" w:type="dxa"/>
            <w:vAlign w:val="bottom"/>
            <w:gridSpan w:val="2"/>
          </w:tcPr>
          <w:p>
            <w:pPr>
              <w:jc w:val="right"/>
              <w:ind w:right="86"/>
              <w:spacing w:after="0"/>
              <w:rPr>
                <w:sz w:val="20"/>
                <w:szCs w:val="20"/>
                <w:color w:val="auto"/>
              </w:rPr>
            </w:pPr>
            <w:r>
              <w:rPr>
                <w:rFonts w:ascii="Arial" w:cs="Arial" w:eastAsia="Arial" w:hAnsi="Arial"/>
                <w:sz w:val="11"/>
                <w:szCs w:val="11"/>
                <w:color w:val="auto"/>
              </w:rPr>
              <w:t>77</w:t>
            </w:r>
          </w:p>
        </w:tc>
        <w:tc>
          <w:tcPr>
            <w:tcW w:w="18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9,468</w:t>
            </w:r>
          </w:p>
        </w:tc>
        <w:tc>
          <w:tcPr>
            <w:tcW w:w="220" w:type="dxa"/>
            <w:vAlign w:val="bottom"/>
          </w:tcPr>
          <w:p>
            <w:pPr>
              <w:ind w:left="20"/>
              <w:spacing w:after="0"/>
              <w:rPr>
                <w:sz w:val="20"/>
                <w:szCs w:val="20"/>
                <w:color w:val="auto"/>
              </w:rPr>
            </w:pPr>
            <w:r>
              <w:rPr>
                <w:rFonts w:ascii="Arial" w:cs="Arial" w:eastAsia="Arial" w:hAnsi="Arial"/>
                <w:sz w:val="11"/>
                <w:szCs w:val="11"/>
                <w:color w:val="auto"/>
              </w:rPr>
              <w:t>(b)</w:t>
            </w: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6,189</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40" w:type="dxa"/>
            <w:vAlign w:val="bottom"/>
            <w:gridSpan w:val="6"/>
          </w:tcPr>
          <w:p>
            <w:pPr>
              <w:spacing w:after="0"/>
              <w:rPr>
                <w:sz w:val="20"/>
                <w:szCs w:val="20"/>
                <w:color w:val="auto"/>
              </w:rPr>
            </w:pPr>
            <w:r>
              <w:rPr>
                <w:rFonts w:ascii="Arial" w:cs="Arial" w:eastAsia="Arial" w:hAnsi="Arial"/>
                <w:sz w:val="11"/>
                <w:szCs w:val="11"/>
                <w:color w:val="auto"/>
              </w:rPr>
              <w:t>Other</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13</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(16)</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21</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NM</w:t>
            </w:r>
          </w:p>
        </w:tc>
        <w:tc>
          <w:tcPr>
            <w:tcW w:w="840" w:type="dxa"/>
            <w:vAlign w:val="bottom"/>
            <w:gridSpan w:val="2"/>
          </w:tcPr>
          <w:p>
            <w:pPr>
              <w:ind w:left="300"/>
              <w:spacing w:after="0"/>
              <w:rPr>
                <w:sz w:val="20"/>
                <w:szCs w:val="20"/>
                <w:color w:val="auto"/>
              </w:rPr>
            </w:pPr>
            <w:r>
              <w:rPr>
                <w:rFonts w:ascii="Arial" w:cs="Arial" w:eastAsia="Arial" w:hAnsi="Arial"/>
                <w:sz w:val="11"/>
                <w:szCs w:val="11"/>
                <w:color w:val="auto"/>
              </w:rPr>
              <w:t>NM</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450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40" w:type="dxa"/>
            <w:vAlign w:val="bottom"/>
            <w:gridSpan w:val="6"/>
          </w:tcPr>
          <w:p>
            <w:pPr>
              <w:spacing w:after="0"/>
              <w:rPr>
                <w:sz w:val="20"/>
                <w:szCs w:val="20"/>
                <w:color w:val="auto"/>
              </w:rPr>
            </w:pPr>
            <w:r>
              <w:rPr>
                <w:rFonts w:ascii="Arial" w:cs="Arial" w:eastAsia="Arial" w:hAnsi="Arial"/>
                <w:sz w:val="11"/>
                <w:szCs w:val="11"/>
                <w:b w:val="1"/>
                <w:bCs w:val="1"/>
                <w:color w:val="auto"/>
              </w:rPr>
              <w:t>Ending balance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22,420</w:t>
            </w: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21,946</w:t>
            </w: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21,980</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20,053</w:t>
            </w: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19,726</w:t>
            </w:r>
          </w:p>
        </w:tc>
        <w:tc>
          <w:tcPr>
            <w:tcW w:w="70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14</w:t>
            </w:r>
          </w:p>
        </w:tc>
        <w:tc>
          <w:tcPr>
            <w:tcW w:w="3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22,420</w:t>
            </w:r>
          </w:p>
        </w:tc>
        <w:tc>
          <w:tcPr>
            <w:tcW w:w="220" w:type="dxa"/>
            <w:vAlign w:val="bottom"/>
          </w:tcPr>
          <w:p>
            <w:pPr>
              <w:spacing w:after="0"/>
              <w:rPr>
                <w:sz w:val="13"/>
                <w:szCs w:val="1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19,726</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840" w:type="dxa"/>
            <w:vAlign w:val="bottom"/>
            <w:gridSpan w:val="6"/>
          </w:tcPr>
          <w:p>
            <w:pPr>
              <w:spacing w:after="0"/>
              <w:rPr>
                <w:sz w:val="20"/>
                <w:szCs w:val="20"/>
                <w:color w:val="auto"/>
              </w:rPr>
            </w:pPr>
            <w:r>
              <w:rPr>
                <w:rFonts w:ascii="Arial" w:cs="Arial" w:eastAsia="Arial" w:hAnsi="Arial"/>
                <w:sz w:val="11"/>
                <w:szCs w:val="11"/>
                <w:b w:val="1"/>
                <w:bCs w:val="1"/>
                <w:color w:val="auto"/>
              </w:rPr>
              <w:t>ALLOWANCE FOR LENDING-</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40" w:type="dxa"/>
            <w:vAlign w:val="bottom"/>
            <w:gridSpan w:val="6"/>
          </w:tcPr>
          <w:p>
            <w:pPr>
              <w:spacing w:after="0"/>
              <w:rPr>
                <w:sz w:val="20"/>
                <w:szCs w:val="20"/>
                <w:color w:val="auto"/>
              </w:rPr>
            </w:pPr>
            <w:r>
              <w:rPr>
                <w:rFonts w:ascii="Arial" w:cs="Arial" w:eastAsia="Arial" w:hAnsi="Arial"/>
                <w:sz w:val="11"/>
                <w:szCs w:val="11"/>
                <w:b w:val="1"/>
                <w:bCs w:val="1"/>
                <w:color w:val="auto"/>
              </w:rPr>
              <w:t>RELATED COMMITMENTS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6"/>
          </w:tcPr>
          <w:p>
            <w:pPr>
              <w:spacing w:after="0"/>
              <w:rPr>
                <w:sz w:val="20"/>
                <w:szCs w:val="20"/>
                <w:color w:val="auto"/>
              </w:rPr>
            </w:pPr>
            <w:r>
              <w:rPr>
                <w:rFonts w:ascii="Arial" w:cs="Arial" w:eastAsia="Arial" w:hAnsi="Arial"/>
                <w:sz w:val="11"/>
                <w:szCs w:val="11"/>
                <w:color w:val="auto"/>
              </w:rPr>
              <w:t>Beginning balance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2,075</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2,186</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2,370</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2,382</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2,551</w:t>
            </w:r>
          </w:p>
        </w:tc>
        <w:tc>
          <w:tcPr>
            <w:tcW w:w="70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3"/>
                <w:szCs w:val="13"/>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3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2,382</w:t>
            </w:r>
          </w:p>
        </w:tc>
        <w:tc>
          <w:tcPr>
            <w:tcW w:w="22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2,261</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40" w:type="dxa"/>
            <w:vAlign w:val="bottom"/>
            <w:gridSpan w:val="6"/>
          </w:tcPr>
          <w:p>
            <w:pPr>
              <w:spacing w:after="0"/>
              <w:rPr>
                <w:sz w:val="20"/>
                <w:szCs w:val="20"/>
                <w:color w:val="auto"/>
              </w:rPr>
            </w:pPr>
            <w:r>
              <w:rPr>
                <w:rFonts w:ascii="Arial" w:cs="Arial" w:eastAsia="Arial" w:hAnsi="Arial"/>
                <w:sz w:val="11"/>
                <w:szCs w:val="11"/>
                <w:color w:val="auto"/>
              </w:rPr>
              <w:t>Provision for lending-related</w:t>
            </w:r>
          </w:p>
        </w:tc>
        <w:tc>
          <w:tcPr>
            <w:tcW w:w="10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(100)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66"/>
              <w:spacing w:after="0"/>
              <w:rPr>
                <w:sz w:val="20"/>
                <w:szCs w:val="20"/>
                <w:color w:val="auto"/>
              </w:rPr>
            </w:pPr>
            <w:r>
              <w:rPr>
                <w:rFonts w:ascii="Arial" w:cs="Arial" w:eastAsia="Arial" w:hAnsi="Arial"/>
                <w:sz w:val="11"/>
                <w:szCs w:val="11"/>
                <w:color w:val="auto"/>
              </w:rPr>
              <w:t>(107)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66"/>
              <w:spacing w:after="0"/>
              <w:rPr>
                <w:sz w:val="20"/>
                <w:szCs w:val="20"/>
                <w:color w:val="auto"/>
              </w:rPr>
            </w:pPr>
            <w:r>
              <w:rPr>
                <w:rFonts w:ascii="Arial" w:cs="Arial" w:eastAsia="Arial" w:hAnsi="Arial"/>
                <w:sz w:val="11"/>
                <w:szCs w:val="11"/>
                <w:color w:val="auto"/>
              </w:rPr>
              <w:t>(188)</w:t>
            </w:r>
          </w:p>
        </w:tc>
        <w:tc>
          <w:tcPr>
            <w:tcW w:w="220" w:type="dxa"/>
            <w:vAlign w:val="bottom"/>
            <w:vMerge w:val="restart"/>
          </w:tcPr>
          <w:p>
            <w:pPr>
              <w:ind w:left="20"/>
              <w:spacing w:after="0"/>
              <w:rPr>
                <w:sz w:val="20"/>
                <w:szCs w:val="20"/>
                <w:color w:val="auto"/>
              </w:rPr>
            </w:pPr>
            <w:r>
              <w:rPr>
                <w:rFonts w:ascii="Arial" w:cs="Arial" w:eastAsia="Arial" w:hAnsi="Arial"/>
                <w:sz w:val="11"/>
                <w:szCs w:val="11"/>
                <w:color w:val="auto"/>
              </w:rPr>
              <w:t>(b)</w:t>
            </w:r>
          </w:p>
        </w:tc>
        <w:tc>
          <w:tcPr>
            <w:tcW w:w="10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(13)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(169)</w:t>
            </w:r>
          </w:p>
        </w:tc>
        <w:tc>
          <w:tcPr>
            <w:tcW w:w="70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7</w:t>
            </w:r>
          </w:p>
        </w:tc>
        <w:tc>
          <w:tcPr>
            <w:tcW w:w="180" w:type="dxa"/>
            <w:vAlign w:val="bottom"/>
          </w:tcPr>
          <w:p>
            <w:pPr>
              <w:spacing w:after="0"/>
              <w:rPr>
                <w:sz w:val="11"/>
                <w:szCs w:val="11"/>
                <w:color w:val="auto"/>
              </w:rPr>
            </w:pPr>
          </w:p>
        </w:tc>
        <w:tc>
          <w:tcPr>
            <w:tcW w:w="480" w:type="dxa"/>
            <w:vAlign w:val="bottom"/>
            <w:vMerge w:val="restart"/>
          </w:tcPr>
          <w:p>
            <w:pPr>
              <w:jc w:val="right"/>
              <w:ind w:right="86"/>
              <w:spacing w:after="0"/>
              <w:rPr>
                <w:sz w:val="20"/>
                <w:szCs w:val="20"/>
                <w:color w:val="auto"/>
              </w:rPr>
            </w:pPr>
            <w:r>
              <w:rPr>
                <w:rFonts w:ascii="Arial" w:cs="Arial" w:eastAsia="Arial" w:hAnsi="Arial"/>
                <w:sz w:val="11"/>
                <w:szCs w:val="11"/>
                <w:color w:val="auto"/>
              </w:rPr>
              <w:t>41</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66"/>
              <w:spacing w:after="0"/>
              <w:rPr>
                <w:sz w:val="20"/>
                <w:szCs w:val="20"/>
                <w:color w:val="auto"/>
              </w:rPr>
            </w:pPr>
            <w:r>
              <w:rPr>
                <w:rFonts w:ascii="Arial" w:cs="Arial" w:eastAsia="Arial" w:hAnsi="Arial"/>
                <w:sz w:val="11"/>
                <w:szCs w:val="11"/>
                <w:color w:val="auto"/>
              </w:rPr>
              <w:t>(408)</w:t>
            </w:r>
          </w:p>
        </w:tc>
        <w:tc>
          <w:tcPr>
            <w:tcW w:w="220" w:type="dxa"/>
            <w:vAlign w:val="bottom"/>
            <w:vMerge w:val="restart"/>
          </w:tcPr>
          <w:p>
            <w:pPr>
              <w:ind w:left="20"/>
              <w:spacing w:after="0"/>
              <w:rPr>
                <w:sz w:val="20"/>
                <w:szCs w:val="20"/>
                <w:color w:val="auto"/>
              </w:rPr>
            </w:pPr>
            <w:r>
              <w:rPr>
                <w:rFonts w:ascii="Arial" w:cs="Arial" w:eastAsia="Arial" w:hAnsi="Arial"/>
                <w:sz w:val="11"/>
                <w:szCs w:val="11"/>
                <w:color w:val="auto"/>
              </w:rPr>
              <w:t>(b)</w:t>
            </w:r>
          </w:p>
        </w:tc>
        <w:tc>
          <w:tcPr>
            <w:tcW w:w="10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120</w:t>
            </w: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40" w:type="dxa"/>
            <w:vAlign w:val="bottom"/>
            <w:gridSpan w:val="6"/>
          </w:tcPr>
          <w:p>
            <w:pPr>
              <w:spacing w:after="0"/>
              <w:rPr>
                <w:sz w:val="20"/>
                <w:szCs w:val="20"/>
                <w:color w:val="auto"/>
              </w:rPr>
            </w:pPr>
            <w:r>
              <w:rPr>
                <w:rFonts w:ascii="Arial" w:cs="Arial" w:eastAsia="Arial" w:hAnsi="Arial"/>
                <w:sz w:val="11"/>
                <w:szCs w:val="11"/>
                <w:color w:val="auto"/>
              </w:rPr>
              <w:t>commitments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40" w:type="dxa"/>
            <w:vAlign w:val="bottom"/>
            <w:gridSpan w:val="6"/>
          </w:tcPr>
          <w:p>
            <w:pPr>
              <w:spacing w:after="0"/>
              <w:rPr>
                <w:sz w:val="20"/>
                <w:szCs w:val="20"/>
                <w:color w:val="auto"/>
              </w:rPr>
            </w:pPr>
            <w:r>
              <w:rPr>
                <w:rFonts w:ascii="Arial" w:cs="Arial" w:eastAsia="Arial" w:hAnsi="Arial"/>
                <w:sz w:val="11"/>
                <w:szCs w:val="11"/>
                <w:color w:val="auto"/>
              </w:rPr>
              <w:t>Other</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86"/>
              <w:spacing w:after="0"/>
              <w:rPr>
                <w:sz w:val="20"/>
                <w:szCs w:val="20"/>
                <w:color w:val="auto"/>
              </w:rPr>
            </w:pPr>
            <w:r>
              <w:rPr>
                <w:rFonts w:ascii="Arial" w:cs="Arial" w:eastAsia="Arial" w:hAnsi="Arial"/>
                <w:sz w:val="11"/>
                <w:szCs w:val="11"/>
                <w:color w:val="auto"/>
              </w:rPr>
              <w:t>75</w:t>
            </w:r>
          </w:p>
        </w:tc>
        <w:tc>
          <w:tcPr>
            <w:tcW w:w="180" w:type="dxa"/>
            <w:vAlign w:val="bottom"/>
          </w:tcPr>
          <w:p>
            <w:pPr>
              <w:spacing w:after="0"/>
              <w:rPr>
                <w:sz w:val="15"/>
                <w:szCs w:val="15"/>
                <w:color w:val="auto"/>
              </w:rPr>
            </w:pPr>
          </w:p>
        </w:tc>
        <w:tc>
          <w:tcPr>
            <w:tcW w:w="840" w:type="dxa"/>
            <w:vAlign w:val="bottom"/>
            <w:gridSpan w:val="2"/>
          </w:tcPr>
          <w:p>
            <w:pPr>
              <w:ind w:left="300"/>
              <w:spacing w:after="0"/>
              <w:rPr>
                <w:sz w:val="20"/>
                <w:szCs w:val="20"/>
                <w:color w:val="auto"/>
              </w:rPr>
            </w:pPr>
            <w:r>
              <w:rPr>
                <w:rFonts w:ascii="Arial" w:cs="Arial" w:eastAsia="Arial" w:hAnsi="Arial"/>
                <w:sz w:val="11"/>
                <w:szCs w:val="11"/>
                <w:color w:val="auto"/>
              </w:rPr>
              <w:t>NM</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6"/>
          </w:tcPr>
          <w:p>
            <w:pPr>
              <w:spacing w:after="0"/>
              <w:rPr>
                <w:sz w:val="20"/>
                <w:szCs w:val="20"/>
                <w:color w:val="auto"/>
              </w:rPr>
            </w:pPr>
            <w:r>
              <w:rPr>
                <w:rFonts w:ascii="Arial" w:cs="Arial" w:eastAsia="Arial" w:hAnsi="Arial"/>
                <w:sz w:val="11"/>
                <w:szCs w:val="11"/>
                <w:b w:val="1"/>
                <w:bCs w:val="1"/>
                <w:color w:val="auto"/>
              </w:rPr>
              <w:t>Ending balance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1,974</w:t>
            </w: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2,075</w:t>
            </w: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2,186</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2,370</w:t>
            </w: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2,382</w:t>
            </w:r>
          </w:p>
        </w:tc>
        <w:tc>
          <w:tcPr>
            <w:tcW w:w="700" w:type="dxa"/>
            <w:vAlign w:val="bottom"/>
            <w:gridSpan w:val="2"/>
          </w:tcPr>
          <w:p>
            <w:pPr>
              <w:jc w:val="right"/>
              <w:ind w:right="66"/>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3"/>
                <w:szCs w:val="13"/>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3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1,974</w:t>
            </w:r>
          </w:p>
        </w:tc>
        <w:tc>
          <w:tcPr>
            <w:tcW w:w="220" w:type="dxa"/>
            <w:vAlign w:val="bottom"/>
          </w:tcPr>
          <w:p>
            <w:pPr>
              <w:spacing w:after="0"/>
              <w:rPr>
                <w:sz w:val="13"/>
                <w:szCs w:val="1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2,382</w:t>
            </w:r>
          </w:p>
        </w:tc>
        <w:tc>
          <w:tcPr>
            <w:tcW w:w="880" w:type="dxa"/>
            <w:vAlign w:val="bottom"/>
            <w:gridSpan w:val="2"/>
          </w:tcPr>
          <w:p>
            <w:pPr>
              <w:jc w:val="right"/>
              <w:ind w:right="6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40" w:type="dxa"/>
            <w:vAlign w:val="bottom"/>
            <w:gridSpan w:val="6"/>
            <w:vMerge w:val="restart"/>
          </w:tcPr>
          <w:p>
            <w:pPr>
              <w:spacing w:after="0"/>
              <w:rPr>
                <w:sz w:val="20"/>
                <w:szCs w:val="20"/>
                <w:color w:val="auto"/>
              </w:rPr>
            </w:pPr>
            <w:r>
              <w:rPr>
                <w:rFonts w:ascii="Arial" w:cs="Arial" w:eastAsia="Arial" w:hAnsi="Arial"/>
                <w:sz w:val="11"/>
                <w:szCs w:val="11"/>
                <w:b w:val="1"/>
                <w:bCs w:val="1"/>
                <w:color w:val="auto"/>
              </w:rPr>
              <w:t>ALLOWANCE FOR INVESTMENT</w:t>
            </w: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40" w:type="dxa"/>
            <w:vAlign w:val="bottom"/>
            <w:gridSpan w:val="6"/>
            <w:vMerge w:val="continue"/>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128</w:t>
            </w:r>
          </w:p>
        </w:tc>
        <w:tc>
          <w:tcPr>
            <w:tcW w:w="1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117</w:t>
            </w:r>
          </w:p>
        </w:tc>
        <w:tc>
          <w:tcPr>
            <w:tcW w:w="1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104</w:t>
            </w:r>
          </w:p>
        </w:tc>
        <w:tc>
          <w:tcPr>
            <w:tcW w:w="22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90</w:t>
            </w:r>
          </w:p>
        </w:tc>
        <w:tc>
          <w:tcPr>
            <w:tcW w:w="24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96</w:t>
            </w:r>
          </w:p>
        </w:tc>
        <w:tc>
          <w:tcPr>
            <w:tcW w:w="70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9</w:t>
            </w:r>
          </w:p>
        </w:tc>
        <w:tc>
          <w:tcPr>
            <w:tcW w:w="180" w:type="dxa"/>
            <w:vAlign w:val="bottom"/>
          </w:tcPr>
          <w:p>
            <w:pPr>
              <w:spacing w:after="0"/>
              <w:rPr>
                <w:sz w:val="7"/>
                <w:szCs w:val="7"/>
                <w:color w:val="auto"/>
              </w:rPr>
            </w:pPr>
          </w:p>
        </w:tc>
        <w:tc>
          <w:tcPr>
            <w:tcW w:w="480" w:type="dxa"/>
            <w:vAlign w:val="bottom"/>
            <w:vMerge w:val="restart"/>
          </w:tcPr>
          <w:p>
            <w:pPr>
              <w:jc w:val="right"/>
              <w:ind w:right="86"/>
              <w:spacing w:after="0"/>
              <w:rPr>
                <w:sz w:val="20"/>
                <w:szCs w:val="20"/>
                <w:color w:val="auto"/>
              </w:rPr>
            </w:pPr>
            <w:r>
              <w:rPr>
                <w:rFonts w:ascii="Arial" w:cs="Arial" w:eastAsia="Arial" w:hAnsi="Arial"/>
                <w:sz w:val="11"/>
                <w:szCs w:val="11"/>
                <w:color w:val="auto"/>
              </w:rPr>
              <w:t>33</w:t>
            </w:r>
          </w:p>
        </w:tc>
        <w:tc>
          <w:tcPr>
            <w:tcW w:w="36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128</w:t>
            </w:r>
          </w:p>
        </w:tc>
        <w:tc>
          <w:tcPr>
            <w:tcW w:w="220" w:type="dxa"/>
            <w:vAlign w:val="bottom"/>
          </w:tcPr>
          <w:p>
            <w:pPr>
              <w:spacing w:after="0"/>
              <w:rPr>
                <w:sz w:val="7"/>
                <w:szCs w:val="7"/>
                <w:color w:val="auto"/>
              </w:rPr>
            </w:pPr>
          </w:p>
        </w:tc>
        <w:tc>
          <w:tcPr>
            <w:tcW w:w="1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96</w:t>
            </w:r>
          </w:p>
        </w:tc>
        <w:tc>
          <w:tcPr>
            <w:tcW w:w="88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40" w:type="dxa"/>
            <w:vAlign w:val="bottom"/>
            <w:gridSpan w:val="6"/>
          </w:tcPr>
          <w:p>
            <w:pPr>
              <w:spacing w:after="0"/>
              <w:rPr>
                <w:sz w:val="20"/>
                <w:szCs w:val="20"/>
                <w:color w:val="auto"/>
              </w:rPr>
            </w:pPr>
            <w:r>
              <w:rPr>
                <w:rFonts w:ascii="Arial" w:cs="Arial" w:eastAsia="Arial" w:hAnsi="Arial"/>
                <w:sz w:val="11"/>
                <w:szCs w:val="11"/>
                <w:b w:val="1"/>
                <w:bCs w:val="1"/>
                <w:color w:val="auto"/>
              </w:rPr>
              <w:t>SECURITIES</w:t>
            </w: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840" w:type="dxa"/>
            <w:vAlign w:val="bottom"/>
            <w:gridSpan w:val="6"/>
          </w:tcPr>
          <w:p>
            <w:pPr>
              <w:spacing w:after="0"/>
              <w:rPr>
                <w:sz w:val="20"/>
                <w:szCs w:val="20"/>
                <w:color w:val="auto"/>
              </w:rPr>
            </w:pPr>
            <w:r>
              <w:rPr>
                <w:rFonts w:ascii="Arial" w:cs="Arial" w:eastAsia="Arial" w:hAnsi="Arial"/>
                <w:sz w:val="11"/>
                <w:szCs w:val="11"/>
                <w:b w:val="1"/>
                <w:bCs w:val="1"/>
                <w:color w:val="auto"/>
              </w:rPr>
              <w:t>Total allowance for credit losses</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24,522</w:t>
            </w:r>
          </w:p>
        </w:tc>
        <w:tc>
          <w:tcPr>
            <w:tcW w:w="180" w:type="dxa"/>
            <w:vAlign w:val="bottom"/>
          </w:tcPr>
          <w:p>
            <w:pPr>
              <w:spacing w:after="0"/>
              <w:rPr>
                <w:sz w:val="22"/>
                <w:szCs w:val="22"/>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24,138</w:t>
            </w:r>
          </w:p>
        </w:tc>
        <w:tc>
          <w:tcPr>
            <w:tcW w:w="180" w:type="dxa"/>
            <w:vAlign w:val="bottom"/>
          </w:tcPr>
          <w:p>
            <w:pPr>
              <w:spacing w:after="0"/>
              <w:rPr>
                <w:sz w:val="22"/>
                <w:szCs w:val="22"/>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24,270</w:t>
            </w:r>
          </w:p>
        </w:tc>
        <w:tc>
          <w:tcPr>
            <w:tcW w:w="220" w:type="dxa"/>
            <w:vAlign w:val="bottom"/>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22,513</w:t>
            </w:r>
          </w:p>
        </w:tc>
        <w:tc>
          <w:tcPr>
            <w:tcW w:w="240" w:type="dxa"/>
            <w:vAlign w:val="bottom"/>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22,204</w:t>
            </w:r>
          </w:p>
        </w:tc>
        <w:tc>
          <w:tcPr>
            <w:tcW w:w="70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22"/>
                <w:szCs w:val="22"/>
                <w:color w:val="auto"/>
              </w:rPr>
            </w:pPr>
          </w:p>
        </w:tc>
        <w:tc>
          <w:tcPr>
            <w:tcW w:w="480" w:type="dxa"/>
            <w:vAlign w:val="bottom"/>
            <w:vMerge w:val="restart"/>
          </w:tcPr>
          <w:p>
            <w:pPr>
              <w:jc w:val="right"/>
              <w:ind w:right="86"/>
              <w:spacing w:after="0"/>
              <w:rPr>
                <w:sz w:val="20"/>
                <w:szCs w:val="20"/>
                <w:color w:val="auto"/>
              </w:rPr>
            </w:pPr>
            <w:r>
              <w:rPr>
                <w:rFonts w:ascii="Arial" w:cs="Arial" w:eastAsia="Arial" w:hAnsi="Arial"/>
                <w:sz w:val="11"/>
                <w:szCs w:val="11"/>
                <w:color w:val="auto"/>
              </w:rPr>
              <w:t>10</w:t>
            </w:r>
          </w:p>
        </w:tc>
        <w:tc>
          <w:tcPr>
            <w:tcW w:w="360" w:type="dxa"/>
            <w:vAlign w:val="bottom"/>
          </w:tcPr>
          <w:p>
            <w:pPr>
              <w:spacing w:after="0"/>
              <w:rPr>
                <w:sz w:val="22"/>
                <w:szCs w:val="22"/>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24,522</w:t>
            </w:r>
          </w:p>
        </w:tc>
        <w:tc>
          <w:tcPr>
            <w:tcW w:w="220" w:type="dxa"/>
            <w:vAlign w:val="bottom"/>
          </w:tcPr>
          <w:p>
            <w:pPr>
              <w:spacing w:after="0"/>
              <w:rPr>
                <w:sz w:val="22"/>
                <w:szCs w:val="22"/>
                <w:color w:val="auto"/>
              </w:rPr>
            </w:pPr>
          </w:p>
        </w:tc>
        <w:tc>
          <w:tcPr>
            <w:tcW w:w="1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22,204</w:t>
            </w:r>
          </w:p>
        </w:tc>
        <w:tc>
          <w:tcPr>
            <w:tcW w:w="88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40" w:type="dxa"/>
            <w:vAlign w:val="bottom"/>
            <w:gridSpan w:val="6"/>
          </w:tcPr>
          <w:p>
            <w:pPr>
              <w:spacing w:after="0"/>
              <w:rPr>
                <w:sz w:val="20"/>
                <w:szCs w:val="20"/>
                <w:color w:val="auto"/>
              </w:rPr>
            </w:pPr>
            <w:r>
              <w:rPr>
                <w:rFonts w:ascii="Arial" w:cs="Arial" w:eastAsia="Arial" w:hAnsi="Arial"/>
                <w:sz w:val="11"/>
                <w:szCs w:val="11"/>
                <w:b w:val="1"/>
                <w:bCs w:val="1"/>
                <w:color w:val="auto"/>
              </w:rPr>
              <w:t>(a)</w:t>
            </w: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840" w:type="dxa"/>
            <w:vAlign w:val="bottom"/>
            <w:gridSpan w:val="6"/>
          </w:tcPr>
          <w:p>
            <w:pPr>
              <w:spacing w:after="0"/>
              <w:rPr>
                <w:sz w:val="20"/>
                <w:szCs w:val="20"/>
                <w:color w:val="auto"/>
              </w:rPr>
            </w:pPr>
            <w:r>
              <w:rPr>
                <w:rFonts w:ascii="Arial" w:cs="Arial" w:eastAsia="Arial" w:hAnsi="Arial"/>
                <w:sz w:val="11"/>
                <w:szCs w:val="11"/>
                <w:b w:val="1"/>
                <w:bCs w:val="1"/>
                <w:color w:val="auto"/>
              </w:rPr>
              <w:t>NET CHARGE-OFF/(RECOVERY)</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80" w:type="dxa"/>
            <w:vAlign w:val="bottom"/>
            <w:tcBorders>
              <w:top w:val="single" w:sz="8" w:color="auto"/>
            </w:tcBorders>
            <w:gridSpan w:val="4"/>
          </w:tcPr>
          <w:p>
            <w:pPr>
              <w:spacing w:after="0" w:line="88" w:lineRule="exact"/>
              <w:rPr>
                <w:sz w:val="20"/>
                <w:szCs w:val="20"/>
                <w:color w:val="auto"/>
              </w:rPr>
            </w:pPr>
            <w:r>
              <w:rPr>
                <w:rFonts w:ascii="Arial" w:cs="Arial" w:eastAsia="Arial" w:hAnsi="Arial"/>
                <w:sz w:val="10"/>
                <w:szCs w:val="10"/>
                <w:b w:val="1"/>
                <w:bCs w:val="1"/>
                <w:color w:val="auto"/>
              </w:rPr>
              <w:t>RATES</w:t>
            </w:r>
          </w:p>
        </w:tc>
        <w:tc>
          <w:tcPr>
            <w:tcW w:w="16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gridSpan w:val="6"/>
          </w:tcPr>
          <w:p>
            <w:pPr>
              <w:spacing w:after="0"/>
              <w:rPr>
                <w:sz w:val="20"/>
                <w:szCs w:val="20"/>
                <w:color w:val="auto"/>
              </w:rPr>
            </w:pPr>
            <w:r>
              <w:rPr>
                <w:rFonts w:ascii="Arial" w:cs="Arial" w:eastAsia="Arial" w:hAnsi="Arial"/>
                <w:sz w:val="11"/>
                <w:szCs w:val="11"/>
                <w:color w:val="auto"/>
              </w:rPr>
              <w:t>Consumer retained, excluding credit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0.21 %</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0.17 %</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0.14 %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0.18 %</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0.16 %</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0.17 %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0.09 %</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40" w:type="dxa"/>
            <w:vAlign w:val="bottom"/>
            <w:gridSpan w:val="6"/>
          </w:tcPr>
          <w:p>
            <w:pPr>
              <w:spacing w:after="0"/>
              <w:rPr>
                <w:sz w:val="20"/>
                <w:szCs w:val="20"/>
                <w:color w:val="auto"/>
              </w:rPr>
            </w:pPr>
            <w:r>
              <w:rPr>
                <w:rFonts w:ascii="Arial" w:cs="Arial" w:eastAsia="Arial" w:hAnsi="Arial"/>
                <w:sz w:val="11"/>
                <w:szCs w:val="11"/>
                <w:color w:val="auto"/>
              </w:rPr>
              <w:t>card loans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gridSpan w:val="6"/>
          </w:tcPr>
          <w:p>
            <w:pPr>
              <w:spacing w:after="0"/>
              <w:rPr>
                <w:sz w:val="20"/>
                <w:szCs w:val="20"/>
                <w:color w:val="auto"/>
              </w:rPr>
            </w:pPr>
            <w:r>
              <w:rPr>
                <w:rFonts w:ascii="Arial" w:cs="Arial" w:eastAsia="Arial" w:hAnsi="Arial"/>
                <w:sz w:val="11"/>
                <w:szCs w:val="11"/>
                <w:color w:val="auto"/>
              </w:rPr>
              <w:t>Credit card retained loans</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2.79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2.49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2.41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1.62</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2.45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1.47</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gridSpan w:val="6"/>
          </w:tcPr>
          <w:p>
            <w:pPr>
              <w:spacing w:after="0"/>
              <w:rPr>
                <w:sz w:val="20"/>
                <w:szCs w:val="20"/>
                <w:color w:val="auto"/>
              </w:rPr>
            </w:pPr>
            <w:r>
              <w:rPr>
                <w:rFonts w:ascii="Arial" w:cs="Arial" w:eastAsia="Arial" w:hAnsi="Arial"/>
                <w:sz w:val="11"/>
                <w:szCs w:val="11"/>
                <w:color w:val="auto"/>
              </w:rPr>
              <w:t>Total consumer retained loans</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1.08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0.93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0.91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0.89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0.70</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0.96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0.58</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gridSpan w:val="6"/>
          </w:tcPr>
          <w:p>
            <w:pPr>
              <w:spacing w:after="0"/>
              <w:rPr>
                <w:sz w:val="20"/>
                <w:szCs w:val="20"/>
                <w:color w:val="auto"/>
              </w:rPr>
            </w:pPr>
            <w:r>
              <w:rPr>
                <w:rFonts w:ascii="Arial" w:cs="Arial" w:eastAsia="Arial" w:hAnsi="Arial"/>
                <w:sz w:val="11"/>
                <w:szCs w:val="11"/>
                <w:color w:val="auto"/>
              </w:rPr>
              <w:t>Wholesale retained loans</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0.31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0.06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0.10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0.06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0.03</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0.14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0.03</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40" w:type="dxa"/>
            <w:vAlign w:val="bottom"/>
            <w:gridSpan w:val="6"/>
          </w:tcPr>
          <w:p>
            <w:pPr>
              <w:spacing w:after="0"/>
              <w:rPr>
                <w:sz w:val="20"/>
                <w:szCs w:val="20"/>
                <w:color w:val="auto"/>
              </w:rPr>
            </w:pPr>
            <w:r>
              <w:rPr>
                <w:rFonts w:ascii="Arial" w:cs="Arial" w:eastAsia="Arial" w:hAnsi="Arial"/>
                <w:sz w:val="11"/>
                <w:szCs w:val="11"/>
                <w:b w:val="1"/>
                <w:bCs w:val="1"/>
                <w:color w:val="auto"/>
              </w:rPr>
              <w:t>Total retained loans</w:t>
            </w: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0.68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0.47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0.47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0.43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0.33</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0.52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0.27</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gridSpan w:val="6"/>
          </w:tcPr>
          <w:p>
            <w:pPr>
              <w:spacing w:after="0"/>
              <w:rPr>
                <w:sz w:val="20"/>
                <w:szCs w:val="20"/>
                <w:color w:val="auto"/>
              </w:rPr>
            </w:pPr>
            <w:r>
              <w:rPr>
                <w:rFonts w:ascii="Arial" w:cs="Arial" w:eastAsia="Arial" w:hAnsi="Arial"/>
                <w:sz w:val="11"/>
                <w:szCs w:val="11"/>
                <w:b w:val="1"/>
                <w:bCs w:val="1"/>
                <w:color w:val="auto"/>
              </w:rPr>
              <w:t>Memo: Average retained loans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gridSpan w:val="6"/>
          </w:tcPr>
          <w:p>
            <w:pPr>
              <w:spacing w:after="0"/>
              <w:rPr>
                <w:sz w:val="20"/>
                <w:szCs w:val="20"/>
                <w:color w:val="auto"/>
              </w:rPr>
            </w:pPr>
            <w:r>
              <w:rPr>
                <w:rFonts w:ascii="Arial" w:cs="Arial" w:eastAsia="Arial" w:hAnsi="Arial"/>
                <w:sz w:val="11"/>
                <w:szCs w:val="11"/>
                <w:color w:val="auto"/>
              </w:rPr>
              <w:t>Consumer retained, excluding credit</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397,819</w:t>
            </w:r>
          </w:p>
        </w:tc>
        <w:tc>
          <w:tcPr>
            <w:tcW w:w="18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396,788</w:t>
            </w:r>
          </w:p>
        </w:tc>
        <w:tc>
          <w:tcPr>
            <w:tcW w:w="18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359,543</w:t>
            </w:r>
          </w:p>
        </w:tc>
        <w:tc>
          <w:tcPr>
            <w:tcW w:w="2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300,585</w:t>
            </w:r>
          </w:p>
        </w:tc>
        <w:tc>
          <w:tcPr>
            <w:tcW w:w="2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301,093</w:t>
            </w:r>
          </w:p>
        </w:tc>
        <w:tc>
          <w:tcPr>
            <w:tcW w:w="180" w:type="dxa"/>
            <w:vAlign w:val="bottom"/>
          </w:tcPr>
          <w:p>
            <w:pPr>
              <w:spacing w:after="0"/>
              <w:rPr>
                <w:sz w:val="11"/>
                <w:szCs w:val="11"/>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86"/>
              <w:spacing w:after="0"/>
              <w:rPr>
                <w:sz w:val="20"/>
                <w:szCs w:val="20"/>
                <w:color w:val="auto"/>
              </w:rPr>
            </w:pPr>
            <w:r>
              <w:rPr>
                <w:rFonts w:ascii="Arial" w:cs="Arial" w:eastAsia="Arial" w:hAnsi="Arial"/>
                <w:sz w:val="11"/>
                <w:szCs w:val="11"/>
                <w:color w:val="auto"/>
              </w:rPr>
              <w:t>32</w:t>
            </w:r>
          </w:p>
        </w:tc>
        <w:tc>
          <w:tcPr>
            <w:tcW w:w="36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364,061</w:t>
            </w:r>
          </w:p>
        </w:tc>
        <w:tc>
          <w:tcPr>
            <w:tcW w:w="22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299,409</w:t>
            </w:r>
          </w:p>
        </w:tc>
        <w:tc>
          <w:tcPr>
            <w:tcW w:w="88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40" w:type="dxa"/>
            <w:vAlign w:val="bottom"/>
            <w:gridSpan w:val="6"/>
          </w:tcPr>
          <w:p>
            <w:pPr>
              <w:spacing w:after="0"/>
              <w:rPr>
                <w:sz w:val="20"/>
                <w:szCs w:val="20"/>
                <w:color w:val="auto"/>
              </w:rPr>
            </w:pPr>
            <w:r>
              <w:rPr>
                <w:rFonts w:ascii="Arial" w:cs="Arial" w:eastAsia="Arial" w:hAnsi="Arial"/>
                <w:sz w:val="11"/>
                <w:szCs w:val="11"/>
                <w:color w:val="auto"/>
              </w:rPr>
              <w:t>card loans</w:t>
            </w:r>
          </w:p>
        </w:tc>
        <w:tc>
          <w:tcPr>
            <w:tcW w:w="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40" w:type="dxa"/>
            <w:vAlign w:val="bottom"/>
            <w:gridSpan w:val="6"/>
          </w:tcPr>
          <w:p>
            <w:pPr>
              <w:spacing w:after="0"/>
              <w:rPr>
                <w:sz w:val="20"/>
                <w:szCs w:val="20"/>
                <w:color w:val="auto"/>
              </w:rPr>
            </w:pPr>
            <w:r>
              <w:rPr>
                <w:rFonts w:ascii="Arial" w:cs="Arial" w:eastAsia="Arial" w:hAnsi="Arial"/>
                <w:sz w:val="11"/>
                <w:szCs w:val="11"/>
                <w:color w:val="auto"/>
              </w:rPr>
              <w:t>Credit card retained loans</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202,652</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195,232</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187,027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180,451</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177,026</w:t>
            </w:r>
          </w:p>
        </w:tc>
        <w:tc>
          <w:tcPr>
            <w:tcW w:w="700" w:type="dxa"/>
            <w:vAlign w:val="bottom"/>
            <w:gridSpan w:val="2"/>
          </w:tcPr>
          <w:p>
            <w:pPr>
              <w:jc w:val="right"/>
              <w:ind w:right="8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14</w:t>
            </w: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191,412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163,335</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40" w:type="dxa"/>
            <w:vAlign w:val="bottom"/>
            <w:gridSpan w:val="6"/>
          </w:tcPr>
          <w:p>
            <w:pPr>
              <w:ind w:left="120"/>
              <w:spacing w:after="0" w:line="95" w:lineRule="exact"/>
              <w:rPr>
                <w:sz w:val="20"/>
                <w:szCs w:val="20"/>
                <w:color w:val="auto"/>
              </w:rPr>
            </w:pPr>
            <w:r>
              <w:rPr>
                <w:rFonts w:ascii="Arial" w:cs="Arial" w:eastAsia="Arial" w:hAnsi="Arial"/>
                <w:sz w:val="10"/>
                <w:szCs w:val="10"/>
                <w:color w:val="auto"/>
              </w:rPr>
              <w:t>Total average retained consumer</w:t>
            </w:r>
          </w:p>
        </w:tc>
        <w:tc>
          <w:tcPr>
            <w:tcW w:w="100" w:type="dxa"/>
            <w:vAlign w:val="bottom"/>
          </w:tcPr>
          <w:p>
            <w:pPr>
              <w:spacing w:after="0"/>
              <w:rPr>
                <w:sz w:val="8"/>
                <w:szCs w:val="8"/>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600,471</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592,020</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546,570</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481,036</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478,119</w:t>
            </w:r>
          </w:p>
        </w:tc>
        <w:tc>
          <w:tcPr>
            <w:tcW w:w="700" w:type="dxa"/>
            <w:vAlign w:val="bottom"/>
            <w:gridSpan w:val="2"/>
            <w:vMerge w:val="restart"/>
          </w:tcPr>
          <w:p>
            <w:pPr>
              <w:jc w:val="right"/>
              <w:ind w:right="8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8"/>
                <w:szCs w:val="8"/>
                <w:color w:val="auto"/>
              </w:rPr>
            </w:pPr>
          </w:p>
        </w:tc>
        <w:tc>
          <w:tcPr>
            <w:tcW w:w="480" w:type="dxa"/>
            <w:vAlign w:val="bottom"/>
            <w:vMerge w:val="restart"/>
          </w:tcPr>
          <w:p>
            <w:pPr>
              <w:jc w:val="right"/>
              <w:ind w:right="86"/>
              <w:spacing w:after="0"/>
              <w:rPr>
                <w:sz w:val="20"/>
                <w:szCs w:val="20"/>
                <w:color w:val="auto"/>
              </w:rPr>
            </w:pPr>
            <w:r>
              <w:rPr>
                <w:rFonts w:ascii="Arial" w:cs="Arial" w:eastAsia="Arial" w:hAnsi="Arial"/>
                <w:sz w:val="11"/>
                <w:szCs w:val="11"/>
                <w:color w:val="auto"/>
              </w:rPr>
              <w:t>26</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555,473</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462,744</w:t>
            </w:r>
          </w:p>
        </w:tc>
        <w:tc>
          <w:tcPr>
            <w:tcW w:w="88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40" w:type="dxa"/>
            <w:vAlign w:val="bottom"/>
            <w:gridSpan w:val="6"/>
          </w:tcPr>
          <w:p>
            <w:pPr>
              <w:ind w:left="120"/>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40" w:type="dxa"/>
            <w:vAlign w:val="bottom"/>
            <w:gridSpan w:val="6"/>
          </w:tcPr>
          <w:p>
            <w:pPr>
              <w:spacing w:after="0"/>
              <w:rPr>
                <w:sz w:val="20"/>
                <w:szCs w:val="20"/>
                <w:color w:val="auto"/>
              </w:rPr>
            </w:pPr>
            <w:r>
              <w:rPr>
                <w:rFonts w:ascii="Arial" w:cs="Arial" w:eastAsia="Arial" w:hAnsi="Arial"/>
                <w:sz w:val="11"/>
                <w:szCs w:val="11"/>
                <w:color w:val="auto"/>
              </w:rPr>
              <w:t>Wholesale retained loans</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669,899</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667,825</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647,474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601,401</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599,817</w:t>
            </w:r>
          </w:p>
        </w:tc>
        <w:tc>
          <w:tcPr>
            <w:tcW w:w="180" w:type="dxa"/>
            <w:vAlign w:val="bottom"/>
          </w:tcPr>
          <w:p>
            <w:pPr>
              <w:spacing w:after="0"/>
              <w:rPr>
                <w:sz w:val="15"/>
                <w:szCs w:val="15"/>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646,875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582,021</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40" w:type="dxa"/>
            <w:vAlign w:val="bottom"/>
            <w:gridSpan w:val="6"/>
          </w:tcPr>
          <w:p>
            <w:pPr>
              <w:ind w:left="120"/>
              <w:spacing w:after="0"/>
              <w:rPr>
                <w:sz w:val="20"/>
                <w:szCs w:val="20"/>
                <w:color w:val="auto"/>
              </w:rPr>
            </w:pPr>
            <w:r>
              <w:rPr>
                <w:rFonts w:ascii="Arial" w:cs="Arial" w:eastAsia="Arial" w:hAnsi="Arial"/>
                <w:sz w:val="11"/>
                <w:szCs w:val="11"/>
                <w:b w:val="1"/>
                <w:bCs w:val="1"/>
                <w:color w:val="auto"/>
              </w:rPr>
              <w:t>Total average retained loans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3"/>
              </w:rPr>
              <w:t>1,270,370</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7"/>
              </w:rPr>
              <w:t>1,259,845</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7"/>
              </w:rPr>
              <w:t>1,194,044</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1,082,437</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3"/>
              </w:rPr>
              <w:t>1,077,936</w:t>
            </w:r>
          </w:p>
        </w:tc>
        <w:tc>
          <w:tcPr>
            <w:tcW w:w="700" w:type="dxa"/>
            <w:vAlign w:val="bottom"/>
            <w:gridSpan w:val="2"/>
          </w:tcPr>
          <w:p>
            <w:pPr>
              <w:jc w:val="right"/>
              <w:ind w:right="8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3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7"/>
              </w:rPr>
              <w:t>1,202,348</w:t>
            </w:r>
          </w:p>
        </w:tc>
        <w:tc>
          <w:tcPr>
            <w:tcW w:w="220" w:type="dxa"/>
            <w:vAlign w:val="bottom"/>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1,044,765</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48"/>
        </w:trPr>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right="340" w:hanging="172"/>
        <w:spacing w:after="0" w:line="249" w:lineRule="auto"/>
        <w:tabs>
          <w:tab w:leader="none" w:pos="177" w:val="left"/>
        </w:tabs>
        <w:numPr>
          <w:ilvl w:val="0"/>
          <w:numId w:val="32"/>
        </w:numPr>
        <w:rPr>
          <w:rFonts w:ascii="Arial" w:cs="Arial" w:eastAsia="Arial" w:hAnsi="Arial"/>
          <w:sz w:val="11"/>
          <w:szCs w:val="11"/>
          <w:color w:val="auto"/>
        </w:rPr>
      </w:pPr>
      <w:r>
        <w:rPr>
          <w:rFonts w:ascii="Arial" w:cs="Arial" w:eastAsia="Arial" w:hAnsi="Arial"/>
          <w:sz w:val="11"/>
          <w:szCs w:val="11"/>
          <w:color w:val="auto"/>
        </w:rPr>
        <w:t>At December 31, 2023, September 30, 2023, June 30, 2023, March 31, 2023 and December 31, 2022 excludes an allowance for credit losses associated with certain accounts receivable in CIB of $243 million, $17 million, $18 million, $20 million and $21 million, respectively, and at March 31, 2023, excludes an allowance for credit losses associated with certain other assets in Corporate of $241 million.</w:t>
      </w:r>
    </w:p>
    <w:p>
      <w:pPr>
        <w:ind w:left="160" w:hanging="152"/>
        <w:spacing w:after="0" w:line="236" w:lineRule="auto"/>
        <w:tabs>
          <w:tab w:leader="none" w:pos="1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Included $1.2 billion of provision for credit losses associated with the First Republic acquisition.</w:t>
      </w:r>
    </w:p>
    <w:p>
      <w:pPr>
        <w:ind w:left="180" w:right="100" w:hanging="172"/>
        <w:spacing w:after="0" w:line="250" w:lineRule="auto"/>
        <w:tabs>
          <w:tab w:leader="none" w:pos="171" w:val="left"/>
        </w:tabs>
        <w:numPr>
          <w:ilvl w:val="0"/>
          <w:numId w:val="32"/>
        </w:numPr>
        <w:rPr>
          <w:rFonts w:ascii="Arial" w:cs="Arial" w:eastAsia="Arial" w:hAnsi="Arial"/>
          <w:sz w:val="11"/>
          <w:szCs w:val="11"/>
          <w:color w:val="auto"/>
        </w:rPr>
      </w:pPr>
      <w:r>
        <w:rPr>
          <w:rFonts w:ascii="Arial" w:cs="Arial" w:eastAsia="Arial" w:hAnsi="Arial"/>
          <w:sz w:val="11"/>
          <w:szCs w:val="11"/>
          <w:color w:val="auto"/>
        </w:rPr>
        <w:t>On January 1, 2023, the Firm adopted the Financial Instruments - Credit Losses: Troubled Debt Restructurings accounting guidance. The adoption of this guidance eliminated the existing accounting and disclosure requirements for trouble debt restructurings (“TDRs”), including the requirement to measure the allowance using a discounted cash flow (“DCF”) methodology. The Firm elected to apply its portfolio-based allowance approach to substantially all its non-collateral dependent modified loans to troubled borrowers, resulting in a net decrease in the beginning balance of the allowance for loan losses of $587 million, predominantly driven by residential real estate and credit card. Refer to Note 1 of the Firm’s Quarterly Report on Form 10-Q for the quarterly period ended March 31, 2023 for further information.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28</w:t>
      </w:r>
    </w:p>
    <w:p>
      <w:pPr>
        <w:sectPr>
          <w:pgSz w:w="11900" w:h="16838" w:orient="portrait"/>
          <w:cols w:equalWidth="0" w:num="1">
            <w:col w:w="11240"/>
          </w:cols>
          <w:pgMar w:left="320" w:top="869"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13970</wp:posOffset>
            </wp:positionV>
            <wp:extent cx="237426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20" w:lineRule="exact"/>
        <w:rPr>
          <w:sz w:val="20"/>
          <w:szCs w:val="20"/>
          <w:color w:val="auto"/>
        </w:rPr>
      </w:pPr>
    </w:p>
    <w:p>
      <w:pPr>
        <w:ind w:left="20" w:right="8880"/>
        <w:spacing w:after="0" w:line="256" w:lineRule="auto"/>
        <w:rPr>
          <w:sz w:val="20"/>
          <w:szCs w:val="20"/>
          <w:color w:val="auto"/>
        </w:rPr>
      </w:pPr>
      <w:r>
        <w:rPr>
          <w:rFonts w:ascii="Arial" w:cs="Arial" w:eastAsia="Arial" w:hAnsi="Arial"/>
          <w:sz w:val="14"/>
          <w:szCs w:val="14"/>
          <w:b w:val="1"/>
          <w:bCs w:val="1"/>
          <w:color w:val="auto"/>
        </w:rPr>
        <w:t>CREDIT-RELATED INFORMATION, CONTINUED</w:t>
      </w: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Dec 31, 2023</w:t>
            </w:r>
          </w:p>
        </w:tc>
        <w:tc>
          <w:tcPr>
            <w:tcW w:w="0" w:type="dxa"/>
            <w:vAlign w:val="bottom"/>
          </w:tcPr>
          <w:p>
            <w:pPr>
              <w:spacing w:after="0"/>
              <w:rPr>
                <w:sz w:val="1"/>
                <w:szCs w:val="1"/>
                <w:color w:val="auto"/>
              </w:rPr>
            </w:pPr>
          </w:p>
        </w:tc>
      </w:tr>
      <w:tr>
        <w:trPr>
          <w:trHeight w:val="170"/>
        </w:trPr>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446"/>
              <w:spacing w:after="0"/>
              <w:rPr>
                <w:sz w:val="20"/>
                <w:szCs w:val="20"/>
                <w:color w:val="auto"/>
              </w:rPr>
            </w:pPr>
            <w:r>
              <w:rPr>
                <w:rFonts w:ascii="Arial" w:cs="Arial" w:eastAsia="Arial" w:hAnsi="Arial"/>
                <w:sz w:val="11"/>
                <w:szCs w:val="11"/>
                <w:b w:val="1"/>
                <w:bCs w:val="1"/>
                <w:color w:val="auto"/>
                <w:w w:val="99"/>
              </w:rPr>
              <w:t>Change</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w w:val="98"/>
              </w:rPr>
              <w:t>Dec 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w w:val="98"/>
              </w:rPr>
              <w:t>Sep 30,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Jun 30,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Dec 31,</w:t>
            </w:r>
          </w:p>
        </w:tc>
        <w:tc>
          <w:tcPr>
            <w:tcW w:w="240" w:type="dxa"/>
            <w:vAlign w:val="bottom"/>
          </w:tcPr>
          <w:p>
            <w:pPr>
              <w:spacing w:after="0"/>
              <w:rPr>
                <w:sz w:val="12"/>
                <w:szCs w:val="12"/>
                <w:color w:val="auto"/>
              </w:rPr>
            </w:pPr>
          </w:p>
        </w:tc>
        <w:tc>
          <w:tcPr>
            <w:tcW w:w="940" w:type="dxa"/>
            <w:vAlign w:val="bottom"/>
            <w:gridSpan w:val="3"/>
          </w:tcPr>
          <w:p>
            <w:pPr>
              <w:ind w:left="100"/>
              <w:spacing w:after="0"/>
              <w:rPr>
                <w:sz w:val="20"/>
                <w:szCs w:val="20"/>
                <w:color w:val="auto"/>
              </w:rPr>
            </w:pPr>
            <w:r>
              <w:rPr>
                <w:rFonts w:ascii="Arial" w:cs="Arial" w:eastAsia="Arial" w:hAnsi="Arial"/>
                <w:sz w:val="11"/>
                <w:szCs w:val="11"/>
                <w:b w:val="1"/>
                <w:bCs w:val="1"/>
                <w:color w:val="auto"/>
              </w:rPr>
              <w:t>Sep 30,</w:t>
            </w:r>
          </w:p>
        </w:tc>
        <w:tc>
          <w:tcPr>
            <w:tcW w:w="500" w:type="dxa"/>
            <w:vAlign w:val="bottom"/>
          </w:tcPr>
          <w:p>
            <w:pPr>
              <w:jc w:val="right"/>
              <w:ind w:right="66"/>
              <w:spacing w:after="0"/>
              <w:rPr>
                <w:sz w:val="20"/>
                <w:szCs w:val="20"/>
                <w:color w:val="auto"/>
              </w:rPr>
            </w:pPr>
            <w:r>
              <w:rPr>
                <w:rFonts w:ascii="Arial" w:cs="Arial" w:eastAsia="Arial" w:hAnsi="Arial"/>
                <w:sz w:val="11"/>
                <w:szCs w:val="11"/>
                <w:b w:val="1"/>
                <w:bCs w:val="1"/>
                <w:color w:val="auto"/>
                <w:w w:val="93"/>
              </w:rPr>
              <w:t>Dec 31,</w:t>
            </w:r>
          </w:p>
        </w:tc>
        <w:tc>
          <w:tcPr>
            <w:tcW w:w="0" w:type="dxa"/>
            <w:vAlign w:val="bottom"/>
          </w:tcPr>
          <w:p>
            <w:pPr>
              <w:spacing w:after="0"/>
              <w:rPr>
                <w:sz w:val="1"/>
                <w:szCs w:val="1"/>
                <w:color w:val="auto"/>
              </w:rPr>
            </w:pPr>
          </w:p>
        </w:tc>
      </w:tr>
      <w:tr>
        <w:trPr>
          <w:trHeight w:val="170"/>
        </w:trPr>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2023</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14"/>
                <w:szCs w:val="14"/>
                <w:color w:val="auto"/>
              </w:rPr>
            </w:pP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8"/>
        </w:trPr>
        <w:tc>
          <w:tcPr>
            <w:tcW w:w="1820" w:type="dxa"/>
            <w:vAlign w:val="bottom"/>
            <w:gridSpan w:val="4"/>
          </w:tcPr>
          <w:p>
            <w:pPr>
              <w:spacing w:after="0" w:line="108" w:lineRule="exact"/>
              <w:rPr>
                <w:sz w:val="20"/>
                <w:szCs w:val="20"/>
                <w:color w:val="auto"/>
              </w:rPr>
            </w:pPr>
            <w:r>
              <w:rPr>
                <w:rFonts w:ascii="Arial" w:cs="Arial" w:eastAsia="Arial" w:hAnsi="Arial"/>
                <w:sz w:val="11"/>
                <w:szCs w:val="11"/>
                <w:b w:val="1"/>
                <w:bCs w:val="1"/>
                <w:color w:val="auto"/>
                <w:w w:val="99"/>
              </w:rPr>
              <w:t>ALLOWANCE COMPONENTS AND</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76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RATIOS</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820" w:type="dxa"/>
            <w:vAlign w:val="bottom"/>
            <w:gridSpan w:val="4"/>
          </w:tcPr>
          <w:p>
            <w:pPr>
              <w:spacing w:after="0"/>
              <w:rPr>
                <w:sz w:val="20"/>
                <w:szCs w:val="20"/>
                <w:color w:val="auto"/>
              </w:rPr>
            </w:pPr>
            <w:r>
              <w:rPr>
                <w:rFonts w:ascii="Arial" w:cs="Arial" w:eastAsia="Arial" w:hAnsi="Arial"/>
                <w:sz w:val="11"/>
                <w:szCs w:val="11"/>
                <w:b w:val="1"/>
                <w:bCs w:val="1"/>
                <w:color w:val="auto"/>
              </w:rPr>
              <w:t>ALLOWANCE FOR LOAN LOSSES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gridSpan w:val="4"/>
          </w:tcPr>
          <w:p>
            <w:pPr>
              <w:spacing w:after="0"/>
              <w:rPr>
                <w:sz w:val="20"/>
                <w:szCs w:val="20"/>
                <w:color w:val="auto"/>
              </w:rPr>
            </w:pPr>
            <w:r>
              <w:rPr>
                <w:rFonts w:ascii="Arial" w:cs="Arial" w:eastAsia="Arial" w:hAnsi="Arial"/>
                <w:sz w:val="11"/>
                <w:szCs w:val="11"/>
                <w:b w:val="1"/>
                <w:bCs w:val="1"/>
                <w:color w:val="auto"/>
              </w:rPr>
              <w:t>Consumer, excluding credit card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20" w:type="dxa"/>
            <w:vAlign w:val="bottom"/>
            <w:gridSpan w:val="4"/>
          </w:tcPr>
          <w:p>
            <w:pPr>
              <w:spacing w:after="0"/>
              <w:rPr>
                <w:sz w:val="20"/>
                <w:szCs w:val="20"/>
                <w:color w:val="auto"/>
              </w:rPr>
            </w:pPr>
            <w:r>
              <w:rPr>
                <w:rFonts w:ascii="Arial" w:cs="Arial" w:eastAsia="Arial" w:hAnsi="Arial"/>
                <w:sz w:val="11"/>
                <w:szCs w:val="11"/>
                <w:color w:val="auto"/>
              </w:rPr>
              <w:t>Asset-specific (a)</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(876)</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(942)</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(971)</w:t>
            </w:r>
          </w:p>
        </w:tc>
        <w:tc>
          <w:tcPr>
            <w:tcW w:w="26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(1,030)</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(624)</w:t>
            </w:r>
          </w:p>
        </w:tc>
        <w:tc>
          <w:tcPr>
            <w:tcW w:w="240" w:type="dxa"/>
            <w:vAlign w:val="bottom"/>
          </w:tcPr>
          <w:p>
            <w:pPr>
              <w:ind w:left="60"/>
              <w:spacing w:after="0"/>
              <w:rPr>
                <w:sz w:val="20"/>
                <w:szCs w:val="20"/>
                <w:color w:val="auto"/>
              </w:rPr>
            </w:pPr>
            <w:r>
              <w:rPr>
                <w:rFonts w:ascii="Arial" w:cs="Arial" w:eastAsia="Arial" w:hAnsi="Arial"/>
                <w:sz w:val="11"/>
                <w:szCs w:val="11"/>
                <w:color w:val="auto"/>
              </w:rPr>
              <w:t>(e)</w:t>
            </w:r>
          </w:p>
        </w:tc>
        <w:tc>
          <w:tcPr>
            <w:tcW w:w="600" w:type="dxa"/>
            <w:vAlign w:val="bottom"/>
          </w:tcPr>
          <w:p>
            <w:pPr>
              <w:jc w:val="right"/>
              <w:spacing w:after="0"/>
              <w:rPr>
                <w:sz w:val="20"/>
                <w:szCs w:val="20"/>
                <w:color w:val="auto"/>
              </w:rPr>
            </w:pPr>
            <w:r>
              <w:rPr>
                <w:rFonts w:ascii="Arial" w:cs="Arial" w:eastAsia="Arial" w:hAnsi="Arial"/>
                <w:sz w:val="11"/>
                <w:szCs w:val="11"/>
                <w:color w:val="auto"/>
              </w:rPr>
              <w:t>7 %</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75"/>
        </w:trPr>
        <w:tc>
          <w:tcPr>
            <w:tcW w:w="1820" w:type="dxa"/>
            <w:vAlign w:val="bottom"/>
            <w:gridSpan w:val="4"/>
          </w:tcPr>
          <w:p>
            <w:pPr>
              <w:ind w:left="120"/>
              <w:spacing w:after="0"/>
              <w:rPr>
                <w:sz w:val="20"/>
                <w:szCs w:val="20"/>
                <w:color w:val="auto"/>
              </w:rPr>
            </w:pPr>
            <w:r>
              <w:rPr>
                <w:rFonts w:ascii="Arial" w:cs="Arial" w:eastAsia="Arial" w:hAnsi="Arial"/>
                <w:sz w:val="11"/>
                <w:szCs w:val="11"/>
                <w:color w:val="auto"/>
              </w:rPr>
              <w:t>Portfolio-based</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2,732</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2,796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3,019</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2,696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2,664</w:t>
            </w:r>
          </w:p>
        </w:tc>
        <w:tc>
          <w:tcPr>
            <w:tcW w:w="240" w:type="dxa"/>
            <w:vAlign w:val="bottom"/>
          </w:tcPr>
          <w:p>
            <w:pPr>
              <w:ind w:left="60"/>
              <w:spacing w:after="0"/>
              <w:rPr>
                <w:sz w:val="20"/>
                <w:szCs w:val="20"/>
                <w:color w:val="auto"/>
              </w:rPr>
            </w:pPr>
            <w:r>
              <w:rPr>
                <w:rFonts w:ascii="Arial" w:cs="Arial" w:eastAsia="Arial" w:hAnsi="Arial"/>
                <w:sz w:val="11"/>
                <w:szCs w:val="11"/>
                <w:color w:val="auto"/>
              </w:rPr>
              <w:t>(e)</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95"/>
        </w:trPr>
        <w:tc>
          <w:tcPr>
            <w:tcW w:w="1820" w:type="dxa"/>
            <w:vAlign w:val="bottom"/>
            <w:gridSpan w:val="4"/>
          </w:tcPr>
          <w:p>
            <w:pPr>
              <w:ind w:left="200"/>
              <w:spacing w:after="0" w:line="95" w:lineRule="exact"/>
              <w:rPr>
                <w:sz w:val="20"/>
                <w:szCs w:val="20"/>
                <w:color w:val="auto"/>
              </w:rPr>
            </w:pPr>
            <w:r>
              <w:rPr>
                <w:rFonts w:ascii="Arial" w:cs="Arial" w:eastAsia="Arial" w:hAnsi="Arial"/>
                <w:sz w:val="10"/>
                <w:szCs w:val="10"/>
                <w:b w:val="1"/>
                <w:bCs w:val="1"/>
                <w:color w:val="auto"/>
              </w:rPr>
              <w:t>Total consumer, excluding</w:t>
            </w:r>
          </w:p>
        </w:tc>
        <w:tc>
          <w:tcPr>
            <w:tcW w:w="120" w:type="dxa"/>
            <w:vAlign w:val="bottom"/>
          </w:tcPr>
          <w:p>
            <w:pPr>
              <w:spacing w:after="0"/>
              <w:rPr>
                <w:sz w:val="8"/>
                <w:szCs w:val="8"/>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1,856</w:t>
            </w:r>
          </w:p>
        </w:tc>
        <w:tc>
          <w:tcPr>
            <w:tcW w:w="240" w:type="dxa"/>
            <w:vAlign w:val="bottom"/>
            <w:vMerge w:val="restart"/>
          </w:tcPr>
          <w:p>
            <w:pPr>
              <w:ind w:left="20"/>
              <w:spacing w:after="0"/>
              <w:rPr>
                <w:sz w:val="20"/>
                <w:szCs w:val="20"/>
                <w:color w:val="auto"/>
              </w:rPr>
            </w:pPr>
            <w:r>
              <w:rPr>
                <w:rFonts w:ascii="Arial" w:cs="Arial" w:eastAsia="Arial" w:hAnsi="Arial"/>
                <w:sz w:val="11"/>
                <w:szCs w:val="11"/>
                <w:color w:val="auto"/>
              </w:rPr>
              <w:t>(d)</w:t>
            </w:r>
          </w:p>
        </w:tc>
        <w:tc>
          <w:tcPr>
            <w:tcW w:w="100" w:type="dxa"/>
            <w:vAlign w:val="bottom"/>
          </w:tcPr>
          <w:p>
            <w:pPr>
              <w:spacing w:after="0"/>
              <w:rPr>
                <w:sz w:val="8"/>
                <w:szCs w:val="8"/>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1,854</w:t>
            </w:r>
          </w:p>
        </w:tc>
        <w:tc>
          <w:tcPr>
            <w:tcW w:w="240" w:type="dxa"/>
            <w:vAlign w:val="bottom"/>
            <w:vMerge w:val="restart"/>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8"/>
                <w:szCs w:val="8"/>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2,048</w:t>
            </w:r>
          </w:p>
        </w:tc>
        <w:tc>
          <w:tcPr>
            <w:tcW w:w="260" w:type="dxa"/>
            <w:vAlign w:val="bottom"/>
            <w:vMerge w:val="restart"/>
          </w:tcPr>
          <w:p>
            <w:pPr>
              <w:ind w:left="20"/>
              <w:spacing w:after="0"/>
              <w:rPr>
                <w:sz w:val="20"/>
                <w:szCs w:val="20"/>
                <w:color w:val="auto"/>
              </w:rPr>
            </w:pPr>
            <w:r>
              <w:rPr>
                <w:rFonts w:ascii="Arial" w:cs="Arial" w:eastAsia="Arial" w:hAnsi="Arial"/>
                <w:sz w:val="11"/>
                <w:szCs w:val="11"/>
                <w:color w:val="auto"/>
              </w:rPr>
              <w:t>(d)</w:t>
            </w:r>
          </w:p>
        </w:tc>
        <w:tc>
          <w:tcPr>
            <w:tcW w:w="120" w:type="dxa"/>
            <w:vAlign w:val="bottom"/>
          </w:tcPr>
          <w:p>
            <w:pPr>
              <w:spacing w:after="0"/>
              <w:rPr>
                <w:sz w:val="8"/>
                <w:szCs w:val="8"/>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1,666</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2,040</w:t>
            </w:r>
          </w:p>
        </w:tc>
        <w:tc>
          <w:tcPr>
            <w:tcW w:w="240" w:type="dxa"/>
            <w:vAlign w:val="bottom"/>
          </w:tcPr>
          <w:p>
            <w:pPr>
              <w:spacing w:after="0"/>
              <w:rPr>
                <w:sz w:val="8"/>
                <w:szCs w:val="8"/>
                <w:color w:val="auto"/>
              </w:rPr>
            </w:pPr>
          </w:p>
        </w:tc>
        <w:tc>
          <w:tcPr>
            <w:tcW w:w="940" w:type="dxa"/>
            <w:vAlign w:val="bottom"/>
            <w:gridSpan w:val="3"/>
            <w:vMerge w:val="restart"/>
          </w:tcPr>
          <w:p>
            <w:pPr>
              <w:jc w:val="right"/>
              <w:ind w:right="500"/>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8"/>
        </w:trPr>
        <w:tc>
          <w:tcPr>
            <w:tcW w:w="1820" w:type="dxa"/>
            <w:vAlign w:val="bottom"/>
            <w:gridSpan w:val="4"/>
          </w:tcPr>
          <w:p>
            <w:pPr>
              <w:ind w:left="200"/>
              <w:spacing w:after="0"/>
              <w:rPr>
                <w:sz w:val="20"/>
                <w:szCs w:val="20"/>
                <w:color w:val="auto"/>
              </w:rPr>
            </w:pPr>
            <w:r>
              <w:rPr>
                <w:rFonts w:ascii="Arial" w:cs="Arial" w:eastAsia="Arial" w:hAnsi="Arial"/>
                <w:sz w:val="11"/>
                <w:szCs w:val="11"/>
                <w:b w:val="1"/>
                <w:bCs w:val="1"/>
                <w:color w:val="auto"/>
              </w:rPr>
              <w:t>credit card</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20" w:type="dxa"/>
            <w:vAlign w:val="bottom"/>
            <w:gridSpan w:val="4"/>
          </w:tcPr>
          <w:p>
            <w:pPr>
              <w:spacing w:after="0"/>
              <w:rPr>
                <w:sz w:val="20"/>
                <w:szCs w:val="20"/>
                <w:color w:val="auto"/>
              </w:rPr>
            </w:pPr>
            <w:r>
              <w:rPr>
                <w:rFonts w:ascii="Arial" w:cs="Arial" w:eastAsia="Arial" w:hAnsi="Arial"/>
                <w:sz w:val="11"/>
                <w:szCs w:val="11"/>
                <w:b w:val="1"/>
                <w:bCs w:val="1"/>
                <w:color w:val="auto"/>
              </w:rPr>
              <w:t>Credit card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20" w:type="dxa"/>
            <w:vAlign w:val="bottom"/>
            <w:gridSpan w:val="4"/>
          </w:tcPr>
          <w:p>
            <w:pPr>
              <w:spacing w:after="0"/>
              <w:rPr>
                <w:sz w:val="20"/>
                <w:szCs w:val="20"/>
                <w:color w:val="auto"/>
              </w:rPr>
            </w:pPr>
            <w:r>
              <w:rPr>
                <w:rFonts w:ascii="Arial" w:cs="Arial" w:eastAsia="Arial" w:hAnsi="Arial"/>
                <w:sz w:val="11"/>
                <w:szCs w:val="11"/>
                <w:color w:val="auto"/>
              </w:rPr>
              <w:t>Asset-specific (a)</w:t>
            </w:r>
          </w:p>
        </w:tc>
        <w:tc>
          <w:tcPr>
            <w:tcW w:w="12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223</w:t>
            </w:r>
          </w:p>
        </w:tc>
        <w:tc>
          <w:tcPr>
            <w:tcW w:w="240" w:type="dxa"/>
            <w:vAlign w:val="bottom"/>
          </w:tcPr>
          <w:p>
            <w:pPr>
              <w:spacing w:after="0"/>
              <w:rPr>
                <w:sz w:val="13"/>
                <w:szCs w:val="13"/>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75"/>
        </w:trPr>
        <w:tc>
          <w:tcPr>
            <w:tcW w:w="1820" w:type="dxa"/>
            <w:vAlign w:val="bottom"/>
            <w:gridSpan w:val="4"/>
          </w:tcPr>
          <w:p>
            <w:pPr>
              <w:ind w:left="120"/>
              <w:spacing w:after="0"/>
              <w:rPr>
                <w:sz w:val="20"/>
                <w:szCs w:val="20"/>
                <w:color w:val="auto"/>
              </w:rPr>
            </w:pPr>
            <w:r>
              <w:rPr>
                <w:rFonts w:ascii="Arial" w:cs="Arial" w:eastAsia="Arial" w:hAnsi="Arial"/>
                <w:sz w:val="11"/>
                <w:szCs w:val="11"/>
                <w:color w:val="auto"/>
              </w:rPr>
              <w:t>Portfolio-based</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12,450</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11,900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11,600</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11,400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10,977</w:t>
            </w:r>
          </w:p>
        </w:tc>
        <w:tc>
          <w:tcPr>
            <w:tcW w:w="240" w:type="dxa"/>
            <w:vAlign w:val="bottom"/>
          </w:tcPr>
          <w:p>
            <w:pPr>
              <w:spacing w:after="0"/>
              <w:rPr>
                <w:sz w:val="15"/>
                <w:szCs w:val="15"/>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6"/>
        </w:trPr>
        <w:tc>
          <w:tcPr>
            <w:tcW w:w="182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credit card</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12,450</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11,900</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11,600</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11,400</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11,200</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6"/>
        </w:trPr>
        <w:tc>
          <w:tcPr>
            <w:tcW w:w="182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consumer</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14,306</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13,754</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13,648</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13,066</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13,240</w:t>
            </w:r>
          </w:p>
        </w:tc>
        <w:tc>
          <w:tcPr>
            <w:tcW w:w="240" w:type="dxa"/>
            <w:vAlign w:val="bottom"/>
          </w:tcPr>
          <w:p>
            <w:pPr>
              <w:spacing w:after="0"/>
              <w:rPr>
                <w:sz w:val="13"/>
                <w:szCs w:val="13"/>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34"/>
        </w:trPr>
        <w:tc>
          <w:tcPr>
            <w:tcW w:w="1820" w:type="dxa"/>
            <w:vAlign w:val="bottom"/>
            <w:gridSpan w:val="4"/>
          </w:tcPr>
          <w:p>
            <w:pPr>
              <w:spacing w:after="0"/>
              <w:rPr>
                <w:sz w:val="20"/>
                <w:szCs w:val="20"/>
                <w:color w:val="auto"/>
              </w:rPr>
            </w:pPr>
            <w:r>
              <w:rPr>
                <w:rFonts w:ascii="Arial" w:cs="Arial" w:eastAsia="Arial" w:hAnsi="Arial"/>
                <w:sz w:val="11"/>
                <w:szCs w:val="11"/>
                <w:b w:val="1"/>
                <w:bCs w:val="1"/>
                <w:color w:val="auto"/>
              </w:rPr>
              <w:t>Wholesale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820" w:type="dxa"/>
            <w:vAlign w:val="bottom"/>
            <w:gridSpan w:val="4"/>
          </w:tcPr>
          <w:p>
            <w:pPr>
              <w:spacing w:after="0"/>
              <w:rPr>
                <w:sz w:val="20"/>
                <w:szCs w:val="20"/>
                <w:color w:val="auto"/>
              </w:rPr>
            </w:pPr>
            <w:r>
              <w:rPr>
                <w:rFonts w:ascii="Arial" w:cs="Arial" w:eastAsia="Arial" w:hAnsi="Arial"/>
                <w:sz w:val="11"/>
                <w:szCs w:val="11"/>
                <w:color w:val="auto"/>
              </w:rPr>
              <w:t>Asset-specific (a)</w:t>
            </w:r>
          </w:p>
        </w:tc>
        <w:tc>
          <w:tcPr>
            <w:tcW w:w="12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392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732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478</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437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467</w:t>
            </w:r>
          </w:p>
        </w:tc>
        <w:tc>
          <w:tcPr>
            <w:tcW w:w="24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76"/>
        </w:trPr>
        <w:tc>
          <w:tcPr>
            <w:tcW w:w="1820" w:type="dxa"/>
            <w:vAlign w:val="bottom"/>
            <w:gridSpan w:val="4"/>
          </w:tcPr>
          <w:p>
            <w:pPr>
              <w:ind w:left="120"/>
              <w:spacing w:after="0"/>
              <w:rPr>
                <w:sz w:val="20"/>
                <w:szCs w:val="20"/>
                <w:color w:val="auto"/>
              </w:rPr>
            </w:pPr>
            <w:r>
              <w:rPr>
                <w:rFonts w:ascii="Arial" w:cs="Arial" w:eastAsia="Arial" w:hAnsi="Arial"/>
                <w:sz w:val="11"/>
                <w:szCs w:val="11"/>
                <w:color w:val="auto"/>
              </w:rPr>
              <w:t>Portfolio-based</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7,722</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7,460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7,854</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6,550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6,019</w:t>
            </w:r>
          </w:p>
        </w:tc>
        <w:tc>
          <w:tcPr>
            <w:tcW w:w="240" w:type="dxa"/>
            <w:vAlign w:val="bottom"/>
          </w:tcPr>
          <w:p>
            <w:pPr>
              <w:spacing w:after="0"/>
              <w:rPr>
                <w:sz w:val="15"/>
                <w:szCs w:val="15"/>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55"/>
        </w:trPr>
        <w:tc>
          <w:tcPr>
            <w:tcW w:w="182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wholesale</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8,114</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8,192</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8,332</w:t>
            </w:r>
          </w:p>
        </w:tc>
        <w:tc>
          <w:tcPr>
            <w:tcW w:w="260" w:type="dxa"/>
            <w:vAlign w:val="bottom"/>
          </w:tcPr>
          <w:p>
            <w:pPr>
              <w:ind w:left="20"/>
              <w:spacing w:after="0"/>
              <w:rPr>
                <w:sz w:val="20"/>
                <w:szCs w:val="20"/>
                <w:color w:val="auto"/>
              </w:rPr>
            </w:pPr>
            <w:r>
              <w:rPr>
                <w:rFonts w:ascii="Arial" w:cs="Arial" w:eastAsia="Arial" w:hAnsi="Arial"/>
                <w:sz w:val="11"/>
                <w:szCs w:val="11"/>
                <w:color w:val="auto"/>
              </w:rPr>
              <w:t>(d)</w:t>
            </w: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6,987</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6,486</w:t>
            </w:r>
          </w:p>
        </w:tc>
        <w:tc>
          <w:tcPr>
            <w:tcW w:w="24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48"/>
        </w:trPr>
        <w:tc>
          <w:tcPr>
            <w:tcW w:w="1820" w:type="dxa"/>
            <w:vAlign w:val="bottom"/>
            <w:gridSpan w:val="4"/>
          </w:tcPr>
          <w:p>
            <w:pPr>
              <w:spacing w:after="0"/>
              <w:rPr>
                <w:sz w:val="20"/>
                <w:szCs w:val="20"/>
                <w:color w:val="auto"/>
              </w:rPr>
            </w:pPr>
            <w:r>
              <w:rPr>
                <w:rFonts w:ascii="Arial" w:cs="Arial" w:eastAsia="Arial" w:hAnsi="Arial"/>
                <w:sz w:val="11"/>
                <w:szCs w:val="11"/>
                <w:b w:val="1"/>
                <w:bCs w:val="1"/>
                <w:color w:val="auto"/>
              </w:rPr>
              <w:t>Total allowance for loan losses</w:t>
            </w:r>
          </w:p>
        </w:tc>
        <w:tc>
          <w:tcPr>
            <w:tcW w:w="12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22,420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21,946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21,980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20,053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19,726</w:t>
            </w:r>
          </w:p>
        </w:tc>
        <w:tc>
          <w:tcPr>
            <w:tcW w:w="24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22"/>
        </w:trPr>
        <w:tc>
          <w:tcPr>
            <w:tcW w:w="1820" w:type="dxa"/>
            <w:vAlign w:val="bottom"/>
            <w:gridSpan w:val="4"/>
          </w:tcPr>
          <w:p>
            <w:pPr>
              <w:spacing w:after="0" w:line="122" w:lineRule="exact"/>
              <w:rPr>
                <w:sz w:val="20"/>
                <w:szCs w:val="20"/>
                <w:color w:val="auto"/>
              </w:rPr>
            </w:pPr>
            <w:r>
              <w:rPr>
                <w:rFonts w:ascii="Arial" w:cs="Arial" w:eastAsia="Arial" w:hAnsi="Arial"/>
                <w:sz w:val="11"/>
                <w:szCs w:val="11"/>
                <w:color w:val="auto"/>
              </w:rPr>
              <w:t>Allowance for lending-related</w:t>
            </w:r>
          </w:p>
        </w:tc>
        <w:tc>
          <w:tcPr>
            <w:tcW w:w="120" w:type="dxa"/>
            <w:vAlign w:val="bottom"/>
          </w:tcPr>
          <w:p>
            <w:pPr>
              <w:spacing w:after="0"/>
              <w:rPr>
                <w:sz w:val="10"/>
                <w:szCs w:val="10"/>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1,974</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2,075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2,186</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2,370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2,382</w:t>
            </w:r>
          </w:p>
        </w:tc>
        <w:tc>
          <w:tcPr>
            <w:tcW w:w="240" w:type="dxa"/>
            <w:vAlign w:val="bottom"/>
          </w:tcPr>
          <w:p>
            <w:pPr>
              <w:spacing w:after="0"/>
              <w:rPr>
                <w:sz w:val="10"/>
                <w:szCs w:val="10"/>
                <w:color w:val="auto"/>
              </w:rPr>
            </w:pP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6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2"/>
        </w:trPr>
        <w:tc>
          <w:tcPr>
            <w:tcW w:w="1820" w:type="dxa"/>
            <w:vAlign w:val="bottom"/>
            <w:gridSpan w:val="4"/>
          </w:tcPr>
          <w:p>
            <w:pPr>
              <w:spacing w:after="0"/>
              <w:rPr>
                <w:sz w:val="20"/>
                <w:szCs w:val="20"/>
                <w:color w:val="auto"/>
              </w:rPr>
            </w:pPr>
            <w:r>
              <w:rPr>
                <w:rFonts w:ascii="Arial" w:cs="Arial" w:eastAsia="Arial" w:hAnsi="Arial"/>
                <w:sz w:val="11"/>
                <w:szCs w:val="11"/>
                <w:color w:val="auto"/>
              </w:rPr>
              <w:t>commitments</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20" w:type="dxa"/>
            <w:vAlign w:val="bottom"/>
            <w:gridSpan w:val="4"/>
          </w:tcPr>
          <w:p>
            <w:pPr>
              <w:spacing w:after="0"/>
              <w:rPr>
                <w:sz w:val="20"/>
                <w:szCs w:val="20"/>
                <w:color w:val="auto"/>
              </w:rPr>
            </w:pPr>
            <w:r>
              <w:rPr>
                <w:rFonts w:ascii="Arial" w:cs="Arial" w:eastAsia="Arial" w:hAnsi="Arial"/>
                <w:sz w:val="11"/>
                <w:szCs w:val="11"/>
                <w:color w:val="auto"/>
              </w:rPr>
              <w:t>Allowance for investment securities</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128</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117</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104</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90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96</w:t>
            </w:r>
          </w:p>
        </w:tc>
        <w:tc>
          <w:tcPr>
            <w:tcW w:w="240" w:type="dxa"/>
            <w:vAlign w:val="bottom"/>
          </w:tcPr>
          <w:p>
            <w:pPr>
              <w:spacing w:after="0"/>
              <w:rPr>
                <w:sz w:val="15"/>
                <w:szCs w:val="15"/>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69"/>
        </w:trPr>
        <w:tc>
          <w:tcPr>
            <w:tcW w:w="1820" w:type="dxa"/>
            <w:vAlign w:val="bottom"/>
            <w:gridSpan w:val="4"/>
          </w:tcPr>
          <w:p>
            <w:pPr>
              <w:spacing w:after="0"/>
              <w:rPr>
                <w:sz w:val="20"/>
                <w:szCs w:val="20"/>
                <w:color w:val="auto"/>
              </w:rPr>
            </w:pPr>
            <w:r>
              <w:rPr>
                <w:rFonts w:ascii="Arial" w:cs="Arial" w:eastAsia="Arial" w:hAnsi="Arial"/>
                <w:sz w:val="11"/>
                <w:szCs w:val="11"/>
                <w:b w:val="1"/>
                <w:bCs w:val="1"/>
                <w:color w:val="auto"/>
              </w:rPr>
              <w:t>Total allowance for credit losses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24,522</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24,138</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24,270</w:t>
            </w: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22,513</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22,204</w:t>
            </w:r>
          </w:p>
        </w:tc>
        <w:tc>
          <w:tcPr>
            <w:tcW w:w="240" w:type="dxa"/>
            <w:vAlign w:val="bottom"/>
          </w:tcPr>
          <w:p>
            <w:pPr>
              <w:spacing w:after="0"/>
              <w:rPr>
                <w:sz w:val="14"/>
                <w:szCs w:val="14"/>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70"/>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5"/>
              </w:rPr>
              <w:t>CREDIT RATIOS</w:t>
            </w:r>
          </w:p>
        </w:tc>
        <w:tc>
          <w:tcPr>
            <w:tcW w:w="98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1820" w:type="dxa"/>
            <w:vAlign w:val="bottom"/>
            <w:gridSpan w:val="4"/>
          </w:tcPr>
          <w:p>
            <w:pPr>
              <w:spacing w:after="0"/>
              <w:rPr>
                <w:sz w:val="20"/>
                <w:szCs w:val="20"/>
                <w:color w:val="auto"/>
              </w:rPr>
            </w:pPr>
            <w:r>
              <w:rPr>
                <w:rFonts w:ascii="Arial" w:cs="Arial" w:eastAsia="Arial" w:hAnsi="Arial"/>
                <w:sz w:val="11"/>
                <w:szCs w:val="11"/>
                <w:color w:val="auto"/>
              </w:rPr>
              <w:t>Consumer, excluding credit card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gridSpan w:val="4"/>
          </w:tcPr>
          <w:p>
            <w:pPr>
              <w:spacing w:after="0"/>
              <w:rPr>
                <w:sz w:val="20"/>
                <w:szCs w:val="20"/>
                <w:color w:val="auto"/>
              </w:rPr>
            </w:pPr>
            <w:r>
              <w:rPr>
                <w:rFonts w:ascii="Arial" w:cs="Arial" w:eastAsia="Arial" w:hAnsi="Arial"/>
                <w:sz w:val="11"/>
                <w:szCs w:val="11"/>
                <w:color w:val="auto"/>
              </w:rPr>
              <w:t>allowance, to total</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20" w:type="dxa"/>
            <w:vAlign w:val="bottom"/>
            <w:gridSpan w:val="4"/>
          </w:tcPr>
          <w:p>
            <w:pPr>
              <w:ind w:left="120"/>
              <w:spacing w:after="0"/>
              <w:rPr>
                <w:sz w:val="20"/>
                <w:szCs w:val="20"/>
                <w:color w:val="auto"/>
              </w:rPr>
            </w:pPr>
            <w:r>
              <w:rPr>
                <w:rFonts w:ascii="Arial" w:cs="Arial" w:eastAsia="Arial" w:hAnsi="Arial"/>
                <w:sz w:val="11"/>
                <w:szCs w:val="11"/>
                <w:color w:val="auto"/>
              </w:rPr>
              <w:t>consumer, excluding credit card</w:t>
            </w: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0.47 %</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0.47 %</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0.52 %</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0.55 %</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0.68 %</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gridSpan w:val="4"/>
          </w:tcPr>
          <w:p>
            <w:pPr>
              <w:ind w:left="120"/>
              <w:spacing w:after="0"/>
              <w:rPr>
                <w:sz w:val="20"/>
                <w:szCs w:val="20"/>
                <w:color w:val="auto"/>
              </w:rPr>
            </w:pPr>
            <w:r>
              <w:rPr>
                <w:rFonts w:ascii="Arial" w:cs="Arial" w:eastAsia="Arial" w:hAnsi="Arial"/>
                <w:sz w:val="11"/>
                <w:szCs w:val="11"/>
                <w:color w:val="auto"/>
              </w:rPr>
              <w:t>retained loans</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20" w:type="dxa"/>
            <w:vAlign w:val="bottom"/>
            <w:gridSpan w:val="4"/>
          </w:tcPr>
          <w:p>
            <w:pPr>
              <w:spacing w:after="0"/>
              <w:rPr>
                <w:sz w:val="20"/>
                <w:szCs w:val="20"/>
                <w:color w:val="auto"/>
              </w:rPr>
            </w:pPr>
            <w:r>
              <w:rPr>
                <w:rFonts w:ascii="Arial" w:cs="Arial" w:eastAsia="Arial" w:hAnsi="Arial"/>
                <w:sz w:val="11"/>
                <w:szCs w:val="11"/>
                <w:color w:val="auto"/>
              </w:rPr>
              <w:t>Credit card allowance to total credit</w:t>
            </w:r>
          </w:p>
        </w:tc>
        <w:tc>
          <w:tcPr>
            <w:tcW w:w="12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5.90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6.04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6.06</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6.33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6.05</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gridSpan w:val="4"/>
          </w:tcPr>
          <w:p>
            <w:pPr>
              <w:spacing w:after="0"/>
              <w:rPr>
                <w:sz w:val="20"/>
                <w:szCs w:val="20"/>
                <w:color w:val="auto"/>
              </w:rPr>
            </w:pPr>
            <w:r>
              <w:rPr>
                <w:rFonts w:ascii="Arial" w:cs="Arial" w:eastAsia="Arial" w:hAnsi="Arial"/>
                <w:sz w:val="11"/>
                <w:szCs w:val="11"/>
                <w:color w:val="auto"/>
              </w:rPr>
              <w:t>card retained loans</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20" w:type="dxa"/>
            <w:vAlign w:val="bottom"/>
            <w:gridSpan w:val="4"/>
          </w:tcPr>
          <w:p>
            <w:pPr>
              <w:spacing w:after="0"/>
              <w:rPr>
                <w:sz w:val="20"/>
                <w:szCs w:val="20"/>
                <w:color w:val="auto"/>
              </w:rPr>
            </w:pPr>
            <w:r>
              <w:rPr>
                <w:rFonts w:ascii="Arial" w:cs="Arial" w:eastAsia="Arial" w:hAnsi="Arial"/>
                <w:sz w:val="11"/>
                <w:szCs w:val="11"/>
                <w:color w:val="auto"/>
              </w:rPr>
              <w:t>Wholesale allowance to total</w:t>
            </w:r>
          </w:p>
        </w:tc>
        <w:tc>
          <w:tcPr>
            <w:tcW w:w="12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1.21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1.22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1.25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1.16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1.07</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gridSpan w:val="4"/>
          </w:tcPr>
          <w:p>
            <w:pPr>
              <w:spacing w:after="0"/>
              <w:rPr>
                <w:sz w:val="20"/>
                <w:szCs w:val="20"/>
                <w:color w:val="auto"/>
              </w:rPr>
            </w:pPr>
            <w:r>
              <w:rPr>
                <w:rFonts w:ascii="Arial" w:cs="Arial" w:eastAsia="Arial" w:hAnsi="Arial"/>
                <w:sz w:val="11"/>
                <w:szCs w:val="11"/>
                <w:color w:val="auto"/>
              </w:rPr>
              <w:t>wholesale retained loans</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20" w:type="dxa"/>
            <w:vAlign w:val="bottom"/>
            <w:gridSpan w:val="4"/>
          </w:tcPr>
          <w:p>
            <w:pPr>
              <w:spacing w:after="0"/>
              <w:rPr>
                <w:sz w:val="20"/>
                <w:szCs w:val="20"/>
                <w:color w:val="auto"/>
              </w:rPr>
            </w:pPr>
            <w:r>
              <w:rPr>
                <w:rFonts w:ascii="Arial" w:cs="Arial" w:eastAsia="Arial" w:hAnsi="Arial"/>
                <w:sz w:val="11"/>
                <w:szCs w:val="11"/>
                <w:color w:val="auto"/>
              </w:rPr>
              <w:t>Wholesale allowance to total</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gridSpan w:val="4"/>
          </w:tcPr>
          <w:p>
            <w:pPr>
              <w:spacing w:after="0"/>
              <w:rPr>
                <w:sz w:val="20"/>
                <w:szCs w:val="20"/>
                <w:color w:val="auto"/>
              </w:rPr>
            </w:pPr>
            <w:r>
              <w:rPr>
                <w:rFonts w:ascii="Arial" w:cs="Arial" w:eastAsia="Arial" w:hAnsi="Arial"/>
                <w:sz w:val="11"/>
                <w:szCs w:val="11"/>
                <w:color w:val="auto"/>
              </w:rPr>
              <w:t>wholesale retained loans,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20" w:type="dxa"/>
            <w:vAlign w:val="bottom"/>
            <w:gridSpan w:val="4"/>
          </w:tcPr>
          <w:p>
            <w:pPr>
              <w:ind w:left="120"/>
              <w:spacing w:after="0"/>
              <w:rPr>
                <w:sz w:val="20"/>
                <w:szCs w:val="20"/>
                <w:color w:val="auto"/>
              </w:rPr>
            </w:pPr>
            <w:r>
              <w:rPr>
                <w:rFonts w:ascii="Arial" w:cs="Arial" w:eastAsia="Arial" w:hAnsi="Arial"/>
                <w:sz w:val="11"/>
                <w:szCs w:val="11"/>
                <w:color w:val="auto"/>
              </w:rPr>
              <w:t>excluding trade finance and</w:t>
            </w:r>
          </w:p>
        </w:tc>
        <w:tc>
          <w:tcPr>
            <w:tcW w:w="12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1.31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1.33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1.36</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1.26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1.17</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gridSpan w:val="4"/>
          </w:tcPr>
          <w:p>
            <w:pPr>
              <w:ind w:left="120"/>
              <w:spacing w:after="0"/>
              <w:rPr>
                <w:sz w:val="20"/>
                <w:szCs w:val="20"/>
                <w:color w:val="auto"/>
              </w:rPr>
            </w:pPr>
            <w:r>
              <w:rPr>
                <w:rFonts w:ascii="Arial" w:cs="Arial" w:eastAsia="Arial" w:hAnsi="Arial"/>
                <w:sz w:val="11"/>
                <w:szCs w:val="11"/>
                <w:color w:val="auto"/>
              </w:rPr>
              <w:t>conduits (b)</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20" w:type="dxa"/>
            <w:vAlign w:val="bottom"/>
            <w:gridSpan w:val="4"/>
          </w:tcPr>
          <w:p>
            <w:pPr>
              <w:spacing w:after="0"/>
              <w:rPr>
                <w:sz w:val="20"/>
                <w:szCs w:val="20"/>
                <w:color w:val="auto"/>
              </w:rPr>
            </w:pPr>
            <w:r>
              <w:rPr>
                <w:rFonts w:ascii="Arial" w:cs="Arial" w:eastAsia="Arial" w:hAnsi="Arial"/>
                <w:sz w:val="11"/>
                <w:szCs w:val="11"/>
                <w:b w:val="1"/>
                <w:bCs w:val="1"/>
                <w:color w:val="auto"/>
              </w:rPr>
              <w:t>Total allowance to total retained</w:t>
            </w:r>
          </w:p>
        </w:tc>
        <w:tc>
          <w:tcPr>
            <w:tcW w:w="12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1.75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1.75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1.85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1.81</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gridSpan w:val="4"/>
          </w:tcPr>
          <w:p>
            <w:pPr>
              <w:spacing w:after="0"/>
              <w:rPr>
                <w:sz w:val="20"/>
                <w:szCs w:val="20"/>
                <w:color w:val="auto"/>
              </w:rPr>
            </w:pPr>
            <w:r>
              <w:rPr>
                <w:rFonts w:ascii="Arial" w:cs="Arial" w:eastAsia="Arial" w:hAnsi="Arial"/>
                <w:sz w:val="11"/>
                <w:szCs w:val="11"/>
                <w:b w:val="1"/>
                <w:bCs w:val="1"/>
                <w:color w:val="auto"/>
              </w:rPr>
              <w:t>loans</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820" w:type="dxa"/>
            <w:vAlign w:val="bottom"/>
            <w:gridSpan w:val="4"/>
          </w:tcPr>
          <w:p>
            <w:pPr>
              <w:spacing w:after="0" w:line="122" w:lineRule="exact"/>
              <w:rPr>
                <w:sz w:val="20"/>
                <w:szCs w:val="20"/>
                <w:color w:val="auto"/>
              </w:rPr>
            </w:pPr>
            <w:r>
              <w:rPr>
                <w:rFonts w:ascii="Arial" w:cs="Arial" w:eastAsia="Arial" w:hAnsi="Arial"/>
                <w:sz w:val="11"/>
                <w:szCs w:val="11"/>
                <w:color w:val="auto"/>
              </w:rPr>
              <w:t>Consumer, excluding credit card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820" w:type="dxa"/>
            <w:vAlign w:val="bottom"/>
            <w:gridSpan w:val="4"/>
          </w:tcPr>
          <w:p>
            <w:pPr>
              <w:spacing w:after="0"/>
              <w:rPr>
                <w:sz w:val="20"/>
                <w:szCs w:val="20"/>
                <w:color w:val="auto"/>
              </w:rPr>
            </w:pPr>
            <w:r>
              <w:rPr>
                <w:rFonts w:ascii="Arial" w:cs="Arial" w:eastAsia="Arial" w:hAnsi="Arial"/>
                <w:sz w:val="11"/>
                <w:szCs w:val="11"/>
                <w:color w:val="auto"/>
              </w:rPr>
              <w:t>allowance, to consumer,</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20" w:type="dxa"/>
            <w:vAlign w:val="bottom"/>
            <w:gridSpan w:val="4"/>
          </w:tcPr>
          <w:p>
            <w:pPr>
              <w:ind w:left="120"/>
              <w:spacing w:after="0"/>
              <w:rPr>
                <w:sz w:val="20"/>
                <w:szCs w:val="20"/>
                <w:color w:val="auto"/>
              </w:rPr>
            </w:pPr>
            <w:r>
              <w:rPr>
                <w:rFonts w:ascii="Arial" w:cs="Arial" w:eastAsia="Arial" w:hAnsi="Arial"/>
                <w:sz w:val="11"/>
                <w:szCs w:val="11"/>
                <w:color w:val="auto"/>
              </w:rPr>
              <w:t>excluding credit card retained</w:t>
            </w:r>
          </w:p>
        </w:tc>
        <w:tc>
          <w:tcPr>
            <w:tcW w:w="12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51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54</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43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53</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gridSpan w:val="4"/>
          </w:tcPr>
          <w:p>
            <w:pPr>
              <w:ind w:left="120"/>
              <w:spacing w:after="0"/>
              <w:rPr>
                <w:sz w:val="20"/>
                <w:szCs w:val="20"/>
                <w:color w:val="auto"/>
              </w:rPr>
            </w:pPr>
            <w:r>
              <w:rPr>
                <w:rFonts w:ascii="Arial" w:cs="Arial" w:eastAsia="Arial" w:hAnsi="Arial"/>
                <w:sz w:val="11"/>
                <w:szCs w:val="11"/>
                <w:color w:val="auto"/>
              </w:rPr>
              <w:t>nonaccrual loans (c)</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20" w:type="dxa"/>
            <w:vAlign w:val="bottom"/>
            <w:gridSpan w:val="4"/>
          </w:tcPr>
          <w:p>
            <w:pPr>
              <w:spacing w:after="0"/>
              <w:rPr>
                <w:sz w:val="20"/>
                <w:szCs w:val="20"/>
                <w:color w:val="auto"/>
              </w:rPr>
            </w:pPr>
            <w:r>
              <w:rPr>
                <w:rFonts w:ascii="Arial" w:cs="Arial" w:eastAsia="Arial" w:hAnsi="Arial"/>
                <w:sz w:val="11"/>
                <w:szCs w:val="11"/>
                <w:color w:val="auto"/>
                <w:w w:val="98"/>
              </w:rPr>
              <w:t>Total allowance, excluding credit card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gridSpan w:val="4"/>
          </w:tcPr>
          <w:p>
            <w:pPr>
              <w:spacing w:after="0"/>
              <w:rPr>
                <w:sz w:val="20"/>
                <w:szCs w:val="20"/>
                <w:color w:val="auto"/>
              </w:rPr>
            </w:pPr>
            <w:r>
              <w:rPr>
                <w:rFonts w:ascii="Arial" w:cs="Arial" w:eastAsia="Arial" w:hAnsi="Arial"/>
                <w:sz w:val="11"/>
                <w:szCs w:val="11"/>
                <w:color w:val="auto"/>
              </w:rPr>
              <w:t>allowance, to retained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20" w:type="dxa"/>
            <w:vAlign w:val="bottom"/>
            <w:gridSpan w:val="4"/>
          </w:tcPr>
          <w:p>
            <w:pPr>
              <w:ind w:left="160"/>
              <w:spacing w:after="0"/>
              <w:rPr>
                <w:sz w:val="20"/>
                <w:szCs w:val="20"/>
                <w:color w:val="auto"/>
              </w:rPr>
            </w:pPr>
            <w:r>
              <w:rPr>
                <w:rFonts w:ascii="Arial" w:cs="Arial" w:eastAsia="Arial" w:hAnsi="Arial"/>
                <w:sz w:val="11"/>
                <w:szCs w:val="11"/>
                <w:color w:val="auto"/>
                <w:w w:val="98"/>
              </w:rPr>
              <w:t>nonaccrual loans, excluding credit</w:t>
            </w:r>
          </w:p>
        </w:tc>
        <w:tc>
          <w:tcPr>
            <w:tcW w:w="12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166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151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163</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143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146</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gridSpan w:val="4"/>
          </w:tcPr>
          <w:p>
            <w:pPr>
              <w:ind w:left="120"/>
              <w:spacing w:after="0"/>
              <w:rPr>
                <w:sz w:val="20"/>
                <w:szCs w:val="20"/>
                <w:color w:val="auto"/>
              </w:rPr>
            </w:pPr>
            <w:r>
              <w:rPr>
                <w:rFonts w:ascii="Arial" w:cs="Arial" w:eastAsia="Arial" w:hAnsi="Arial"/>
                <w:sz w:val="11"/>
                <w:szCs w:val="11"/>
                <w:color w:val="auto"/>
              </w:rPr>
              <w:t>card nonaccrual loans (c)</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20" w:type="dxa"/>
            <w:vAlign w:val="bottom"/>
            <w:gridSpan w:val="4"/>
          </w:tcPr>
          <w:p>
            <w:pPr>
              <w:spacing w:after="0"/>
              <w:rPr>
                <w:sz w:val="20"/>
                <w:szCs w:val="20"/>
                <w:color w:val="auto"/>
              </w:rPr>
            </w:pPr>
            <w:r>
              <w:rPr>
                <w:rFonts w:ascii="Arial" w:cs="Arial" w:eastAsia="Arial" w:hAnsi="Arial"/>
                <w:sz w:val="11"/>
                <w:szCs w:val="11"/>
                <w:color w:val="auto"/>
              </w:rPr>
              <w:t>Wholesale allowance to wholesale</w:t>
            </w:r>
          </w:p>
        </w:tc>
        <w:tc>
          <w:tcPr>
            <w:tcW w:w="12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346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282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color w:val="auto"/>
              </w:rPr>
              <w:t>321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316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330</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gridSpan w:val="4"/>
          </w:tcPr>
          <w:p>
            <w:pPr>
              <w:spacing w:after="0"/>
              <w:rPr>
                <w:sz w:val="20"/>
                <w:szCs w:val="20"/>
                <w:color w:val="auto"/>
              </w:rPr>
            </w:pPr>
            <w:r>
              <w:rPr>
                <w:rFonts w:ascii="Arial" w:cs="Arial" w:eastAsia="Arial" w:hAnsi="Arial"/>
                <w:sz w:val="11"/>
                <w:szCs w:val="11"/>
                <w:color w:val="auto"/>
              </w:rPr>
              <w:t>retained nonaccrual loans</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20" w:type="dxa"/>
            <w:vAlign w:val="bottom"/>
            <w:gridSpan w:val="4"/>
          </w:tcPr>
          <w:p>
            <w:pPr>
              <w:spacing w:after="0"/>
              <w:rPr>
                <w:sz w:val="20"/>
                <w:szCs w:val="20"/>
                <w:color w:val="auto"/>
              </w:rPr>
            </w:pPr>
            <w:r>
              <w:rPr>
                <w:rFonts w:ascii="Arial" w:cs="Arial" w:eastAsia="Arial" w:hAnsi="Arial"/>
                <w:sz w:val="11"/>
                <w:szCs w:val="11"/>
                <w:b w:val="1"/>
                <w:bCs w:val="1"/>
                <w:color w:val="auto"/>
              </w:rPr>
              <w:t>Total allowance to total retained</w:t>
            </w:r>
          </w:p>
        </w:tc>
        <w:tc>
          <w:tcPr>
            <w:tcW w:w="12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374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329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345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338</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gridSpan w:val="4"/>
          </w:tcPr>
          <w:p>
            <w:pPr>
              <w:spacing w:after="0"/>
              <w:rPr>
                <w:sz w:val="20"/>
                <w:szCs w:val="20"/>
                <w:color w:val="auto"/>
              </w:rPr>
            </w:pPr>
            <w:r>
              <w:rPr>
                <w:rFonts w:ascii="Arial" w:cs="Arial" w:eastAsia="Arial" w:hAnsi="Arial"/>
                <w:sz w:val="11"/>
                <w:szCs w:val="11"/>
                <w:b w:val="1"/>
                <w:bCs w:val="1"/>
                <w:color w:val="auto"/>
              </w:rPr>
              <w:t>nonaccrual loans</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1658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51" w:lineRule="exact"/>
        <w:rPr>
          <w:sz w:val="20"/>
          <w:szCs w:val="20"/>
          <w:color w:val="auto"/>
        </w:rPr>
      </w:pPr>
    </w:p>
    <w:p>
      <w:pPr>
        <w:ind w:left="180" w:right="100" w:hanging="172"/>
        <w:spacing w:after="0" w:line="274" w:lineRule="auto"/>
        <w:tabs>
          <w:tab w:leader="none" w:pos="177" w:val="left"/>
        </w:tabs>
        <w:numPr>
          <w:ilvl w:val="0"/>
          <w:numId w:val="33"/>
        </w:numPr>
        <w:rPr>
          <w:rFonts w:ascii="Arial" w:cs="Arial" w:eastAsia="Arial" w:hAnsi="Arial"/>
          <w:sz w:val="10"/>
          <w:szCs w:val="10"/>
          <w:color w:val="auto"/>
        </w:rPr>
      </w:pPr>
      <w:r>
        <w:rPr>
          <w:rFonts w:ascii="Arial" w:cs="Arial" w:eastAsia="Arial" w:hAnsi="Arial"/>
          <w:sz w:val="10"/>
          <w:szCs w:val="10"/>
          <w:color w:val="auto"/>
        </w:rPr>
        <w:t>On January 1, 2023, the Firm adopted the Financial Instruments – Credit Losses: Troubled Debt Restructurings accounting guidance under which it elected to change from an asset-specific allowance approach to its non-DCF, portfolio-based allowance approach for modified loans to troubled borrowers for all portfolios except collateral-dependent loans and nonaccrual risk-rated loans, for which the asset-specific allowance approach will continue to apply.</w:t>
      </w:r>
    </w:p>
    <w:p>
      <w:pPr>
        <w:ind w:left="180" w:right="80" w:hanging="172"/>
        <w:spacing w:after="0" w:line="243" w:lineRule="auto"/>
        <w:tabs>
          <w:tab w:leader="none" w:pos="177" w:val="left"/>
        </w:tabs>
        <w:numPr>
          <w:ilvl w:val="0"/>
          <w:numId w:val="33"/>
        </w:numPr>
        <w:rPr>
          <w:rFonts w:ascii="Arial" w:cs="Arial" w:eastAsia="Arial" w:hAnsi="Arial"/>
          <w:sz w:val="11"/>
          <w:szCs w:val="11"/>
          <w:color w:val="auto"/>
        </w:rPr>
      </w:pPr>
      <w:r>
        <w:rPr>
          <w:rFonts w:ascii="Arial" w:cs="Arial" w:eastAsia="Arial" w:hAnsi="Arial"/>
          <w:sz w:val="11"/>
          <w:szCs w:val="11"/>
          <w:color w:val="auto"/>
        </w:rPr>
        <w:t>Management uses allowance for loan losses to period-end loans retained, excluding CIB’s trade finance and conduits, a non-GAAP financial measure, to provide a more meaningful assessment of the wholesale allowance coverage ratio.</w:t>
      </w:r>
    </w:p>
    <w:p>
      <w:pPr>
        <w:ind w:left="160" w:hanging="152"/>
        <w:spacing w:after="0"/>
        <w:tabs>
          <w:tab w:leader="none" w:pos="1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Refer to footnote (a) on page 26 for information on the Firm’s nonaccrual policy for credit card loans.</w:t>
      </w:r>
    </w:p>
    <w:p>
      <w:pPr>
        <w:spacing w:after="0" w:line="8" w:lineRule="exact"/>
        <w:rPr>
          <w:rFonts w:ascii="Arial" w:cs="Arial" w:eastAsia="Arial" w:hAnsi="Arial"/>
          <w:sz w:val="11"/>
          <w:szCs w:val="11"/>
          <w:color w:val="auto"/>
        </w:rPr>
      </w:pPr>
    </w:p>
    <w:p>
      <w:pPr>
        <w:ind w:left="180" w:right="100" w:hanging="172"/>
        <w:spacing w:after="0" w:line="243" w:lineRule="auto"/>
        <w:tabs>
          <w:tab w:leader="none" w:pos="177" w:val="left"/>
        </w:tabs>
        <w:numPr>
          <w:ilvl w:val="0"/>
          <w:numId w:val="33"/>
        </w:numPr>
        <w:rPr>
          <w:rFonts w:ascii="Arial" w:cs="Arial" w:eastAsia="Arial" w:hAnsi="Arial"/>
          <w:sz w:val="11"/>
          <w:szCs w:val="11"/>
          <w:color w:val="auto"/>
        </w:rPr>
      </w:pPr>
      <w:r>
        <w:rPr>
          <w:rFonts w:ascii="Arial" w:cs="Arial" w:eastAsia="Arial" w:hAnsi="Arial"/>
          <w:sz w:val="11"/>
          <w:szCs w:val="11"/>
          <w:color w:val="auto"/>
        </w:rPr>
        <w:t>At December 31, 2023, September 30, 2023 and June 30, 2023, included $396 million, $396 million and $377 million of Consumer, respectively, and $800 million, $667 million and $695 million of Wholesale, respectively, associated with First Republic.</w:t>
      </w:r>
    </w:p>
    <w:p>
      <w:pPr>
        <w:ind w:left="160" w:hanging="152"/>
        <w:spacing w:after="0"/>
        <w:tabs>
          <w:tab w:leader="none" w:pos="1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Prior-period amounts have been revised to conform with the current presentation.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29</w:t>
      </w:r>
    </w:p>
    <w:p>
      <w:pPr>
        <w:sectPr>
          <w:pgSz w:w="11900" w:h="16838" w:orient="portrait"/>
          <w:cols w:equalWidth="0" w:num="1">
            <w:col w:w="11240"/>
          </w:cols>
          <w:pgMar w:left="320" w:top="572"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-36830</wp:posOffset>
            </wp:positionV>
            <wp:extent cx="237426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NON-GAAP FINANCIAL MEASURES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13" w:lineRule="exact"/>
        <w:rPr>
          <w:sz w:val="20"/>
          <w:szCs w:val="20"/>
          <w:color w:val="auto"/>
        </w:rPr>
      </w:pPr>
    </w:p>
    <w:p>
      <w:pPr>
        <w:ind w:left="340" w:right="80" w:hanging="332"/>
        <w:spacing w:after="0" w:line="259" w:lineRule="auto"/>
        <w:tabs>
          <w:tab w:leader="none" w:pos="3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In addition to analyzing the Firm’s results on a reported basis, management reviews Firmwide results, including the overhead ratio, on a </w:t>
      </w:r>
      <w:r>
        <w:rPr>
          <w:rFonts w:ascii="Arial" w:cs="Arial" w:eastAsia="Arial" w:hAnsi="Arial"/>
          <w:sz w:val="16"/>
          <w:szCs w:val="16"/>
          <w:b w:val="1"/>
          <w:bCs w:val="1"/>
          <w:color w:val="auto"/>
        </w:rPr>
        <w:t>“managed”</w:t>
      </w:r>
      <w:r>
        <w:rPr>
          <w:rFonts w:ascii="Arial" w:cs="Arial" w:eastAsia="Arial" w:hAnsi="Arial"/>
          <w:sz w:val="16"/>
          <w:szCs w:val="16"/>
          <w:color w:val="auto"/>
        </w:rPr>
        <w:t xml:space="preserve"> </w:t>
      </w:r>
      <w:r>
        <w:rPr>
          <w:rFonts w:ascii="Arial" w:cs="Arial" w:eastAsia="Arial" w:hAnsi="Arial"/>
          <w:sz w:val="16"/>
          <w:szCs w:val="16"/>
          <w:b w:val="1"/>
          <w:bCs w:val="1"/>
          <w:color w:val="auto"/>
        </w:rPr>
        <w:t>basis</w:t>
      </w:r>
      <w:r>
        <w:rPr>
          <w:rFonts w:ascii="Arial" w:cs="Arial" w:eastAsia="Arial" w:hAnsi="Arial"/>
          <w:sz w:val="16"/>
          <w:szCs w:val="16"/>
          <w:color w:val="auto"/>
        </w:rPr>
        <w:t>; these Firmwide managed basis results are non-GAAP financial measures. The Firm also reviews the results of the lines of business on a</w:t>
      </w:r>
      <w:r>
        <w:rPr>
          <w:rFonts w:ascii="Arial" w:cs="Arial" w:eastAsia="Arial" w:hAnsi="Arial"/>
          <w:sz w:val="16"/>
          <w:szCs w:val="16"/>
          <w:b w:val="1"/>
          <w:bCs w:val="1"/>
          <w:color w:val="auto"/>
        </w:rPr>
        <w:t xml:space="preserve"> </w:t>
      </w:r>
      <w:r>
        <w:rPr>
          <w:rFonts w:ascii="Arial" w:cs="Arial" w:eastAsia="Arial" w:hAnsi="Arial"/>
          <w:sz w:val="16"/>
          <w:szCs w:val="16"/>
          <w:color w:val="auto"/>
        </w:rPr>
        <w:t>managed basis. The Firm’s definition of managed basis starts, in each case, with the reported U.S. GAAP results and includes certain reclassifications to present total net revenue for the Firm and each of the reportable business segments on an FTE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the lines of business.</w:t>
      </w:r>
    </w:p>
    <w:p>
      <w:pPr>
        <w:spacing w:after="0" w:line="18" w:lineRule="exact"/>
        <w:rPr>
          <w:rFonts w:ascii="Arial" w:cs="Arial" w:eastAsia="Arial" w:hAnsi="Arial"/>
          <w:sz w:val="16"/>
          <w:szCs w:val="16"/>
          <w:color w:val="auto"/>
        </w:rPr>
      </w:pPr>
    </w:p>
    <w:p>
      <w:pPr>
        <w:ind w:left="340" w:right="280" w:hanging="332"/>
        <w:spacing w:after="0" w:line="290" w:lineRule="auto"/>
        <w:tabs>
          <w:tab w:leader="none" w:pos="335"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Pre-provision profit </w:t>
      </w:r>
      <w:r>
        <w:rPr>
          <w:rFonts w:ascii="Arial" w:cs="Arial" w:eastAsia="Arial" w:hAnsi="Arial"/>
          <w:sz w:val="16"/>
          <w:szCs w:val="16"/>
          <w:color w:val="auto"/>
        </w:rPr>
        <w:t>is a non-GAAP financial measure which represents total net revenue less total noninterest expense. The Firm believes that this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measure is useful in assessing the ability of a lending institution to generate income in excess of its provision for credit losses.</w:t>
      </w:r>
    </w:p>
    <w:p>
      <w:pPr>
        <w:ind w:left="340" w:right="220" w:hanging="332"/>
        <w:spacing w:after="0" w:line="265"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TCE, ROTCE, and TBVPS </w:t>
      </w:r>
      <w:r>
        <w:rPr>
          <w:rFonts w:ascii="Arial" w:cs="Arial" w:eastAsia="Arial" w:hAnsi="Arial"/>
          <w:sz w:val="16"/>
          <w:szCs w:val="16"/>
          <w:color w:val="auto"/>
        </w:rPr>
        <w:t>are each non-GAAP financial measures. TCE represents the Firm’s common stockholders’ equity (i.e., total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equity less preferred stock) less goodwill and identifiable intangible assets (other than MSRs), net of related deferred tax liabilities. ROTCE measures the Firm’s net income applicable to common equity as a percentage of average TCE. TBVPS represents the Firm’s TCE at period-end divided by common shares at period-end. TCE, ROTCE, and TBVPS are utilized by the Firm, as well as investors and analysts, in assessing the Firm’s use of equity.</w:t>
      </w:r>
    </w:p>
    <w:p>
      <w:pPr>
        <w:spacing w:after="0" w:line="10" w:lineRule="exact"/>
        <w:rPr>
          <w:rFonts w:ascii="Arial" w:cs="Arial" w:eastAsia="Arial" w:hAnsi="Arial"/>
          <w:sz w:val="16"/>
          <w:szCs w:val="16"/>
          <w:color w:val="auto"/>
        </w:rPr>
      </w:pPr>
    </w:p>
    <w:p>
      <w:pPr>
        <w:ind w:left="340" w:right="140" w:hanging="332"/>
        <w:spacing w:after="0" w:line="275" w:lineRule="auto"/>
        <w:tabs>
          <w:tab w:leader="none" w:pos="3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ratio of the wholesale and CIB’s </w:t>
      </w:r>
      <w:r>
        <w:rPr>
          <w:rFonts w:ascii="Arial" w:cs="Arial" w:eastAsia="Arial" w:hAnsi="Arial"/>
          <w:sz w:val="16"/>
          <w:szCs w:val="16"/>
          <w:b w:val="1"/>
          <w:bCs w:val="1"/>
          <w:color w:val="auto"/>
        </w:rPr>
        <w:t>allowance for loan losses to period-end loans retained, excluding trade finance and conduits</w:t>
      </w:r>
      <w:r>
        <w:rPr>
          <w:rFonts w:ascii="Arial" w:cs="Arial" w:eastAsia="Arial" w:hAnsi="Arial"/>
          <w:sz w:val="16"/>
          <w:szCs w:val="16"/>
          <w:color w:val="auto"/>
        </w:rPr>
        <w:t>, is calculated excluding loans accounted for at fair value, loans held-for-sale, CIB’s trade finance loans and consolidated Firm-administered multi-seller conduits, as well as their related allowances, to provide a more meaningful assessment of the respective allowance coverage ratio.</w:t>
      </w:r>
    </w:p>
    <w:p>
      <w:pPr>
        <w:spacing w:after="0" w:line="2" w:lineRule="exact"/>
        <w:rPr>
          <w:rFonts w:ascii="Arial" w:cs="Arial" w:eastAsia="Arial" w:hAnsi="Arial"/>
          <w:sz w:val="16"/>
          <w:szCs w:val="16"/>
          <w:color w:val="auto"/>
        </w:rPr>
      </w:pPr>
    </w:p>
    <w:p>
      <w:pPr>
        <w:ind w:left="340" w:right="20" w:hanging="332"/>
        <w:spacing w:after="0" w:line="258" w:lineRule="auto"/>
        <w:tabs>
          <w:tab w:leader="none" w:pos="3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In addition to reviewing net interest income (“NII”), net yield, and noninterest revenue (“NIR”) on a managed basis, management also reviews these metrics </w:t>
      </w:r>
      <w:r>
        <w:rPr>
          <w:rFonts w:ascii="Arial" w:cs="Arial" w:eastAsia="Arial" w:hAnsi="Arial"/>
          <w:sz w:val="16"/>
          <w:szCs w:val="16"/>
          <w:b w:val="1"/>
          <w:bCs w:val="1"/>
          <w:color w:val="auto"/>
        </w:rPr>
        <w:t>excluding CIB Markets</w:t>
      </w:r>
      <w:r>
        <w:rPr>
          <w:rFonts w:ascii="Arial" w:cs="Arial" w:eastAsia="Arial" w:hAnsi="Arial"/>
          <w:sz w:val="16"/>
          <w:szCs w:val="16"/>
          <w:color w:val="auto"/>
        </w:rPr>
        <w:t xml:space="preserve"> (“Markets”, which is composed of Fixed Income Markets and Equity Markets), as shown below. Markets revenue consists of principal transactions, fees, commissions and other income, as well as net interest income.These metrics, which exclude Markets, are non-GAAP financial measures. Management reviews these metrics to assess the performance of the Firm’s lending, investing (including asset-liability management) and deposit-raising activities, apart from any volatility associated with Markets activities. In addition, management also assesses Markets business performance on a total revenue basis as offsets may occur across revenue lines. For example, securities that generate net interest income may be risk-managed by derivatives that are reflected at fair value in principal transactions revenue. Management believes these measures provide investors and analysts with alternative measures to analyze the revenue trends of the Firm. For additional information on Markets revenue, refer to page 70 of the Firm’s 2022 Form 10-K.</w:t>
      </w:r>
    </w:p>
    <w:p>
      <w:pPr>
        <w:spacing w:after="0" w:line="70" w:lineRule="exact"/>
        <w:rPr>
          <w:sz w:val="20"/>
          <w:szCs w:val="20"/>
          <w:color w:val="auto"/>
        </w:rPr>
      </w:pPr>
    </w:p>
    <w:tbl>
      <w:tblPr>
        <w:tblLayout w:type="fixed"/>
        <w:tblInd w:w="340" w:type="dxa"/>
        <w:tblCellMar>
          <w:top w:w="0" w:type="dxa"/>
          <w:left w:w="0" w:type="dxa"/>
          <w:bottom w:w="0" w:type="dxa"/>
          <w:right w:w="0" w:type="dxa"/>
        </w:tblCellMar>
      </w:tblPr>
      <w:tr>
        <w:trPr>
          <w:trHeight w:val="155"/>
        </w:trPr>
        <w:tc>
          <w:tcPr>
            <w:tcW w:w="2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QUARTERLY TRENDS</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1"/>
                <w:szCs w:val="11"/>
                <w:b w:val="1"/>
                <w:bCs w:val="1"/>
                <w:color w:val="auto"/>
              </w:rPr>
              <w:t>FULL YEAR</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3"/>
            <w:vMerge w:val="restart"/>
          </w:tcPr>
          <w:p>
            <w:pPr>
              <w:jc w:val="right"/>
              <w:ind w:right="206"/>
              <w:spacing w:after="0"/>
              <w:rPr>
                <w:sz w:val="20"/>
                <w:szCs w:val="20"/>
                <w:color w:val="auto"/>
              </w:rPr>
            </w:pPr>
            <w:r>
              <w:rPr>
                <w:rFonts w:ascii="Arial" w:cs="Arial" w:eastAsia="Arial" w:hAnsi="Arial"/>
                <w:sz w:val="11"/>
                <w:szCs w:val="11"/>
                <w:b w:val="1"/>
                <w:bCs w:val="1"/>
                <w:color w:val="auto"/>
              </w:rPr>
              <w:t>4Q23 Change</w:t>
            </w:r>
          </w:p>
        </w:tc>
        <w:tc>
          <w:tcPr>
            <w:tcW w:w="16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gridSpan w:val="2"/>
          </w:tcPr>
          <w:p>
            <w:pPr>
              <w:jc w:val="right"/>
              <w:ind w:right="166"/>
              <w:spacing w:after="0" w:line="109" w:lineRule="exact"/>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55"/>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Borders>
              <w:bottom w:val="single" w:sz="8" w:color="auto"/>
            </w:tcBorders>
            <w:gridSpan w:val="3"/>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5"/>
        </w:trPr>
        <w:tc>
          <w:tcPr>
            <w:tcW w:w="2000" w:type="dxa"/>
            <w:vAlign w:val="bottom"/>
          </w:tcPr>
          <w:p>
            <w:pPr>
              <w:ind w:left="20"/>
              <w:spacing w:after="0"/>
              <w:rPr>
                <w:sz w:val="20"/>
                <w:szCs w:val="20"/>
                <w:color w:val="auto"/>
              </w:rPr>
            </w:pPr>
            <w:r>
              <w:rPr>
                <w:rFonts w:ascii="Arial" w:cs="Arial" w:eastAsia="Arial" w:hAnsi="Arial"/>
                <w:sz w:val="11"/>
                <w:szCs w:val="11"/>
                <w:color w:val="auto"/>
              </w:rPr>
              <w:t>(in millions, except rates)</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4Q23</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3Q23</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2Q23</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1Q23</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4Q22</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3Q23</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4Q22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2023</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291"/>
        </w:trPr>
        <w:tc>
          <w:tcPr>
            <w:tcW w:w="2000" w:type="dxa"/>
            <w:vAlign w:val="bottom"/>
          </w:tcPr>
          <w:p>
            <w:pPr>
              <w:ind w:left="20"/>
              <w:spacing w:after="0"/>
              <w:rPr>
                <w:sz w:val="20"/>
                <w:szCs w:val="20"/>
                <w:color w:val="auto"/>
              </w:rPr>
            </w:pPr>
            <w:r>
              <w:rPr>
                <w:rFonts w:ascii="Arial" w:cs="Arial" w:eastAsia="Arial" w:hAnsi="Arial"/>
                <w:sz w:val="11"/>
                <w:szCs w:val="11"/>
                <w:color w:val="auto"/>
              </w:rPr>
              <w:t>Net interest income - reported</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24,051</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22,726</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21,779</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20,711</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20,192</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6 %</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19 %</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89,267</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66,710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34 %</w:t>
            </w: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rPr>
                <w:sz w:val="20"/>
                <w:szCs w:val="20"/>
                <w:color w:val="auto"/>
              </w:rPr>
            </w:pPr>
            <w:r>
              <w:rPr>
                <w:rFonts w:ascii="Arial" w:cs="Arial" w:eastAsia="Arial" w:hAnsi="Arial"/>
                <w:sz w:val="11"/>
                <w:szCs w:val="11"/>
                <w:color w:val="auto"/>
              </w:rPr>
              <w:t>Fully taxable-equivalent adjustments</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126</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130</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104</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120</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121</w:t>
            </w:r>
          </w:p>
        </w:tc>
        <w:tc>
          <w:tcPr>
            <w:tcW w:w="660" w:type="dxa"/>
            <w:vAlign w:val="bottom"/>
            <w:gridSpan w:val="2"/>
          </w:tcPr>
          <w:p>
            <w:pPr>
              <w:jc w:val="right"/>
              <w:ind w:right="66"/>
              <w:spacing w:after="0"/>
              <w:rPr>
                <w:sz w:val="20"/>
                <w:szCs w:val="20"/>
                <w:color w:val="auto"/>
              </w:rPr>
            </w:pPr>
            <w:r>
              <w:rPr>
                <w:rFonts w:ascii="Arial" w:cs="Arial" w:eastAsia="Arial" w:hAnsi="Arial"/>
                <w:sz w:val="11"/>
                <w:szCs w:val="11"/>
                <w:color w:val="auto"/>
              </w:rPr>
              <w:t>(3)</w:t>
            </w:r>
          </w:p>
        </w:tc>
        <w:tc>
          <w:tcPr>
            <w:tcW w:w="16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480</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434</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42"/>
        </w:trPr>
        <w:tc>
          <w:tcPr>
            <w:tcW w:w="2000" w:type="dxa"/>
            <w:vAlign w:val="bottom"/>
          </w:tcPr>
          <w:p>
            <w:pPr>
              <w:ind w:left="20"/>
              <w:spacing w:after="0"/>
              <w:rPr>
                <w:sz w:val="20"/>
                <w:szCs w:val="20"/>
                <w:color w:val="auto"/>
              </w:rPr>
            </w:pPr>
            <w:r>
              <w:rPr>
                <w:rFonts w:ascii="Arial" w:cs="Arial" w:eastAsia="Arial" w:hAnsi="Arial"/>
                <w:sz w:val="11"/>
                <w:szCs w:val="11"/>
                <w:color w:val="auto"/>
              </w:rPr>
              <w:t>Net interest income - managed basis (a)</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24,177</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22,856</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21,883</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20,831</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20,313</w:t>
            </w:r>
          </w:p>
        </w:tc>
        <w:tc>
          <w:tcPr>
            <w:tcW w:w="66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16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19</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89,747</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67,144</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rPr>
                <w:sz w:val="20"/>
                <w:szCs w:val="20"/>
                <w:color w:val="auto"/>
              </w:rPr>
            </w:pPr>
            <w:r>
              <w:rPr>
                <w:rFonts w:ascii="Arial" w:cs="Arial" w:eastAsia="Arial" w:hAnsi="Arial"/>
                <w:sz w:val="11"/>
                <w:szCs w:val="11"/>
                <w:color w:val="auto"/>
              </w:rPr>
              <w:t>Less: Markets net interest income</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615</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(317)</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(487)</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(105)</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315</w:t>
            </w:r>
          </w:p>
        </w:tc>
        <w:tc>
          <w:tcPr>
            <w:tcW w:w="160" w:type="dxa"/>
            <w:vAlign w:val="bottom"/>
          </w:tcPr>
          <w:p>
            <w:pPr>
              <w:spacing w:after="0"/>
              <w:rPr>
                <w:sz w:val="15"/>
                <w:szCs w:val="15"/>
                <w:color w:val="auto"/>
              </w:rPr>
            </w:pPr>
          </w:p>
        </w:tc>
        <w:tc>
          <w:tcPr>
            <w:tcW w:w="660" w:type="dxa"/>
            <w:vAlign w:val="bottom"/>
            <w:gridSpan w:val="2"/>
          </w:tcPr>
          <w:p>
            <w:pPr>
              <w:ind w:left="300"/>
              <w:spacing w:after="0"/>
              <w:rPr>
                <w:sz w:val="20"/>
                <w:szCs w:val="20"/>
                <w:color w:val="auto"/>
              </w:rPr>
            </w:pPr>
            <w:r>
              <w:rPr>
                <w:rFonts w:ascii="Arial" w:cs="Arial" w:eastAsia="Arial" w:hAnsi="Arial"/>
                <w:sz w:val="11"/>
                <w:szCs w:val="11"/>
                <w:color w:val="auto"/>
              </w:rPr>
              <w:t>NM</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95</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(294)</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4,789</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95"/>
        </w:trPr>
        <w:tc>
          <w:tcPr>
            <w:tcW w:w="200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Net interest income excluding Markets</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23,562</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23,173</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22,370</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20,936</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19,998</w:t>
            </w:r>
          </w:p>
        </w:tc>
        <w:tc>
          <w:tcPr>
            <w:tcW w:w="66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8"/>
                <w:szCs w:val="8"/>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18</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90,041</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62,355</w:t>
            </w:r>
          </w:p>
        </w:tc>
        <w:tc>
          <w:tcPr>
            <w:tcW w:w="88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60"/>
        </w:trPr>
        <w:tc>
          <w:tcPr>
            <w:tcW w:w="20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00" w:type="dxa"/>
            <w:vAlign w:val="bottom"/>
          </w:tcPr>
          <w:p>
            <w:pPr>
              <w:ind w:left="20"/>
              <w:spacing w:after="0"/>
              <w:rPr>
                <w:sz w:val="20"/>
                <w:szCs w:val="20"/>
                <w:color w:val="auto"/>
              </w:rPr>
            </w:pPr>
            <w:r>
              <w:rPr>
                <w:rFonts w:ascii="Arial" w:cs="Arial" w:eastAsia="Arial" w:hAnsi="Arial"/>
                <w:sz w:val="11"/>
                <w:szCs w:val="11"/>
                <w:color w:val="auto"/>
              </w:rPr>
              <w:t>Average interest-earning assets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3,408,395</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3,331,728</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3,343,780</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3,216,757</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w w:val="97"/>
              </w:rPr>
              <w:t>3,265,071</w:t>
            </w:r>
          </w:p>
        </w:tc>
        <w:tc>
          <w:tcPr>
            <w:tcW w:w="660" w:type="dxa"/>
            <w:vAlign w:val="bottom"/>
            <w:gridSpan w:val="2"/>
          </w:tcPr>
          <w:p>
            <w:pPr>
              <w:jc w:val="right"/>
              <w:ind w:right="106"/>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3"/>
              </w:rPr>
              <w:t>3,325,708</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w w:val="97"/>
              </w:rPr>
              <w:t>3,349,079</w:t>
            </w:r>
          </w:p>
        </w:tc>
        <w:tc>
          <w:tcPr>
            <w:tcW w:w="880" w:type="dxa"/>
            <w:vAlign w:val="bottom"/>
            <w:gridSpan w:val="2"/>
          </w:tcPr>
          <w:p>
            <w:pPr>
              <w:jc w:val="right"/>
              <w:ind w:right="6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28"/>
        </w:trPr>
        <w:tc>
          <w:tcPr>
            <w:tcW w:w="2000" w:type="dxa"/>
            <w:vAlign w:val="bottom"/>
          </w:tcPr>
          <w:p>
            <w:pPr>
              <w:ind w:left="20"/>
              <w:spacing w:after="0"/>
              <w:rPr>
                <w:sz w:val="20"/>
                <w:szCs w:val="20"/>
                <w:color w:val="auto"/>
              </w:rPr>
            </w:pPr>
            <w:r>
              <w:rPr>
                <w:rFonts w:ascii="Arial" w:cs="Arial" w:eastAsia="Arial" w:hAnsi="Arial"/>
                <w:sz w:val="11"/>
                <w:szCs w:val="11"/>
                <w:color w:val="auto"/>
              </w:rPr>
              <w:t>Less: Average Markets interest-earning</w:t>
            </w: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985,997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970,789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w w:val="97"/>
              </w:rPr>
              <w:t>1,003,877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982,572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939,420</w:t>
            </w:r>
          </w:p>
        </w:tc>
        <w:tc>
          <w:tcPr>
            <w:tcW w:w="66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11"/>
                <w:szCs w:val="11"/>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985,777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953,195</w:t>
            </w:r>
          </w:p>
        </w:tc>
        <w:tc>
          <w:tcPr>
            <w:tcW w:w="88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5"/>
        </w:trPr>
        <w:tc>
          <w:tcPr>
            <w:tcW w:w="2000" w:type="dxa"/>
            <w:vAlign w:val="bottom"/>
          </w:tcPr>
          <w:p>
            <w:pPr>
              <w:ind w:left="20"/>
              <w:spacing w:after="0"/>
              <w:rPr>
                <w:sz w:val="20"/>
                <w:szCs w:val="20"/>
                <w:color w:val="auto"/>
              </w:rPr>
            </w:pPr>
            <w:r>
              <w:rPr>
                <w:rFonts w:ascii="Arial" w:cs="Arial" w:eastAsia="Arial" w:hAnsi="Arial"/>
                <w:sz w:val="11"/>
                <w:szCs w:val="11"/>
                <w:color w:val="auto"/>
              </w:rPr>
              <w:t>assets</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0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Average interest-earning assets</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3"/>
              </w:rPr>
              <w:t>2,422,398</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3"/>
              </w:rPr>
              <w:t>2,360,939</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7"/>
              </w:rPr>
              <w:t>2,339,903</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7"/>
              </w:rPr>
              <w:t>2,234,185</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7"/>
              </w:rPr>
              <w:t>2,325,651</w:t>
            </w:r>
          </w:p>
        </w:tc>
        <w:tc>
          <w:tcPr>
            <w:tcW w:w="66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3</w:t>
            </w:r>
          </w:p>
        </w:tc>
        <w:tc>
          <w:tcPr>
            <w:tcW w:w="160" w:type="dxa"/>
            <w:vAlign w:val="bottom"/>
          </w:tcPr>
          <w:p>
            <w:pPr>
              <w:spacing w:after="0"/>
              <w:rPr>
                <w:sz w:val="8"/>
                <w:szCs w:val="8"/>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4</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3"/>
              </w:rPr>
              <w:t>2,339,931</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7"/>
              </w:rPr>
              <w:t>2,395,884</w:t>
            </w:r>
          </w:p>
        </w:tc>
        <w:tc>
          <w:tcPr>
            <w:tcW w:w="88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0"/>
        </w:trPr>
        <w:tc>
          <w:tcPr>
            <w:tcW w:w="2000" w:type="dxa"/>
            <w:vAlign w:val="bottom"/>
          </w:tcPr>
          <w:p>
            <w:pPr>
              <w:ind w:left="20"/>
              <w:spacing w:after="0"/>
              <w:rPr>
                <w:sz w:val="20"/>
                <w:szCs w:val="20"/>
                <w:color w:val="auto"/>
              </w:rPr>
            </w:pPr>
            <w:r>
              <w:rPr>
                <w:rFonts w:ascii="Arial" w:cs="Arial" w:eastAsia="Arial" w:hAnsi="Arial"/>
                <w:sz w:val="11"/>
                <w:szCs w:val="11"/>
                <w:b w:val="1"/>
                <w:bCs w:val="1"/>
                <w:color w:val="auto"/>
              </w:rPr>
              <w:t>excluding Markets</w:t>
            </w: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00" w:type="dxa"/>
            <w:vAlign w:val="bottom"/>
          </w:tcPr>
          <w:p>
            <w:pPr>
              <w:ind w:left="20"/>
              <w:spacing w:after="0"/>
              <w:rPr>
                <w:sz w:val="20"/>
                <w:szCs w:val="20"/>
                <w:color w:val="auto"/>
              </w:rPr>
            </w:pPr>
            <w:r>
              <w:rPr>
                <w:rFonts w:ascii="Arial" w:cs="Arial" w:eastAsia="Arial" w:hAnsi="Arial"/>
                <w:sz w:val="11"/>
                <w:szCs w:val="11"/>
                <w:color w:val="auto"/>
              </w:rPr>
              <w:t>Net yield on average interest-earning</w:t>
            </w:r>
          </w:p>
        </w:tc>
        <w:tc>
          <w:tcPr>
            <w:tcW w:w="10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2.81 %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2.72 %</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2.62 %</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2.63 %</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2.47 %</w:t>
            </w: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2.70 %</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2.00 %</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00" w:type="dxa"/>
            <w:vAlign w:val="bottom"/>
          </w:tcPr>
          <w:p>
            <w:pPr>
              <w:ind w:left="20"/>
              <w:spacing w:after="0"/>
              <w:rPr>
                <w:sz w:val="20"/>
                <w:szCs w:val="20"/>
                <w:color w:val="auto"/>
              </w:rPr>
            </w:pPr>
            <w:r>
              <w:rPr>
                <w:rFonts w:ascii="Arial" w:cs="Arial" w:eastAsia="Arial" w:hAnsi="Arial"/>
                <w:sz w:val="11"/>
                <w:szCs w:val="11"/>
                <w:color w:val="auto"/>
              </w:rPr>
              <w:t>assets - managed basis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00" w:type="dxa"/>
            <w:vAlign w:val="bottom"/>
          </w:tcPr>
          <w:p>
            <w:pPr>
              <w:ind w:left="20"/>
              <w:spacing w:after="0"/>
              <w:rPr>
                <w:sz w:val="20"/>
                <w:szCs w:val="20"/>
                <w:color w:val="auto"/>
              </w:rPr>
            </w:pPr>
            <w:r>
              <w:rPr>
                <w:rFonts w:ascii="Arial" w:cs="Arial" w:eastAsia="Arial" w:hAnsi="Arial"/>
                <w:sz w:val="11"/>
                <w:szCs w:val="11"/>
                <w:color w:val="auto"/>
              </w:rPr>
              <w:t>Net yield on average Markets interest-</w:t>
            </w: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color w:val="auto"/>
              </w:rPr>
              <w:t>0.25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(0.13)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(0.19)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(0.04)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0.13</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(0.03)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0.50</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00" w:type="dxa"/>
            <w:vAlign w:val="bottom"/>
          </w:tcPr>
          <w:p>
            <w:pPr>
              <w:ind w:left="20"/>
              <w:spacing w:after="0"/>
              <w:rPr>
                <w:sz w:val="20"/>
                <w:szCs w:val="20"/>
                <w:color w:val="auto"/>
              </w:rPr>
            </w:pPr>
            <w:r>
              <w:rPr>
                <w:rFonts w:ascii="Arial" w:cs="Arial" w:eastAsia="Arial" w:hAnsi="Arial"/>
                <w:sz w:val="11"/>
                <w:szCs w:val="11"/>
                <w:color w:val="auto"/>
              </w:rPr>
              <w:t>earning assets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00" w:type="dxa"/>
            <w:vAlign w:val="bottom"/>
          </w:tcPr>
          <w:p>
            <w:pPr>
              <w:ind w:left="20"/>
              <w:spacing w:after="0"/>
              <w:rPr>
                <w:sz w:val="20"/>
                <w:szCs w:val="20"/>
                <w:color w:val="auto"/>
              </w:rPr>
            </w:pPr>
            <w:r>
              <w:rPr>
                <w:rFonts w:ascii="Arial" w:cs="Arial" w:eastAsia="Arial" w:hAnsi="Arial"/>
                <w:sz w:val="11"/>
                <w:szCs w:val="11"/>
                <w:b w:val="1"/>
                <w:bCs w:val="1"/>
                <w:color w:val="auto"/>
              </w:rPr>
              <w:t>Net yield on average interest-earning</w:t>
            </w: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3.86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3.89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3.83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3.80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3.41</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3.85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2.60</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rPr>
                <w:sz w:val="20"/>
                <w:szCs w:val="20"/>
                <w:color w:val="auto"/>
              </w:rPr>
            </w:pPr>
            <w:r>
              <w:rPr>
                <w:rFonts w:ascii="Arial" w:cs="Arial" w:eastAsia="Arial" w:hAnsi="Arial"/>
                <w:sz w:val="11"/>
                <w:szCs w:val="11"/>
                <w:b w:val="1"/>
                <w:bCs w:val="1"/>
                <w:color w:val="auto"/>
              </w:rPr>
              <w:t>assets excluding Markets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2000" w:type="dxa"/>
            <w:vAlign w:val="bottom"/>
          </w:tcPr>
          <w:p>
            <w:pPr>
              <w:ind w:left="20"/>
              <w:spacing w:after="0"/>
              <w:rPr>
                <w:sz w:val="20"/>
                <w:szCs w:val="20"/>
                <w:color w:val="auto"/>
              </w:rPr>
            </w:pPr>
            <w:r>
              <w:rPr>
                <w:rFonts w:ascii="Arial" w:cs="Arial" w:eastAsia="Arial" w:hAnsi="Arial"/>
                <w:sz w:val="11"/>
                <w:szCs w:val="11"/>
                <w:color w:val="auto"/>
              </w:rPr>
              <w:t>Noninterest revenue - reported</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14,523</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17,148</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19,528</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17,638</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14,355</w:t>
            </w:r>
          </w:p>
        </w:tc>
        <w:tc>
          <w:tcPr>
            <w:tcW w:w="660" w:type="dxa"/>
            <w:vAlign w:val="bottom"/>
            <w:gridSpan w:val="2"/>
          </w:tcPr>
          <w:p>
            <w:pPr>
              <w:jc w:val="right"/>
              <w:ind w:right="66"/>
              <w:spacing w:after="0"/>
              <w:rPr>
                <w:sz w:val="20"/>
                <w:szCs w:val="20"/>
                <w:color w:val="auto"/>
              </w:rPr>
            </w:pPr>
            <w:r>
              <w:rPr>
                <w:rFonts w:ascii="Arial" w:cs="Arial" w:eastAsia="Arial" w:hAnsi="Arial"/>
                <w:sz w:val="11"/>
                <w:szCs w:val="11"/>
                <w:color w:val="auto"/>
              </w:rPr>
              <w:t>(15)</w:t>
            </w:r>
          </w:p>
        </w:tc>
        <w:tc>
          <w:tcPr>
            <w:tcW w:w="16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68,837</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61,985</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rPr>
                <w:sz w:val="20"/>
                <w:szCs w:val="20"/>
                <w:color w:val="auto"/>
              </w:rPr>
            </w:pPr>
            <w:r>
              <w:rPr>
                <w:rFonts w:ascii="Arial" w:cs="Arial" w:eastAsia="Arial" w:hAnsi="Arial"/>
                <w:sz w:val="11"/>
                <w:szCs w:val="11"/>
                <w:color w:val="auto"/>
              </w:rPr>
              <w:t>Fully taxable-equivalent adjustments</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1,243</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682</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990</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867</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898</w:t>
            </w:r>
          </w:p>
        </w:tc>
        <w:tc>
          <w:tcPr>
            <w:tcW w:w="660" w:type="dxa"/>
            <w:vAlign w:val="bottom"/>
            <w:gridSpan w:val="2"/>
          </w:tcPr>
          <w:p>
            <w:pPr>
              <w:jc w:val="right"/>
              <w:ind w:right="106"/>
              <w:spacing w:after="0"/>
              <w:rPr>
                <w:sz w:val="20"/>
                <w:szCs w:val="20"/>
                <w:color w:val="auto"/>
              </w:rPr>
            </w:pPr>
            <w:r>
              <w:rPr>
                <w:rFonts w:ascii="Arial" w:cs="Arial" w:eastAsia="Arial" w:hAnsi="Arial"/>
                <w:sz w:val="11"/>
                <w:szCs w:val="11"/>
                <w:color w:val="auto"/>
              </w:rPr>
              <w:t>82</w:t>
            </w:r>
          </w:p>
        </w:tc>
        <w:tc>
          <w:tcPr>
            <w:tcW w:w="160" w:type="dxa"/>
            <w:vAlign w:val="bottom"/>
          </w:tcPr>
          <w:p>
            <w:pPr>
              <w:spacing w:after="0"/>
              <w:rPr>
                <w:sz w:val="15"/>
                <w:szCs w:val="15"/>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38</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3,782</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3,148</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42"/>
        </w:trPr>
        <w:tc>
          <w:tcPr>
            <w:tcW w:w="2000" w:type="dxa"/>
            <w:vAlign w:val="bottom"/>
          </w:tcPr>
          <w:p>
            <w:pPr>
              <w:ind w:left="20"/>
              <w:spacing w:after="0"/>
              <w:rPr>
                <w:sz w:val="20"/>
                <w:szCs w:val="20"/>
                <w:color w:val="auto"/>
              </w:rPr>
            </w:pPr>
            <w:r>
              <w:rPr>
                <w:rFonts w:ascii="Arial" w:cs="Arial" w:eastAsia="Arial" w:hAnsi="Arial"/>
                <w:sz w:val="11"/>
                <w:szCs w:val="11"/>
                <w:color w:val="auto"/>
              </w:rPr>
              <w:t>Noninterest revenue - managed basis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15,766</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17,830</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20,518</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18,505</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15,253</w:t>
            </w:r>
          </w:p>
        </w:tc>
        <w:tc>
          <w:tcPr>
            <w:tcW w:w="660" w:type="dxa"/>
            <w:vAlign w:val="bottom"/>
            <w:gridSpan w:val="2"/>
          </w:tcPr>
          <w:p>
            <w:pPr>
              <w:jc w:val="right"/>
              <w:ind w:right="66"/>
              <w:spacing w:after="0"/>
              <w:rPr>
                <w:sz w:val="20"/>
                <w:szCs w:val="20"/>
                <w:color w:val="auto"/>
              </w:rPr>
            </w:pPr>
            <w:r>
              <w:rPr>
                <w:rFonts w:ascii="Arial" w:cs="Arial" w:eastAsia="Arial" w:hAnsi="Arial"/>
                <w:sz w:val="11"/>
                <w:szCs w:val="11"/>
                <w:color w:val="auto"/>
              </w:rPr>
              <w:t>(12)</w:t>
            </w:r>
          </w:p>
        </w:tc>
        <w:tc>
          <w:tcPr>
            <w:tcW w:w="16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72,619</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65,133</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rPr>
                <w:sz w:val="20"/>
                <w:szCs w:val="20"/>
                <w:color w:val="auto"/>
              </w:rPr>
            </w:pPr>
            <w:r>
              <w:rPr>
                <w:rFonts w:ascii="Arial" w:cs="Arial" w:eastAsia="Arial" w:hAnsi="Arial"/>
                <w:sz w:val="11"/>
                <w:szCs w:val="11"/>
                <w:color w:val="auto"/>
              </w:rPr>
              <w:t>Less: Markets noninterest revenue</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5,196</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6,898</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7,505</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8,487</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5,355</w:t>
            </w:r>
          </w:p>
        </w:tc>
        <w:tc>
          <w:tcPr>
            <w:tcW w:w="660" w:type="dxa"/>
            <w:vAlign w:val="bottom"/>
            <w:gridSpan w:val="2"/>
          </w:tcPr>
          <w:p>
            <w:pPr>
              <w:jc w:val="right"/>
              <w:ind w:right="66"/>
              <w:spacing w:after="0"/>
              <w:rPr>
                <w:sz w:val="20"/>
                <w:szCs w:val="20"/>
                <w:color w:val="auto"/>
              </w:rPr>
            </w:pPr>
            <w:r>
              <w:rPr>
                <w:rFonts w:ascii="Arial" w:cs="Arial" w:eastAsia="Arial" w:hAnsi="Arial"/>
                <w:sz w:val="11"/>
                <w:szCs w:val="11"/>
                <w:color w:val="auto"/>
              </w:rPr>
              <w:t>(25)</w:t>
            </w:r>
          </w:p>
        </w:tc>
        <w:tc>
          <w:tcPr>
            <w:tcW w:w="16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28,086</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24,195</w:t>
            </w:r>
          </w:p>
        </w:tc>
        <w:tc>
          <w:tcPr>
            <w:tcW w:w="880" w:type="dxa"/>
            <w:vAlign w:val="bottom"/>
            <w:gridSpan w:val="2"/>
          </w:tcPr>
          <w:p>
            <w:pPr>
              <w:jc w:val="right"/>
              <w:ind w:right="10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95"/>
        </w:trPr>
        <w:tc>
          <w:tcPr>
            <w:tcW w:w="200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Noninterest revenue excluding</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10,570</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10,932</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13,013</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10,018</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9,898</w:t>
            </w:r>
          </w:p>
        </w:tc>
        <w:tc>
          <w:tcPr>
            <w:tcW w:w="66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(3)</w:t>
            </w:r>
          </w:p>
        </w:tc>
        <w:tc>
          <w:tcPr>
            <w:tcW w:w="160" w:type="dxa"/>
            <w:vAlign w:val="bottom"/>
          </w:tcPr>
          <w:p>
            <w:pPr>
              <w:spacing w:after="0"/>
              <w:rPr>
                <w:sz w:val="8"/>
                <w:szCs w:val="8"/>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1"/>
                <w:szCs w:val="11"/>
                <w:color w:val="auto"/>
              </w:rPr>
              <w:t>7</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44,533</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40,938</w:t>
            </w:r>
          </w:p>
        </w:tc>
        <w:tc>
          <w:tcPr>
            <w:tcW w:w="88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60"/>
        </w:trPr>
        <w:tc>
          <w:tcPr>
            <w:tcW w:w="2000" w:type="dxa"/>
            <w:vAlign w:val="bottom"/>
          </w:tcPr>
          <w:p>
            <w:pPr>
              <w:ind w:left="20"/>
              <w:spacing w:after="0"/>
              <w:rPr>
                <w:sz w:val="20"/>
                <w:szCs w:val="20"/>
                <w:color w:val="auto"/>
              </w:rPr>
            </w:pPr>
            <w:r>
              <w:rPr>
                <w:rFonts w:ascii="Arial" w:cs="Arial" w:eastAsia="Arial" w:hAnsi="Arial"/>
                <w:sz w:val="11"/>
                <w:szCs w:val="11"/>
                <w:b w:val="1"/>
                <w:bCs w:val="1"/>
                <w:color w:val="auto"/>
              </w:rPr>
              <w:t>Markets</w:t>
            </w: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00" w:type="dxa"/>
            <w:vAlign w:val="bottom"/>
          </w:tcPr>
          <w:p>
            <w:pPr>
              <w:ind w:left="20"/>
              <w:spacing w:after="0"/>
              <w:rPr>
                <w:sz w:val="20"/>
                <w:szCs w:val="20"/>
                <w:color w:val="auto"/>
              </w:rPr>
            </w:pPr>
            <w:r>
              <w:rPr>
                <w:rFonts w:ascii="Arial" w:cs="Arial" w:eastAsia="Arial" w:hAnsi="Arial"/>
                <w:sz w:val="11"/>
                <w:szCs w:val="11"/>
                <w:b w:val="1"/>
                <w:bCs w:val="1"/>
                <w:color w:val="auto"/>
              </w:rPr>
              <w:t>Memo: Markets total net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5,811</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6,581</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7,018</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8,382</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5,670</w:t>
            </w:r>
          </w:p>
        </w:tc>
        <w:tc>
          <w:tcPr>
            <w:tcW w:w="660" w:type="dxa"/>
            <w:vAlign w:val="bottom"/>
            <w:gridSpan w:val="2"/>
          </w:tcPr>
          <w:p>
            <w:pPr>
              <w:jc w:val="right"/>
              <w:ind w:right="66"/>
              <w:spacing w:after="0"/>
              <w:rPr>
                <w:sz w:val="20"/>
                <w:szCs w:val="20"/>
                <w:color w:val="auto"/>
              </w:rPr>
            </w:pPr>
            <w:r>
              <w:rPr>
                <w:rFonts w:ascii="Arial" w:cs="Arial" w:eastAsia="Arial" w:hAnsi="Arial"/>
                <w:sz w:val="11"/>
                <w:szCs w:val="11"/>
                <w:color w:val="auto"/>
              </w:rPr>
              <w:t>(12)</w:t>
            </w:r>
          </w:p>
        </w:tc>
        <w:tc>
          <w:tcPr>
            <w:tcW w:w="1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27,792</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28,984</w:t>
            </w:r>
          </w:p>
        </w:tc>
        <w:tc>
          <w:tcPr>
            <w:tcW w:w="880" w:type="dxa"/>
            <w:vAlign w:val="bottom"/>
            <w:gridSpan w:val="2"/>
          </w:tcPr>
          <w:p>
            <w:pPr>
              <w:jc w:val="right"/>
              <w:ind w:right="6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9"/>
        </w:trPr>
        <w:tc>
          <w:tcPr>
            <w:tcW w:w="2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spacing w:after="0"/>
        <w:rPr>
          <w:sz w:val="20"/>
          <w:szCs w:val="20"/>
          <w:color w:val="auto"/>
        </w:rPr>
      </w:pPr>
      <w:r>
        <w:rPr>
          <w:rFonts w:ascii="Arial" w:cs="Arial" w:eastAsia="Arial" w:hAnsi="Arial"/>
          <w:sz w:val="11"/>
          <w:szCs w:val="11"/>
          <w:color w:val="auto"/>
        </w:rPr>
        <w:t>(a) Interest includes the effect of related hedges. Taxable-equivalent amounts are used where applicable.</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30</w:t>
      </w:r>
    </w:p>
    <w:p>
      <w:pPr>
        <w:sectPr>
          <w:pgSz w:w="11900" w:h="16838" w:orient="portrait"/>
          <w:cols w:equalWidth="0" w:num="1">
            <w:col w:w="11240"/>
          </w:cols>
          <w:pgMar w:left="320" w:top="612"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11"/>
          <w:szCs w:val="11"/>
          <w:b w:val="1"/>
          <w:bCs w:val="1"/>
          <w:color w:val="auto"/>
        </w:rPr>
        <w:t>JPMORGAN CHASE &amp;</w:t>
      </w:r>
    </w:p>
    <w:p>
      <w:pPr>
        <w:ind w:left="20"/>
        <w:spacing w:after="0"/>
        <w:rPr>
          <w:sz w:val="20"/>
          <w:szCs w:val="20"/>
          <w:color w:val="auto"/>
        </w:rPr>
      </w:pPr>
      <w:r>
        <w:rPr>
          <w:rFonts w:ascii="Arial" w:cs="Arial" w:eastAsia="Arial" w:hAnsi="Arial"/>
          <w:sz w:val="11"/>
          <w:szCs w:val="11"/>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-69215</wp:posOffset>
            </wp:positionV>
            <wp:extent cx="237426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74265" cy="17145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SUPPLEMENTAL INFORMATION ON FIRST REPUBLIC</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15"/>
          </w:tcPr>
          <w:p>
            <w:pPr>
              <w:jc w:val="center"/>
              <w:ind w:right="46"/>
              <w:spacing w:after="0"/>
              <w:rPr>
                <w:sz w:val="20"/>
                <w:szCs w:val="20"/>
                <w:color w:val="auto"/>
              </w:rPr>
            </w:pPr>
            <w:r>
              <w:rPr>
                <w:rFonts w:ascii="Arial" w:cs="Arial" w:eastAsia="Arial" w:hAnsi="Arial"/>
                <w:sz w:val="11"/>
                <w:szCs w:val="11"/>
                <w:b w:val="1"/>
                <w:bCs w:val="1"/>
                <w:color w:val="auto"/>
                <w:w w:val="97"/>
              </w:rPr>
              <w:t>THREE MONTHS ENDED DECEMBER 31, 2023</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17"/>
          </w:tcPr>
          <w:p>
            <w:pPr>
              <w:jc w:val="right"/>
              <w:ind w:right="300"/>
              <w:spacing w:after="0"/>
              <w:rPr>
                <w:sz w:val="20"/>
                <w:szCs w:val="20"/>
                <w:color w:val="auto"/>
              </w:rPr>
            </w:pPr>
            <w:r>
              <w:rPr>
                <w:rFonts w:ascii="Arial" w:cs="Arial" w:eastAsia="Arial" w:hAnsi="Arial"/>
                <w:sz w:val="11"/>
                <w:szCs w:val="11"/>
                <w:b w:val="1"/>
                <w:bCs w:val="1"/>
                <w:color w:val="auto"/>
              </w:rPr>
              <w:t>THREE MONTHS ENDED SEPTEMBER 30, 2023</w:t>
            </w:r>
          </w:p>
        </w:tc>
        <w:tc>
          <w:tcPr>
            <w:tcW w:w="2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16"/>
          </w:tcPr>
          <w:p>
            <w:pPr>
              <w:ind w:left="20"/>
              <w:spacing w:after="0"/>
              <w:rPr>
                <w:sz w:val="20"/>
                <w:szCs w:val="20"/>
                <w:color w:val="auto"/>
              </w:rPr>
            </w:pPr>
            <w:r>
              <w:rPr>
                <w:rFonts w:ascii="Arial" w:cs="Arial" w:eastAsia="Arial" w:hAnsi="Arial"/>
                <w:sz w:val="11"/>
                <w:szCs w:val="11"/>
                <w:b w:val="1"/>
                <w:bCs w:val="1"/>
                <w:color w:val="auto"/>
                <w:w w:val="99"/>
              </w:rPr>
              <w:t>THREE MONTHS ENDED JUNE 30, 2023</w:t>
            </w:r>
          </w:p>
        </w:tc>
        <w:tc>
          <w:tcPr>
            <w:tcW w:w="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ind w:right="86"/>
              <w:spacing w:after="0"/>
              <w:rPr>
                <w:sz w:val="20"/>
                <w:szCs w:val="20"/>
                <w:color w:val="auto"/>
              </w:rPr>
            </w:pPr>
            <w:r>
              <w:rPr>
                <w:rFonts w:ascii="Arial" w:cs="Arial" w:eastAsia="Arial" w:hAnsi="Arial"/>
                <w:sz w:val="11"/>
                <w:szCs w:val="11"/>
                <w:b w:val="1"/>
                <w:bCs w:val="1"/>
                <w:color w:val="auto"/>
              </w:rPr>
              <w:t>CCB</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3"/>
          </w:tcPr>
          <w:p>
            <w:pPr>
              <w:ind w:left="80"/>
              <w:spacing w:after="0"/>
              <w:rPr>
                <w:sz w:val="20"/>
                <w:szCs w:val="20"/>
                <w:color w:val="auto"/>
              </w:rPr>
            </w:pPr>
            <w:r>
              <w:rPr>
                <w:rFonts w:ascii="Arial" w:cs="Arial" w:eastAsia="Arial" w:hAnsi="Arial"/>
                <w:sz w:val="11"/>
                <w:szCs w:val="11"/>
                <w:b w:val="1"/>
                <w:bCs w:val="1"/>
                <w:color w:val="auto"/>
              </w:rPr>
              <w:t>CB</w:t>
            </w:r>
          </w:p>
        </w:tc>
        <w:tc>
          <w:tcPr>
            <w:tcW w:w="80" w:type="dxa"/>
            <w:vAlign w:val="bottom"/>
          </w:tcPr>
          <w:p>
            <w:pPr>
              <w:spacing w:after="0"/>
              <w:rPr>
                <w:sz w:val="13"/>
                <w:szCs w:val="13"/>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AWM</w:t>
            </w:r>
          </w:p>
        </w:tc>
        <w:tc>
          <w:tcPr>
            <w:tcW w:w="42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rPr>
              <w:t>CORP</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6"/>
              <w:spacing w:after="0"/>
              <w:rPr>
                <w:sz w:val="20"/>
                <w:szCs w:val="20"/>
                <w:color w:val="auto"/>
              </w:rPr>
            </w:pPr>
            <w:r>
              <w:rPr>
                <w:rFonts w:ascii="Arial" w:cs="Arial" w:eastAsia="Arial" w:hAnsi="Arial"/>
                <w:sz w:val="11"/>
                <w:szCs w:val="11"/>
                <w:b w:val="1"/>
                <w:bCs w:val="1"/>
                <w:color w:val="auto"/>
              </w:rPr>
              <w:t>Total</w:t>
            </w:r>
          </w:p>
        </w:tc>
        <w:tc>
          <w:tcPr>
            <w:tcW w:w="200" w:type="dxa"/>
            <w:vAlign w:val="bottom"/>
          </w:tcPr>
          <w:p>
            <w:pPr>
              <w:spacing w:after="0"/>
              <w:rPr>
                <w:sz w:val="13"/>
                <w:szCs w:val="13"/>
                <w:color w:val="auto"/>
              </w:rPr>
            </w:pPr>
          </w:p>
        </w:tc>
        <w:tc>
          <w:tcPr>
            <w:tcW w:w="600" w:type="dxa"/>
            <w:vAlign w:val="bottom"/>
            <w:gridSpan w:val="3"/>
          </w:tcPr>
          <w:p>
            <w:pPr>
              <w:ind w:left="140"/>
              <w:spacing w:after="0"/>
              <w:rPr>
                <w:sz w:val="20"/>
                <w:szCs w:val="20"/>
                <w:color w:val="auto"/>
              </w:rPr>
            </w:pPr>
            <w:r>
              <w:rPr>
                <w:rFonts w:ascii="Arial" w:cs="Arial" w:eastAsia="Arial" w:hAnsi="Arial"/>
                <w:sz w:val="11"/>
                <w:szCs w:val="11"/>
                <w:b w:val="1"/>
                <w:bCs w:val="1"/>
                <w:color w:val="auto"/>
              </w:rPr>
              <w:t>CCB</w:t>
            </w:r>
          </w:p>
        </w:tc>
        <w:tc>
          <w:tcPr>
            <w:tcW w:w="100" w:type="dxa"/>
            <w:vAlign w:val="bottom"/>
          </w:tcPr>
          <w:p>
            <w:pPr>
              <w:spacing w:after="0"/>
              <w:rPr>
                <w:sz w:val="13"/>
                <w:szCs w:val="13"/>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CB</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rPr>
              <w:t>AWM</w:t>
            </w:r>
          </w:p>
        </w:tc>
        <w:tc>
          <w:tcPr>
            <w:tcW w:w="640" w:type="dxa"/>
            <w:vAlign w:val="bottom"/>
            <w:gridSpan w:val="3"/>
          </w:tcPr>
          <w:p>
            <w:pPr>
              <w:jc w:val="right"/>
              <w:ind w:right="226"/>
              <w:spacing w:after="0"/>
              <w:rPr>
                <w:sz w:val="20"/>
                <w:szCs w:val="20"/>
                <w:color w:val="auto"/>
              </w:rPr>
            </w:pPr>
            <w:r>
              <w:rPr>
                <w:rFonts w:ascii="Arial" w:cs="Arial" w:eastAsia="Arial" w:hAnsi="Arial"/>
                <w:sz w:val="11"/>
                <w:szCs w:val="11"/>
                <w:b w:val="1"/>
                <w:bCs w:val="1"/>
                <w:color w:val="auto"/>
              </w:rPr>
              <w:t>CORP</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Total</w:t>
            </w:r>
          </w:p>
        </w:tc>
        <w:tc>
          <w:tcPr>
            <w:tcW w:w="200" w:type="dxa"/>
            <w:vAlign w:val="bottom"/>
          </w:tcPr>
          <w:p>
            <w:pPr>
              <w:spacing w:after="0"/>
              <w:rPr>
                <w:sz w:val="13"/>
                <w:szCs w:val="13"/>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b w:val="1"/>
                <w:bCs w:val="1"/>
                <w:color w:val="auto"/>
              </w:rPr>
              <w:t>CCB</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106"/>
              <w:spacing w:after="0"/>
              <w:rPr>
                <w:sz w:val="20"/>
                <w:szCs w:val="20"/>
                <w:color w:val="auto"/>
              </w:rPr>
            </w:pPr>
            <w:r>
              <w:rPr>
                <w:rFonts w:ascii="Arial" w:cs="Arial" w:eastAsia="Arial" w:hAnsi="Arial"/>
                <w:sz w:val="11"/>
                <w:szCs w:val="11"/>
                <w:b w:val="1"/>
                <w:bCs w:val="1"/>
                <w:color w:val="auto"/>
              </w:rPr>
              <w:t>CB</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4"/>
              </w:rPr>
              <w:t>AWM</w:t>
            </w:r>
          </w:p>
        </w:tc>
        <w:tc>
          <w:tcPr>
            <w:tcW w:w="40" w:type="dxa"/>
            <w:vAlign w:val="bottom"/>
          </w:tcPr>
          <w:p>
            <w:pPr>
              <w:spacing w:after="0"/>
              <w:rPr>
                <w:sz w:val="13"/>
                <w:szCs w:val="13"/>
                <w:color w:val="auto"/>
              </w:rPr>
            </w:pPr>
          </w:p>
        </w:tc>
        <w:tc>
          <w:tcPr>
            <w:tcW w:w="440" w:type="dxa"/>
            <w:vAlign w:val="bottom"/>
            <w:gridSpan w:val="3"/>
          </w:tcPr>
          <w:p>
            <w:pPr>
              <w:jc w:val="right"/>
              <w:ind w:right="6"/>
              <w:spacing w:after="0"/>
              <w:rPr>
                <w:sz w:val="20"/>
                <w:szCs w:val="20"/>
                <w:color w:val="auto"/>
              </w:rPr>
            </w:pPr>
            <w:r>
              <w:rPr>
                <w:rFonts w:ascii="Arial" w:cs="Arial" w:eastAsia="Arial" w:hAnsi="Arial"/>
                <w:sz w:val="11"/>
                <w:szCs w:val="11"/>
                <w:b w:val="1"/>
                <w:bCs w:val="1"/>
                <w:color w:val="auto"/>
              </w:rPr>
              <w:t>CORP</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3"/>
                <w:szCs w:val="13"/>
                <w:color w:val="auto"/>
              </w:rPr>
            </w:pPr>
          </w:p>
        </w:tc>
      </w:tr>
      <w:tr>
        <w:trPr>
          <w:trHeight w:val="108"/>
        </w:trPr>
        <w:tc>
          <w:tcPr>
            <w:tcW w:w="1360" w:type="dxa"/>
            <w:vAlign w:val="bottom"/>
            <w:gridSpan w:val="5"/>
          </w:tcPr>
          <w:p>
            <w:pPr>
              <w:spacing w:after="0" w:line="108" w:lineRule="exact"/>
              <w:rPr>
                <w:sz w:val="20"/>
                <w:szCs w:val="20"/>
                <w:color w:val="auto"/>
              </w:rPr>
            </w:pPr>
            <w:r>
              <w:rPr>
                <w:rFonts w:ascii="Arial" w:cs="Arial" w:eastAsia="Arial" w:hAnsi="Arial"/>
                <w:sz w:val="11"/>
                <w:szCs w:val="11"/>
                <w:b w:val="1"/>
                <w:bCs w:val="1"/>
                <w:color w:val="auto"/>
              </w:rPr>
              <w:t>SELECTED INCOME</w:t>
            </w:r>
          </w:p>
        </w:tc>
        <w:tc>
          <w:tcPr>
            <w:tcW w:w="500" w:type="dxa"/>
            <w:vAlign w:val="bottom"/>
            <w:tcBorders>
              <w:top w:val="single" w:sz="8" w:color="auto"/>
            </w:tcBorders>
            <w:gridSpan w:val="2"/>
          </w:tcPr>
          <w:p>
            <w:pPr>
              <w:spacing w:after="0"/>
              <w:rPr>
                <w:sz w:val="9"/>
                <w:szCs w:val="9"/>
                <w:color w:val="auto"/>
              </w:rPr>
            </w:pPr>
          </w:p>
        </w:tc>
        <w:tc>
          <w:tcPr>
            <w:tcW w:w="200" w:type="dxa"/>
            <w:vAlign w:val="bottom"/>
            <w:gridSpan w:val="2"/>
          </w:tcPr>
          <w:p>
            <w:pPr>
              <w:spacing w:after="0"/>
              <w:rPr>
                <w:sz w:val="9"/>
                <w:szCs w:val="9"/>
                <w:color w:val="auto"/>
              </w:rPr>
            </w:pPr>
          </w:p>
        </w:tc>
        <w:tc>
          <w:tcPr>
            <w:tcW w:w="500" w:type="dxa"/>
            <w:vAlign w:val="bottom"/>
            <w:tcBorders>
              <w:top w:val="single" w:sz="8" w:color="auto"/>
            </w:tcBorders>
            <w:gridSpan w:val="3"/>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top w:val="single" w:sz="8" w:color="auto"/>
            </w:tcBorders>
            <w:gridSpan w:val="2"/>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top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top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top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top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gridSpan w:val="4"/>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top w:val="single" w:sz="8" w:color="auto"/>
            </w:tcBorders>
            <w:gridSpan w:val="2"/>
          </w:tcPr>
          <w:p>
            <w:pPr>
              <w:spacing w:after="0"/>
              <w:rPr>
                <w:sz w:val="9"/>
                <w:szCs w:val="9"/>
                <w:color w:val="auto"/>
              </w:rPr>
            </w:pPr>
          </w:p>
        </w:tc>
        <w:tc>
          <w:tcPr>
            <w:tcW w:w="120" w:type="dxa"/>
            <w:vAlign w:val="bottom"/>
            <w:gridSpan w:val="2"/>
          </w:tcPr>
          <w:p>
            <w:pPr>
              <w:spacing w:after="0"/>
              <w:rPr>
                <w:sz w:val="9"/>
                <w:szCs w:val="9"/>
                <w:color w:val="auto"/>
              </w:rPr>
            </w:pPr>
          </w:p>
        </w:tc>
        <w:tc>
          <w:tcPr>
            <w:tcW w:w="500" w:type="dxa"/>
            <w:vAlign w:val="bottom"/>
            <w:tcBorders>
              <w:top w:val="single" w:sz="8" w:color="auto"/>
            </w:tcBorders>
            <w:gridSpan w:val="3"/>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440" w:type="dxa"/>
            <w:vAlign w:val="bottom"/>
            <w:tcBorders>
              <w:top w:val="single" w:sz="8" w:color="auto"/>
            </w:tcBorders>
            <w:gridSpan w:val="3"/>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gridSpan w:val="2"/>
          </w:tcPr>
          <w:p>
            <w:pPr>
              <w:spacing w:after="0"/>
              <w:rPr>
                <w:sz w:val="9"/>
                <w:szCs w:val="9"/>
                <w:color w:val="auto"/>
              </w:rPr>
            </w:pPr>
          </w:p>
        </w:tc>
        <w:tc>
          <w:tcPr>
            <w:tcW w:w="140" w:type="dxa"/>
            <w:vAlign w:val="bottom"/>
          </w:tcPr>
          <w:p>
            <w:pPr>
              <w:spacing w:after="0"/>
              <w:rPr>
                <w:sz w:val="9"/>
                <w:szCs w:val="9"/>
                <w:color w:val="auto"/>
              </w:rPr>
            </w:pPr>
          </w:p>
        </w:tc>
      </w:tr>
      <w:tr>
        <w:trPr>
          <w:trHeight w:val="88"/>
        </w:trPr>
        <w:tc>
          <w:tcPr>
            <w:tcW w:w="104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STATEMENT DATA</w:t>
            </w:r>
          </w:p>
        </w:tc>
        <w:tc>
          <w:tcPr>
            <w:tcW w:w="10100" w:type="dxa"/>
            <w:vAlign w:val="bottom"/>
            <w:gridSpan w:val="58"/>
          </w:tcPr>
          <w:p>
            <w:pPr>
              <w:spacing w:after="0"/>
              <w:rPr>
                <w:sz w:val="7"/>
                <w:szCs w:val="7"/>
                <w:color w:val="auto"/>
              </w:rPr>
            </w:pPr>
          </w:p>
        </w:tc>
      </w:tr>
      <w:tr>
        <w:trPr>
          <w:trHeight w:val="168"/>
        </w:trPr>
        <w:tc>
          <w:tcPr>
            <w:tcW w:w="9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REVENUE</w:t>
            </w:r>
          </w:p>
        </w:tc>
        <w:tc>
          <w:tcPr>
            <w:tcW w:w="10180" w:type="dxa"/>
            <w:vAlign w:val="bottom"/>
            <w:gridSpan w:val="59"/>
          </w:tcPr>
          <w:p>
            <w:pPr>
              <w:spacing w:after="0"/>
              <w:rPr>
                <w:sz w:val="14"/>
                <w:szCs w:val="14"/>
                <w:color w:val="auto"/>
              </w:rPr>
            </w:pPr>
          </w:p>
        </w:tc>
      </w:tr>
      <w:tr>
        <w:trPr>
          <w:trHeight w:val="156"/>
        </w:trPr>
        <w:tc>
          <w:tcPr>
            <w:tcW w:w="1360" w:type="dxa"/>
            <w:vAlign w:val="bottom"/>
            <w:gridSpan w:val="5"/>
          </w:tcPr>
          <w:p>
            <w:pPr>
              <w:spacing w:after="0"/>
              <w:rPr>
                <w:sz w:val="20"/>
                <w:szCs w:val="20"/>
                <w:color w:val="auto"/>
              </w:rPr>
            </w:pPr>
            <w:r>
              <w:rPr>
                <w:rFonts w:ascii="Arial" w:cs="Arial" w:eastAsia="Arial" w:hAnsi="Arial"/>
                <w:sz w:val="11"/>
                <w:szCs w:val="11"/>
                <w:color w:val="auto"/>
              </w:rPr>
              <w:t>Asset management fees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138</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138</w:t>
            </w:r>
          </w:p>
        </w:tc>
        <w:tc>
          <w:tcPr>
            <w:tcW w:w="200" w:type="dxa"/>
            <w:vAlign w:val="bottom"/>
          </w:tcPr>
          <w:p>
            <w:pPr>
              <w:spacing w:after="0"/>
              <w:rPr>
                <w:sz w:val="13"/>
                <w:szCs w:val="13"/>
                <w:color w:val="auto"/>
              </w:rPr>
            </w:pPr>
          </w:p>
        </w:tc>
        <w:tc>
          <w:tcPr>
            <w:tcW w:w="500" w:type="dxa"/>
            <w:vAlign w:val="bottom"/>
            <w:gridSpan w:val="2"/>
          </w:tcPr>
          <w:p>
            <w:pPr>
              <w:jc w:val="right"/>
              <w:ind w:right="6"/>
              <w:spacing w:after="0"/>
              <w:rPr>
                <w:sz w:val="20"/>
                <w:szCs w:val="20"/>
                <w:color w:val="auto"/>
              </w:rPr>
            </w:pPr>
            <w:r>
              <w:rPr>
                <w:rFonts w:ascii="Arial" w:cs="Arial" w:eastAsia="Arial" w:hAnsi="Arial"/>
                <w:sz w:val="11"/>
                <w:szCs w:val="11"/>
                <w:color w:val="auto"/>
              </w:rPr>
              <w:t>$   142</w:t>
            </w:r>
          </w:p>
        </w:tc>
        <w:tc>
          <w:tcPr>
            <w:tcW w:w="10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16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2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142</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   107</w:t>
            </w:r>
          </w:p>
        </w:tc>
        <w:tc>
          <w:tcPr>
            <w:tcW w:w="260" w:type="dxa"/>
            <w:vAlign w:val="bottom"/>
            <w:gridSpan w:val="4"/>
          </w:tcPr>
          <w:p>
            <w:pPr>
              <w:jc w:val="right"/>
              <w:ind w:right="40"/>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3"/>
          </w:tcPr>
          <w:p>
            <w:pPr>
              <w:jc w:val="center"/>
              <w:ind w:left="66"/>
              <w:spacing w:after="0"/>
              <w:rPr>
                <w:sz w:val="20"/>
                <w:szCs w:val="20"/>
                <w:color w:val="auto"/>
              </w:rPr>
            </w:pPr>
            <w:r>
              <w:rPr>
                <w:rFonts w:ascii="Arial" w:cs="Arial" w:eastAsia="Arial" w:hAnsi="Arial"/>
                <w:sz w:val="11"/>
                <w:szCs w:val="11"/>
                <w:color w:val="auto"/>
                <w:w w:val="97"/>
              </w:rPr>
              <w:t>$</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center"/>
              <w:ind w:left="16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107</w:t>
            </w:r>
          </w:p>
        </w:tc>
        <w:tc>
          <w:tcPr>
            <w:tcW w:w="140" w:type="dxa"/>
            <w:vAlign w:val="bottom"/>
          </w:tcPr>
          <w:p>
            <w:pPr>
              <w:spacing w:after="0"/>
              <w:rPr>
                <w:sz w:val="13"/>
                <w:szCs w:val="13"/>
                <w:color w:val="auto"/>
              </w:rPr>
            </w:pPr>
          </w:p>
        </w:tc>
      </w:tr>
      <w:tr>
        <w:trPr>
          <w:trHeight w:val="176"/>
        </w:trPr>
        <w:tc>
          <w:tcPr>
            <w:tcW w:w="1360" w:type="dxa"/>
            <w:vAlign w:val="bottom"/>
            <w:gridSpan w:val="5"/>
          </w:tcPr>
          <w:p>
            <w:pPr>
              <w:spacing w:after="0"/>
              <w:rPr>
                <w:sz w:val="20"/>
                <w:szCs w:val="20"/>
                <w:color w:val="auto"/>
              </w:rPr>
            </w:pPr>
            <w:r>
              <w:rPr>
                <w:rFonts w:ascii="Arial" w:cs="Arial" w:eastAsia="Arial" w:hAnsi="Arial"/>
                <w:sz w:val="11"/>
                <w:szCs w:val="11"/>
                <w:color w:val="auto"/>
              </w:rPr>
              <w:t>All other income</w:t>
            </w:r>
          </w:p>
        </w:tc>
        <w:tc>
          <w:tcPr>
            <w:tcW w:w="100" w:type="dxa"/>
            <w:vAlign w:val="bottom"/>
          </w:tcPr>
          <w:p>
            <w:pPr>
              <w:spacing w:after="0"/>
              <w:rPr>
                <w:sz w:val="15"/>
                <w:szCs w:val="15"/>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193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57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19</w:t>
            </w:r>
          </w:p>
        </w:tc>
        <w:tc>
          <w:tcPr>
            <w:tcW w:w="220" w:type="dxa"/>
            <w:vAlign w:val="bottom"/>
          </w:tcPr>
          <w:p>
            <w:pPr>
              <w:ind w:left="20"/>
              <w:spacing w:after="0"/>
              <w:rPr>
                <w:sz w:val="20"/>
                <w:szCs w:val="20"/>
                <w:color w:val="auto"/>
              </w:rPr>
            </w:pPr>
            <w:r>
              <w:rPr>
                <w:rFonts w:ascii="Arial" w:cs="Arial" w:eastAsia="Arial" w:hAnsi="Arial"/>
                <w:sz w:val="11"/>
                <w:szCs w:val="11"/>
                <w:color w:val="auto"/>
              </w:rPr>
              <w:t>(b)</w:t>
            </w:r>
          </w:p>
        </w:tc>
        <w:tc>
          <w:tcPr>
            <w:tcW w:w="80" w:type="dxa"/>
            <w:vAlign w:val="bottom"/>
          </w:tcPr>
          <w:p>
            <w:pPr>
              <w:spacing w:after="0"/>
              <w:rPr>
                <w:sz w:val="15"/>
                <w:szCs w:val="15"/>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395</w:t>
            </w:r>
          </w:p>
        </w:tc>
        <w:tc>
          <w:tcPr>
            <w:tcW w:w="200" w:type="dxa"/>
            <w:vAlign w:val="bottom"/>
          </w:tcPr>
          <w:p>
            <w:pPr>
              <w:spacing w:after="0"/>
              <w:rPr>
                <w:sz w:val="15"/>
                <w:szCs w:val="15"/>
                <w:color w:val="auto"/>
              </w:rPr>
            </w:pPr>
          </w:p>
        </w:tc>
        <w:tc>
          <w:tcPr>
            <w:tcW w:w="500" w:type="dxa"/>
            <w:vAlign w:val="bottom"/>
            <w:gridSpan w:val="2"/>
          </w:tcPr>
          <w:p>
            <w:pPr>
              <w:jc w:val="right"/>
              <w:ind w:right="6"/>
              <w:spacing w:after="0"/>
              <w:rPr>
                <w:sz w:val="20"/>
                <w:szCs w:val="20"/>
                <w:color w:val="auto"/>
              </w:rPr>
            </w:pPr>
            <w:r>
              <w:rPr>
                <w:rFonts w:ascii="Arial" w:cs="Arial" w:eastAsia="Arial" w:hAnsi="Arial"/>
                <w:sz w:val="11"/>
                <w:szCs w:val="11"/>
                <w:color w:val="auto"/>
              </w:rPr>
              <w:t>191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203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6"/>
              <w:spacing w:after="0"/>
              <w:rPr>
                <w:sz w:val="20"/>
                <w:szCs w:val="20"/>
                <w:color w:val="auto"/>
              </w:rPr>
            </w:pPr>
            <w:r>
              <w:rPr>
                <w:rFonts w:ascii="Arial" w:cs="Arial" w:eastAsia="Arial" w:hAnsi="Arial"/>
                <w:sz w:val="11"/>
                <w:szCs w:val="11"/>
                <w:color w:val="auto"/>
              </w:rPr>
              <w:t>81  (b)</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619</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105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174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jc w:val="right"/>
              <w:ind w:right="6"/>
              <w:spacing w:after="0"/>
              <w:rPr>
                <w:sz w:val="20"/>
                <w:szCs w:val="20"/>
                <w:color w:val="auto"/>
              </w:rPr>
            </w:pPr>
            <w:r>
              <w:rPr>
                <w:rFonts w:ascii="Arial" w:cs="Arial" w:eastAsia="Arial" w:hAnsi="Arial"/>
                <w:sz w:val="11"/>
                <w:szCs w:val="11"/>
                <w:color w:val="auto"/>
                <w:w w:val="94"/>
              </w:rPr>
              <w:t>2,762</w:t>
            </w:r>
          </w:p>
        </w:tc>
        <w:tc>
          <w:tcPr>
            <w:tcW w:w="320" w:type="dxa"/>
            <w:vAlign w:val="bottom"/>
            <w:gridSpan w:val="2"/>
          </w:tcPr>
          <w:p>
            <w:pPr>
              <w:ind w:left="20"/>
              <w:spacing w:after="0"/>
              <w:rPr>
                <w:sz w:val="20"/>
                <w:szCs w:val="20"/>
                <w:color w:val="auto"/>
              </w:rPr>
            </w:pPr>
            <w:r>
              <w:rPr>
                <w:rFonts w:ascii="Arial" w:cs="Arial" w:eastAsia="Arial" w:hAnsi="Arial"/>
                <w:sz w:val="11"/>
                <w:szCs w:val="11"/>
                <w:color w:val="auto"/>
              </w:rPr>
              <w:t>(b)</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3,041</w:t>
            </w:r>
          </w:p>
        </w:tc>
        <w:tc>
          <w:tcPr>
            <w:tcW w:w="140" w:type="dxa"/>
            <w:vAlign w:val="bottom"/>
          </w:tcPr>
          <w:p>
            <w:pPr>
              <w:spacing w:after="0"/>
              <w:rPr>
                <w:sz w:val="15"/>
                <w:szCs w:val="15"/>
                <w:color w:val="auto"/>
              </w:rPr>
            </w:pPr>
          </w:p>
        </w:tc>
      </w:tr>
      <w:tr>
        <w:trPr>
          <w:trHeight w:val="148"/>
        </w:trPr>
        <w:tc>
          <w:tcPr>
            <w:tcW w:w="1360" w:type="dxa"/>
            <w:vAlign w:val="bottom"/>
            <w:gridSpan w:val="5"/>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331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57</w:t>
            </w:r>
          </w:p>
        </w:tc>
        <w:tc>
          <w:tcPr>
            <w:tcW w:w="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126</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19</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533</w:t>
            </w:r>
          </w:p>
        </w:tc>
        <w:tc>
          <w:tcPr>
            <w:tcW w:w="2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rPr>
              <w:t>333</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144</w:t>
            </w: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203</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81</w:t>
            </w:r>
          </w:p>
        </w:tc>
        <w:tc>
          <w:tcPr>
            <w:tcW w:w="2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761</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212</w:t>
            </w: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174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4"/>
              </w:rPr>
              <w:t>2,762</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3,148</w:t>
            </w:r>
          </w:p>
        </w:tc>
        <w:tc>
          <w:tcPr>
            <w:tcW w:w="140" w:type="dxa"/>
            <w:vAlign w:val="bottom"/>
          </w:tcPr>
          <w:p>
            <w:pPr>
              <w:spacing w:after="0"/>
              <w:rPr>
                <w:sz w:val="12"/>
                <w:szCs w:val="12"/>
                <w:color w:val="auto"/>
              </w:rPr>
            </w:pPr>
          </w:p>
        </w:tc>
      </w:tr>
      <w:tr>
        <w:trPr>
          <w:trHeight w:val="170"/>
        </w:trPr>
        <w:tc>
          <w:tcPr>
            <w:tcW w:w="1360" w:type="dxa"/>
            <w:vAlign w:val="bottom"/>
            <w:gridSpan w:val="5"/>
          </w:tcPr>
          <w:p>
            <w:pPr>
              <w:spacing w:after="0"/>
              <w:rPr>
                <w:sz w:val="20"/>
                <w:szCs w:val="20"/>
                <w:color w:val="auto"/>
              </w:rPr>
            </w:pPr>
            <w:r>
              <w:rPr>
                <w:rFonts w:ascii="Arial" w:cs="Arial" w:eastAsia="Arial" w:hAnsi="Arial"/>
                <w:sz w:val="11"/>
                <w:szCs w:val="11"/>
                <w:color w:val="auto"/>
              </w:rPr>
              <w:t>Net interest income</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304</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1,347</w:t>
            </w:r>
          </w:p>
        </w:tc>
        <w:tc>
          <w:tcPr>
            <w:tcW w:w="20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rPr>
              <w:t>1,022</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222</w:t>
            </w: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233</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1,474</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619</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178</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897</w:t>
            </w:r>
          </w:p>
        </w:tc>
        <w:tc>
          <w:tcPr>
            <w:tcW w:w="140" w:type="dxa"/>
            <w:vAlign w:val="bottom"/>
          </w:tcPr>
          <w:p>
            <w:pPr>
              <w:spacing w:after="0"/>
              <w:rPr>
                <w:sz w:val="14"/>
                <w:szCs w:val="14"/>
                <w:color w:val="auto"/>
              </w:rPr>
            </w:pPr>
          </w:p>
        </w:tc>
      </w:tr>
      <w:tr>
        <w:trPr>
          <w:trHeight w:val="148"/>
        </w:trPr>
        <w:tc>
          <w:tcPr>
            <w:tcW w:w="136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0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b w:val="1"/>
                <w:bCs w:val="1"/>
                <w:color w:val="auto"/>
              </w:rPr>
              <w:t>1,091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361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432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1,880</w:t>
            </w:r>
          </w:p>
        </w:tc>
        <w:tc>
          <w:tcPr>
            <w:tcW w:w="200" w:type="dxa"/>
            <w:vAlign w:val="bottom"/>
          </w:tcPr>
          <w:p>
            <w:pPr>
              <w:spacing w:after="0"/>
              <w:rPr>
                <w:sz w:val="12"/>
                <w:szCs w:val="12"/>
                <w:color w:val="auto"/>
              </w:rPr>
            </w:pPr>
          </w:p>
        </w:tc>
        <w:tc>
          <w:tcPr>
            <w:tcW w:w="50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rPr>
              <w:t>1,355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b w:val="1"/>
                <w:bCs w:val="1"/>
                <w:color w:val="auto"/>
              </w:rPr>
              <w:t>366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b w:val="1"/>
                <w:bCs w:val="1"/>
                <w:color w:val="auto"/>
              </w:rPr>
              <w:t>436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78</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2,235</w:t>
            </w:r>
          </w:p>
        </w:tc>
        <w:tc>
          <w:tcPr>
            <w:tcW w:w="680" w:type="dxa"/>
            <w:vAlign w:val="bottom"/>
            <w:gridSpan w:val="2"/>
          </w:tcPr>
          <w:p>
            <w:pPr>
              <w:jc w:val="right"/>
              <w:spacing w:after="0"/>
              <w:rPr>
                <w:sz w:val="20"/>
                <w:szCs w:val="20"/>
                <w:color w:val="auto"/>
              </w:rPr>
            </w:pPr>
            <w:r>
              <w:rPr>
                <w:rFonts w:ascii="Arial" w:cs="Arial" w:eastAsia="Arial" w:hAnsi="Arial"/>
                <w:sz w:val="11"/>
                <w:szCs w:val="11"/>
                <w:b w:val="1"/>
                <w:bCs w:val="1"/>
                <w:color w:val="auto"/>
              </w:rPr>
              <w:t>831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178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b w:val="1"/>
                <w:bCs w:val="1"/>
                <w:color w:val="auto"/>
              </w:rPr>
              <w:t>303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w w:val="94"/>
              </w:rPr>
              <w:t>2,733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4,045</w:t>
            </w:r>
          </w:p>
        </w:tc>
        <w:tc>
          <w:tcPr>
            <w:tcW w:w="140" w:type="dxa"/>
            <w:vAlign w:val="bottom"/>
          </w:tcPr>
          <w:p>
            <w:pPr>
              <w:spacing w:after="0"/>
              <w:rPr>
                <w:sz w:val="12"/>
                <w:szCs w:val="12"/>
                <w:color w:val="auto"/>
              </w:rPr>
            </w:pPr>
          </w:p>
        </w:tc>
      </w:tr>
      <w:tr>
        <w:trPr>
          <w:trHeight w:val="318"/>
        </w:trPr>
        <w:tc>
          <w:tcPr>
            <w:tcW w:w="1360" w:type="dxa"/>
            <w:vAlign w:val="bottom"/>
            <w:gridSpan w:val="5"/>
          </w:tcPr>
          <w:p>
            <w:pPr>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24"/>
                <w:szCs w:val="24"/>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97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125</w:t>
            </w:r>
          </w:p>
        </w:tc>
        <w:tc>
          <w:tcPr>
            <w:tcW w:w="2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(7)</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408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608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146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1,162</w:t>
            </w:r>
          </w:p>
        </w:tc>
        <w:tc>
          <w:tcPr>
            <w:tcW w:w="140" w:type="dxa"/>
            <w:vAlign w:val="bottom"/>
          </w:tcPr>
          <w:p>
            <w:pPr>
              <w:spacing w:after="0"/>
              <w:rPr>
                <w:sz w:val="24"/>
                <w:szCs w:val="24"/>
                <w:color w:val="auto"/>
              </w:rPr>
            </w:pPr>
          </w:p>
        </w:tc>
      </w:tr>
      <w:tr>
        <w:trPr>
          <w:trHeight w:val="162"/>
        </w:trPr>
        <w:tc>
          <w:tcPr>
            <w:tcW w:w="1360" w:type="dxa"/>
            <w:vAlign w:val="bottom"/>
            <w:gridSpan w:val="5"/>
          </w:tcPr>
          <w:p>
            <w:pPr>
              <w:spacing w:after="0"/>
              <w:rPr>
                <w:sz w:val="20"/>
                <w:szCs w:val="20"/>
                <w:color w:val="auto"/>
              </w:rPr>
            </w:pPr>
            <w:r>
              <w:rPr>
                <w:rFonts w:ascii="Arial" w:cs="Arial" w:eastAsia="Arial" w:hAnsi="Arial"/>
                <w:sz w:val="11"/>
                <w:szCs w:val="11"/>
                <w:color w:val="auto"/>
              </w:rPr>
              <w:t>Noninterest expense</w:t>
            </w:r>
          </w:p>
        </w:tc>
        <w:tc>
          <w:tcPr>
            <w:tcW w:w="100" w:type="dxa"/>
            <w:vAlign w:val="bottom"/>
          </w:tcPr>
          <w:p>
            <w:pPr>
              <w:spacing w:after="0"/>
              <w:rPr>
                <w:sz w:val="14"/>
                <w:szCs w:val="14"/>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599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231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890</w:t>
            </w:r>
          </w:p>
        </w:tc>
        <w:tc>
          <w:tcPr>
            <w:tcW w:w="200" w:type="dxa"/>
            <w:vAlign w:val="bottom"/>
          </w:tcPr>
          <w:p>
            <w:pPr>
              <w:spacing w:after="0"/>
              <w:rPr>
                <w:sz w:val="14"/>
                <w:szCs w:val="14"/>
                <w:color w:val="auto"/>
              </w:rPr>
            </w:pPr>
          </w:p>
        </w:tc>
        <w:tc>
          <w:tcPr>
            <w:tcW w:w="500" w:type="dxa"/>
            <w:vAlign w:val="bottom"/>
            <w:gridSpan w:val="2"/>
          </w:tcPr>
          <w:p>
            <w:pPr>
              <w:jc w:val="right"/>
              <w:ind w:right="6"/>
              <w:spacing w:after="0"/>
              <w:rPr>
                <w:sz w:val="20"/>
                <w:szCs w:val="20"/>
                <w:color w:val="auto"/>
              </w:rPr>
            </w:pPr>
            <w:r>
              <w:rPr>
                <w:rFonts w:ascii="Arial" w:cs="Arial" w:eastAsia="Arial" w:hAnsi="Arial"/>
                <w:sz w:val="11"/>
                <w:szCs w:val="11"/>
                <w:color w:val="auto"/>
              </w:rPr>
              <w:t>583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240</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858</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37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6"/>
              <w:spacing w:after="0"/>
              <w:rPr>
                <w:sz w:val="20"/>
                <w:szCs w:val="20"/>
                <w:color w:val="auto"/>
              </w:rPr>
            </w:pPr>
            <w:r>
              <w:rPr>
                <w:rFonts w:ascii="Arial" w:cs="Arial" w:eastAsia="Arial" w:hAnsi="Arial"/>
                <w:sz w:val="11"/>
                <w:szCs w:val="11"/>
                <w:color w:val="auto"/>
              </w:rPr>
              <w:t>562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599</w:t>
            </w:r>
          </w:p>
        </w:tc>
        <w:tc>
          <w:tcPr>
            <w:tcW w:w="140" w:type="dxa"/>
            <w:vAlign w:val="bottom"/>
          </w:tcPr>
          <w:p>
            <w:pPr>
              <w:spacing w:after="0"/>
              <w:rPr>
                <w:sz w:val="14"/>
                <w:szCs w:val="14"/>
                <w:color w:val="auto"/>
              </w:rPr>
            </w:pPr>
          </w:p>
        </w:tc>
      </w:tr>
      <w:tr>
        <w:trPr>
          <w:trHeight w:val="168"/>
        </w:trPr>
        <w:tc>
          <w:tcPr>
            <w:tcW w:w="1360" w:type="dxa"/>
            <w:vAlign w:val="bottom"/>
            <w:gridSpan w:val="5"/>
          </w:tcPr>
          <w:p>
            <w:pPr>
              <w:ind w:left="80"/>
              <w:spacing w:after="0"/>
              <w:rPr>
                <w:sz w:val="20"/>
                <w:szCs w:val="20"/>
                <w:color w:val="auto"/>
              </w:rPr>
            </w:pPr>
            <w:r>
              <w:rPr>
                <w:rFonts w:ascii="Arial" w:cs="Arial" w:eastAsia="Arial" w:hAnsi="Arial"/>
                <w:sz w:val="11"/>
                <w:szCs w:val="11"/>
                <w:b w:val="1"/>
                <w:bCs w:val="1"/>
                <w:color w:val="auto"/>
              </w:rPr>
              <w:t>NET INCOME</w:t>
            </w:r>
          </w:p>
        </w:tc>
        <w:tc>
          <w:tcPr>
            <w:tcW w:w="100" w:type="dxa"/>
            <w:vAlign w:val="bottom"/>
          </w:tcPr>
          <w:p>
            <w:pPr>
              <w:spacing w:after="0"/>
              <w:rPr>
                <w:sz w:val="14"/>
                <w:szCs w:val="14"/>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362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180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292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(187)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647</w:t>
            </w:r>
          </w:p>
        </w:tc>
        <w:tc>
          <w:tcPr>
            <w:tcW w:w="200" w:type="dxa"/>
            <w:vAlign w:val="bottom"/>
          </w:tcPr>
          <w:p>
            <w:pPr>
              <w:spacing w:after="0"/>
              <w:rPr>
                <w:sz w:val="14"/>
                <w:szCs w:val="14"/>
                <w:color w:val="auto"/>
              </w:rPr>
            </w:pPr>
          </w:p>
        </w:tc>
        <w:tc>
          <w:tcPr>
            <w:tcW w:w="500" w:type="dxa"/>
            <w:vAlign w:val="bottom"/>
            <w:gridSpan w:val="2"/>
          </w:tcPr>
          <w:p>
            <w:pPr>
              <w:jc w:val="right"/>
              <w:ind w:right="6"/>
              <w:spacing w:after="0"/>
              <w:rPr>
                <w:sz w:val="20"/>
                <w:szCs w:val="20"/>
                <w:color w:val="auto"/>
              </w:rPr>
            </w:pPr>
            <w:r>
              <w:rPr>
                <w:rFonts w:ascii="Arial" w:cs="Arial" w:eastAsia="Arial" w:hAnsi="Arial"/>
                <w:sz w:val="11"/>
                <w:szCs w:val="11"/>
                <w:color w:val="auto"/>
              </w:rPr>
              <w:t>589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245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342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(99)</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1,077</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293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(327)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119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6"/>
              <w:spacing w:after="0"/>
              <w:rPr>
                <w:sz w:val="20"/>
                <w:szCs w:val="20"/>
                <w:color w:val="auto"/>
              </w:rPr>
            </w:pPr>
            <w:r>
              <w:rPr>
                <w:rFonts w:ascii="Arial" w:cs="Arial" w:eastAsia="Arial" w:hAnsi="Arial"/>
                <w:sz w:val="11"/>
                <w:szCs w:val="11"/>
                <w:color w:val="auto"/>
                <w:w w:val="94"/>
              </w:rPr>
              <w:t>2,301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2,386</w:t>
            </w:r>
          </w:p>
        </w:tc>
        <w:tc>
          <w:tcPr>
            <w:tcW w:w="140" w:type="dxa"/>
            <w:vAlign w:val="bottom"/>
          </w:tcPr>
          <w:p>
            <w:pPr>
              <w:spacing w:after="0"/>
              <w:rPr>
                <w:sz w:val="14"/>
                <w:szCs w:val="14"/>
                <w:color w:val="auto"/>
              </w:rPr>
            </w:pPr>
          </w:p>
        </w:tc>
      </w:tr>
      <w:tr>
        <w:trPr>
          <w:trHeight w:val="291"/>
        </w:trPr>
        <w:tc>
          <w:tcPr>
            <w:tcW w:w="11140" w:type="dxa"/>
            <w:vAlign w:val="bottom"/>
            <w:gridSpan w:val="60"/>
          </w:tcPr>
          <w:p>
            <w:pPr>
              <w:spacing w:after="0"/>
              <w:rPr>
                <w:sz w:val="20"/>
                <w:szCs w:val="20"/>
                <w:color w:val="auto"/>
              </w:rPr>
            </w:pPr>
            <w:r>
              <w:rPr>
                <w:rFonts w:ascii="Arial" w:cs="Arial" w:eastAsia="Arial" w:hAnsi="Arial"/>
                <w:sz w:val="11"/>
                <w:szCs w:val="11"/>
                <w:b w:val="1"/>
                <w:bCs w:val="1"/>
                <w:color w:val="auto"/>
              </w:rPr>
              <w:t>SELECTED BALANCE</w:t>
            </w:r>
          </w:p>
        </w:tc>
      </w:tr>
      <w:tr>
        <w:trPr>
          <w:trHeight w:val="95"/>
        </w:trPr>
        <w:tc>
          <w:tcPr>
            <w:tcW w:w="1140" w:type="dxa"/>
            <w:vAlign w:val="bottom"/>
            <w:tcBorders>
              <w:top w:val="single" w:sz="8" w:color="auto"/>
              <w:bottom w:val="single" w:sz="8" w:color="auto"/>
            </w:tcBorders>
            <w:gridSpan w:val="3"/>
          </w:tcPr>
          <w:p>
            <w:pPr>
              <w:spacing w:after="0" w:line="95" w:lineRule="exact"/>
              <w:rPr>
                <w:sz w:val="20"/>
                <w:szCs w:val="20"/>
                <w:color w:val="auto"/>
              </w:rPr>
            </w:pPr>
            <w:r>
              <w:rPr>
                <w:rFonts w:ascii="Arial" w:cs="Arial" w:eastAsia="Arial" w:hAnsi="Arial"/>
                <w:sz w:val="10"/>
                <w:szCs w:val="10"/>
                <w:b w:val="1"/>
                <w:bCs w:val="1"/>
                <w:color w:val="auto"/>
              </w:rPr>
              <w:t>SHEET DATA (period-</w:t>
            </w:r>
          </w:p>
        </w:tc>
        <w:tc>
          <w:tcPr>
            <w:tcW w:w="200" w:type="dxa"/>
            <w:vAlign w:val="bottom"/>
            <w:tcBorders>
              <w:bottom w:val="single" w:sz="8" w:color="auto"/>
            </w:tcBorders>
          </w:tcPr>
          <w:p>
            <w:pPr>
              <w:spacing w:after="0" w:line="95" w:lineRule="exact"/>
              <w:rPr>
                <w:sz w:val="20"/>
                <w:szCs w:val="20"/>
                <w:color w:val="auto"/>
              </w:rPr>
            </w:pPr>
            <w:r>
              <w:rPr>
                <w:rFonts w:ascii="Arial" w:cs="Arial" w:eastAsia="Arial" w:hAnsi="Arial"/>
                <w:sz w:val="10"/>
                <w:szCs w:val="10"/>
                <w:b w:val="1"/>
                <w:bCs w:val="1"/>
                <w:color w:val="auto"/>
                <w:w w:val="85"/>
              </w:rPr>
              <w:t>end)</w:t>
            </w:r>
          </w:p>
        </w:tc>
        <w:tc>
          <w:tcPr>
            <w:tcW w:w="9800" w:type="dxa"/>
            <w:vAlign w:val="bottom"/>
            <w:gridSpan w:val="56"/>
          </w:tcPr>
          <w:p>
            <w:pPr>
              <w:spacing w:after="0"/>
              <w:rPr>
                <w:sz w:val="8"/>
                <w:szCs w:val="8"/>
                <w:color w:val="auto"/>
              </w:rPr>
            </w:pPr>
          </w:p>
        </w:tc>
      </w:tr>
      <w:tr>
        <w:trPr>
          <w:trHeight w:val="163"/>
        </w:trPr>
        <w:tc>
          <w:tcPr>
            <w:tcW w:w="1360" w:type="dxa"/>
            <w:vAlign w:val="bottom"/>
            <w:gridSpan w:val="5"/>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w w:val="94"/>
              </w:rPr>
              <w:t>94,671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spacing w:after="0"/>
              <w:rPr>
                <w:sz w:val="20"/>
                <w:szCs w:val="20"/>
                <w:color w:val="auto"/>
              </w:rPr>
            </w:pPr>
            <w:r>
              <w:rPr>
                <w:rFonts w:ascii="Arial" w:cs="Arial" w:eastAsia="Arial" w:hAnsi="Arial"/>
                <w:sz w:val="11"/>
                <w:szCs w:val="11"/>
                <w:color w:val="auto"/>
                <w:w w:val="94"/>
              </w:rPr>
              <w:t>38,495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11,436</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w w:val="95"/>
              </w:rPr>
              <w:t>144,602</w:t>
            </w:r>
          </w:p>
        </w:tc>
        <w:tc>
          <w:tcPr>
            <w:tcW w:w="200" w:type="dxa"/>
            <w:vAlign w:val="bottom"/>
          </w:tcPr>
          <w:p>
            <w:pPr>
              <w:ind w:left="20"/>
              <w:spacing w:after="0"/>
              <w:rPr>
                <w:sz w:val="20"/>
                <w:szCs w:val="20"/>
                <w:color w:val="auto"/>
              </w:rPr>
            </w:pPr>
            <w:r>
              <w:rPr>
                <w:rFonts w:ascii="Arial" w:cs="Arial" w:eastAsia="Arial" w:hAnsi="Arial"/>
                <w:sz w:val="11"/>
                <w:szCs w:val="11"/>
                <w:color w:val="auto"/>
              </w:rPr>
              <w:t>(c)</w:t>
            </w:r>
          </w:p>
        </w:tc>
        <w:tc>
          <w:tcPr>
            <w:tcW w:w="500" w:type="dxa"/>
            <w:vAlign w:val="bottom"/>
            <w:gridSpan w:val="2"/>
          </w:tcPr>
          <w:p>
            <w:pPr>
              <w:jc w:val="right"/>
              <w:ind w:right="6"/>
              <w:spacing w:after="0"/>
              <w:rPr>
                <w:sz w:val="20"/>
                <w:szCs w:val="20"/>
                <w:color w:val="auto"/>
              </w:rPr>
            </w:pPr>
            <w:r>
              <w:rPr>
                <w:rFonts w:ascii="Arial" w:cs="Arial" w:eastAsia="Arial" w:hAnsi="Arial"/>
                <w:sz w:val="11"/>
                <w:szCs w:val="11"/>
                <w:color w:val="auto"/>
                <w:w w:val="97"/>
              </w:rPr>
              <w:t>$ 94,333</w:t>
            </w:r>
          </w:p>
        </w:tc>
        <w:tc>
          <w:tcPr>
            <w:tcW w:w="10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w w:val="94"/>
              </w:rPr>
              <w:t>38,729</w:t>
            </w:r>
          </w:p>
        </w:tc>
        <w:tc>
          <w:tcPr>
            <w:tcW w:w="100" w:type="dxa"/>
            <w:vAlign w:val="bottom"/>
          </w:tcPr>
          <w:p>
            <w:pPr>
              <w:spacing w:after="0"/>
              <w:rPr>
                <w:sz w:val="14"/>
                <w:szCs w:val="14"/>
                <w:color w:val="auto"/>
              </w:rPr>
            </w:pPr>
          </w:p>
        </w:tc>
        <w:tc>
          <w:tcPr>
            <w:tcW w:w="500" w:type="dxa"/>
            <w:vAlign w:val="bottom"/>
            <w:gridSpan w:val="4"/>
          </w:tcPr>
          <w:p>
            <w:pPr>
              <w:jc w:val="right"/>
              <w:spacing w:after="0"/>
              <w:rPr>
                <w:sz w:val="20"/>
                <w:szCs w:val="20"/>
                <w:color w:val="auto"/>
              </w:rPr>
            </w:pPr>
            <w:r>
              <w:rPr>
                <w:rFonts w:ascii="Arial" w:cs="Arial" w:eastAsia="Arial" w:hAnsi="Arial"/>
                <w:sz w:val="11"/>
                <w:szCs w:val="11"/>
                <w:color w:val="auto"/>
              </w:rPr>
              <w:t>$ 12,026</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580" w:type="dxa"/>
            <w:vAlign w:val="bottom"/>
            <w:gridSpan w:val="4"/>
          </w:tcPr>
          <w:p>
            <w:pPr>
              <w:jc w:val="right"/>
              <w:ind w:right="60"/>
              <w:spacing w:after="0"/>
              <w:rPr>
                <w:sz w:val="20"/>
                <w:szCs w:val="20"/>
                <w:color w:val="auto"/>
              </w:rPr>
            </w:pPr>
            <w:r>
              <w:rPr>
                <w:rFonts w:ascii="Arial" w:cs="Arial" w:eastAsia="Arial" w:hAnsi="Arial"/>
                <w:sz w:val="11"/>
                <w:szCs w:val="11"/>
                <w:color w:val="auto"/>
              </w:rPr>
              <w:t>$ 145,088</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(c)  $ 94,721</w:t>
            </w:r>
          </w:p>
        </w:tc>
        <w:tc>
          <w:tcPr>
            <w:tcW w:w="620" w:type="dxa"/>
            <w:vAlign w:val="bottom"/>
            <w:gridSpan w:val="5"/>
          </w:tcPr>
          <w:p>
            <w:pPr>
              <w:jc w:val="right"/>
              <w:spacing w:after="0"/>
              <w:rPr>
                <w:sz w:val="20"/>
                <w:szCs w:val="20"/>
                <w:color w:val="auto"/>
              </w:rPr>
            </w:pPr>
            <w:r>
              <w:rPr>
                <w:rFonts w:ascii="Arial" w:cs="Arial" w:eastAsia="Arial" w:hAnsi="Arial"/>
                <w:sz w:val="11"/>
                <w:szCs w:val="11"/>
                <w:color w:val="auto"/>
              </w:rPr>
              <w:t>$ 39,500</w:t>
            </w:r>
          </w:p>
        </w:tc>
        <w:tc>
          <w:tcPr>
            <w:tcW w:w="220" w:type="dxa"/>
            <w:vAlign w:val="bottom"/>
            <w:gridSpan w:val="3"/>
          </w:tcPr>
          <w:p>
            <w:pPr>
              <w:jc w:val="center"/>
              <w:ind w:left="66"/>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w w:val="94"/>
              </w:rPr>
              <w:t>13,696</w:t>
            </w:r>
          </w:p>
        </w:tc>
        <w:tc>
          <w:tcPr>
            <w:tcW w:w="6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center"/>
              <w:ind w:left="16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w w:val="95"/>
              </w:rPr>
              <w:t>147,917</w:t>
            </w:r>
          </w:p>
        </w:tc>
        <w:tc>
          <w:tcPr>
            <w:tcW w:w="140" w:type="dxa"/>
            <w:vAlign w:val="bottom"/>
          </w:tcPr>
          <w:p>
            <w:pPr>
              <w:ind w:left="20"/>
              <w:spacing w:after="0"/>
              <w:rPr>
                <w:sz w:val="20"/>
                <w:szCs w:val="20"/>
                <w:color w:val="auto"/>
              </w:rPr>
            </w:pPr>
            <w:r>
              <w:rPr>
                <w:rFonts w:ascii="Arial" w:cs="Arial" w:eastAsia="Arial" w:hAnsi="Arial"/>
                <w:sz w:val="11"/>
                <w:szCs w:val="11"/>
                <w:color w:val="auto"/>
                <w:w w:val="77"/>
              </w:rPr>
              <w:t>(c)</w:t>
            </w:r>
          </w:p>
        </w:tc>
      </w:tr>
      <w:tr>
        <w:trPr>
          <w:trHeight w:val="162"/>
        </w:trPr>
        <w:tc>
          <w:tcPr>
            <w:tcW w:w="1360" w:type="dxa"/>
            <w:vAlign w:val="bottom"/>
            <w:gridSpan w:val="5"/>
          </w:tcPr>
          <w:p>
            <w:pPr>
              <w:spacing w:after="0"/>
              <w:rPr>
                <w:sz w:val="20"/>
                <w:szCs w:val="20"/>
                <w:color w:val="auto"/>
              </w:rPr>
            </w:pPr>
            <w:r>
              <w:rPr>
                <w:rFonts w:ascii="Arial" w:cs="Arial" w:eastAsia="Arial" w:hAnsi="Arial"/>
                <w:sz w:val="11"/>
                <w:szCs w:val="11"/>
                <w:color w:val="auto"/>
              </w:rPr>
              <w:t>Deposits</w:t>
            </w:r>
          </w:p>
        </w:tc>
        <w:tc>
          <w:tcPr>
            <w:tcW w:w="100" w:type="dxa"/>
            <w:vAlign w:val="bottom"/>
          </w:tcPr>
          <w:p>
            <w:pPr>
              <w:spacing w:after="0"/>
              <w:rPr>
                <w:sz w:val="14"/>
                <w:szCs w:val="14"/>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w w:val="94"/>
              </w:rPr>
              <w:t>42,710</w:t>
            </w:r>
          </w:p>
        </w:tc>
        <w:tc>
          <w:tcPr>
            <w:tcW w:w="200" w:type="dxa"/>
            <w:vAlign w:val="bottom"/>
            <w:gridSpan w:val="2"/>
          </w:tcPr>
          <w:p>
            <w:pPr>
              <w:spacing w:after="0"/>
              <w:rPr>
                <w:sz w:val="20"/>
                <w:szCs w:val="20"/>
                <w:color w:val="auto"/>
              </w:rPr>
            </w:pPr>
            <w:r>
              <w:rPr>
                <w:rFonts w:ascii="Arial" w:cs="Arial" w:eastAsia="Arial" w:hAnsi="Arial"/>
                <w:sz w:val="11"/>
                <w:szCs w:val="11"/>
                <w:color w:val="auto"/>
              </w:rPr>
              <w:t>(a)</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6,163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12,098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60,971</w:t>
            </w:r>
          </w:p>
        </w:tc>
        <w:tc>
          <w:tcPr>
            <w:tcW w:w="200" w:type="dxa"/>
            <w:vAlign w:val="bottom"/>
          </w:tcPr>
          <w:p>
            <w:pPr>
              <w:ind w:left="20"/>
              <w:spacing w:after="0"/>
              <w:rPr>
                <w:sz w:val="20"/>
                <w:szCs w:val="20"/>
                <w:color w:val="auto"/>
              </w:rPr>
            </w:pPr>
            <w:r>
              <w:rPr>
                <w:rFonts w:ascii="Arial" w:cs="Arial" w:eastAsia="Arial" w:hAnsi="Arial"/>
                <w:sz w:val="11"/>
                <w:szCs w:val="11"/>
                <w:color w:val="auto"/>
              </w:rPr>
              <w:t>(c)</w:t>
            </w:r>
          </w:p>
        </w:tc>
        <w:tc>
          <w:tcPr>
            <w:tcW w:w="500" w:type="dxa"/>
            <w:vAlign w:val="bottom"/>
            <w:gridSpan w:val="2"/>
          </w:tcPr>
          <w:p>
            <w:pPr>
              <w:jc w:val="right"/>
              <w:ind w:right="6"/>
              <w:spacing w:after="0"/>
              <w:rPr>
                <w:sz w:val="20"/>
                <w:szCs w:val="20"/>
                <w:color w:val="auto"/>
              </w:rPr>
            </w:pPr>
            <w:r>
              <w:rPr>
                <w:rFonts w:ascii="Arial" w:cs="Arial" w:eastAsia="Arial" w:hAnsi="Arial"/>
                <w:sz w:val="11"/>
                <w:szCs w:val="11"/>
                <w:color w:val="auto"/>
              </w:rPr>
              <w:t>63,945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63,945</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68,351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68,351</w:t>
            </w:r>
          </w:p>
        </w:tc>
        <w:tc>
          <w:tcPr>
            <w:tcW w:w="140" w:type="dxa"/>
            <w:vAlign w:val="bottom"/>
          </w:tcPr>
          <w:p>
            <w:pPr>
              <w:spacing w:after="0"/>
              <w:rPr>
                <w:sz w:val="14"/>
                <w:szCs w:val="14"/>
                <w:color w:val="auto"/>
              </w:rPr>
            </w:pPr>
          </w:p>
        </w:tc>
      </w:tr>
      <w:tr>
        <w:trPr>
          <w:trHeight w:val="459"/>
        </w:trPr>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3"/>
          </w:tcPr>
          <w:p>
            <w:pPr>
              <w:jc w:val="right"/>
              <w:spacing w:after="0"/>
              <w:rPr>
                <w:sz w:val="20"/>
                <w:szCs w:val="20"/>
                <w:color w:val="auto"/>
              </w:rPr>
            </w:pPr>
            <w:r>
              <w:rPr>
                <w:rFonts w:ascii="Arial" w:cs="Arial" w:eastAsia="Arial" w:hAnsi="Arial"/>
                <w:sz w:val="11"/>
                <w:szCs w:val="11"/>
                <w:b w:val="1"/>
                <w:bCs w:val="1"/>
                <w:color w:val="auto"/>
              </w:rPr>
              <w:t>FULL YEAR ENDED DECEMBER 31, 2023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55"/>
        </w:trPr>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CCB</w:t>
            </w: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346"/>
              <w:spacing w:after="0"/>
              <w:rPr>
                <w:sz w:val="20"/>
                <w:szCs w:val="20"/>
                <w:color w:val="auto"/>
              </w:rPr>
            </w:pPr>
            <w:r>
              <w:rPr>
                <w:rFonts w:ascii="Arial" w:cs="Arial" w:eastAsia="Arial" w:hAnsi="Arial"/>
                <w:sz w:val="11"/>
                <w:szCs w:val="11"/>
                <w:b w:val="1"/>
                <w:bCs w:val="1"/>
                <w:color w:val="auto"/>
                <w:w w:val="87"/>
              </w:rPr>
              <w:t>CB</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86"/>
              <w:spacing w:after="0"/>
              <w:rPr>
                <w:sz w:val="20"/>
                <w:szCs w:val="20"/>
                <w:color w:val="auto"/>
              </w:rPr>
            </w:pPr>
            <w:r>
              <w:rPr>
                <w:rFonts w:ascii="Arial" w:cs="Arial" w:eastAsia="Arial" w:hAnsi="Arial"/>
                <w:sz w:val="11"/>
                <w:szCs w:val="11"/>
                <w:b w:val="1"/>
                <w:bCs w:val="1"/>
                <w:color w:val="auto"/>
              </w:rPr>
              <w:t>AWM</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1"/>
                <w:szCs w:val="11"/>
                <w:b w:val="1"/>
                <w:bCs w:val="1"/>
                <w:color w:val="auto"/>
              </w:rPr>
              <w:t>CORP</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center"/>
              <w:ind w:right="206"/>
              <w:spacing w:after="0"/>
              <w:rPr>
                <w:sz w:val="20"/>
                <w:szCs w:val="20"/>
                <w:color w:val="auto"/>
              </w:rPr>
            </w:pPr>
            <w:r>
              <w:rPr>
                <w:rFonts w:ascii="Arial" w:cs="Arial" w:eastAsia="Arial" w:hAnsi="Arial"/>
                <w:sz w:val="11"/>
                <w:szCs w:val="11"/>
                <w:b w:val="1"/>
                <w:bCs w:val="1"/>
                <w:color w:val="auto"/>
                <w:w w:val="91"/>
              </w:rPr>
              <w:t>Total</w:t>
            </w:r>
          </w:p>
        </w:tc>
        <w:tc>
          <w:tcPr>
            <w:tcW w:w="140" w:type="dxa"/>
            <w:vAlign w:val="bottom"/>
          </w:tcPr>
          <w:p>
            <w:pPr>
              <w:spacing w:after="0"/>
              <w:rPr>
                <w:sz w:val="13"/>
                <w:szCs w:val="13"/>
                <w:color w:val="auto"/>
              </w:rPr>
            </w:pPr>
          </w:p>
        </w:tc>
      </w:tr>
      <w:tr>
        <w:trPr>
          <w:trHeight w:val="108"/>
        </w:trPr>
        <w:tc>
          <w:tcPr>
            <w:tcW w:w="2060" w:type="dxa"/>
            <w:vAlign w:val="bottom"/>
            <w:gridSpan w:val="9"/>
          </w:tcPr>
          <w:p>
            <w:pPr>
              <w:spacing w:after="0" w:line="108" w:lineRule="exact"/>
              <w:rPr>
                <w:sz w:val="20"/>
                <w:szCs w:val="20"/>
                <w:color w:val="auto"/>
              </w:rPr>
            </w:pPr>
            <w:r>
              <w:rPr>
                <w:rFonts w:ascii="Arial" w:cs="Arial" w:eastAsia="Arial" w:hAnsi="Arial"/>
                <w:sz w:val="11"/>
                <w:szCs w:val="11"/>
                <w:b w:val="1"/>
                <w:bCs w:val="1"/>
                <w:color w:val="auto"/>
                <w:w w:val="97"/>
              </w:rPr>
              <w:t>SELECTED INCOME STATEMENT DATA</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68"/>
        </w:trPr>
        <w:tc>
          <w:tcPr>
            <w:tcW w:w="2040" w:type="dxa"/>
            <w:vAlign w:val="bottom"/>
            <w:tcBorders>
              <w:top w:val="single" w:sz="8" w:color="auto"/>
            </w:tcBorders>
            <w:gridSpan w:val="8"/>
          </w:tcPr>
          <w:p>
            <w:pPr>
              <w:spacing w:after="0"/>
              <w:rPr>
                <w:sz w:val="20"/>
                <w:szCs w:val="20"/>
                <w:color w:val="auto"/>
              </w:rPr>
            </w:pPr>
            <w:r>
              <w:rPr>
                <w:rFonts w:ascii="Arial" w:cs="Arial" w:eastAsia="Arial" w:hAnsi="Arial"/>
                <w:sz w:val="11"/>
                <w:szCs w:val="11"/>
                <w:b w:val="1"/>
                <w:bCs w:val="1"/>
                <w:color w:val="auto"/>
              </w:rPr>
              <w:t>REVENUE</w:t>
            </w:r>
          </w:p>
        </w:tc>
        <w:tc>
          <w:tcPr>
            <w:tcW w:w="9100" w:type="dxa"/>
            <w:vAlign w:val="bottom"/>
            <w:gridSpan w:val="52"/>
          </w:tcPr>
          <w:p>
            <w:pPr>
              <w:spacing w:after="0"/>
              <w:rPr>
                <w:sz w:val="14"/>
                <w:szCs w:val="14"/>
                <w:color w:val="auto"/>
              </w:rPr>
            </w:pPr>
          </w:p>
        </w:tc>
      </w:tr>
      <w:tr>
        <w:trPr>
          <w:trHeight w:val="156"/>
        </w:trPr>
        <w:tc>
          <w:tcPr>
            <w:tcW w:w="1360" w:type="dxa"/>
            <w:vAlign w:val="bottom"/>
            <w:gridSpan w:val="5"/>
          </w:tcPr>
          <w:p>
            <w:pPr>
              <w:spacing w:after="0"/>
              <w:rPr>
                <w:sz w:val="20"/>
                <w:szCs w:val="20"/>
                <w:color w:val="auto"/>
              </w:rPr>
            </w:pPr>
            <w:r>
              <w:rPr>
                <w:rFonts w:ascii="Arial" w:cs="Arial" w:eastAsia="Arial" w:hAnsi="Arial"/>
                <w:sz w:val="11"/>
                <w:szCs w:val="11"/>
                <w:color w:val="auto"/>
              </w:rPr>
              <w:t>Asset management fees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2"/>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387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jc w:val="right"/>
              <w:ind w:right="10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gridSpan w:val="2"/>
          </w:tcPr>
          <w:p>
            <w:pPr>
              <w:jc w:val="right"/>
              <w:ind w:right="14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387</w:t>
            </w:r>
          </w:p>
        </w:tc>
        <w:tc>
          <w:tcPr>
            <w:tcW w:w="140" w:type="dxa"/>
            <w:vAlign w:val="bottom"/>
          </w:tcPr>
          <w:p>
            <w:pPr>
              <w:spacing w:after="0"/>
              <w:rPr>
                <w:sz w:val="13"/>
                <w:szCs w:val="13"/>
                <w:color w:val="auto"/>
              </w:rPr>
            </w:pPr>
          </w:p>
        </w:tc>
      </w:tr>
      <w:tr>
        <w:trPr>
          <w:trHeight w:val="176"/>
        </w:trPr>
        <w:tc>
          <w:tcPr>
            <w:tcW w:w="1360" w:type="dxa"/>
            <w:vAlign w:val="bottom"/>
            <w:gridSpan w:val="5"/>
          </w:tcPr>
          <w:p>
            <w:pPr>
              <w:spacing w:after="0"/>
              <w:rPr>
                <w:sz w:val="20"/>
                <w:szCs w:val="20"/>
                <w:color w:val="auto"/>
              </w:rPr>
            </w:pPr>
            <w:r>
              <w:rPr>
                <w:rFonts w:ascii="Arial" w:cs="Arial" w:eastAsia="Arial" w:hAnsi="Arial"/>
                <w:sz w:val="11"/>
                <w:szCs w:val="11"/>
                <w:color w:val="auto"/>
              </w:rPr>
              <w:t>All other income</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489</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201</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503</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2,862</w:t>
            </w:r>
          </w:p>
        </w:tc>
        <w:tc>
          <w:tcPr>
            <w:tcW w:w="60" w:type="dxa"/>
            <w:vAlign w:val="bottom"/>
            <w:tcBorders>
              <w:bottom w:val="single" w:sz="8" w:color="auto"/>
            </w:tcBorders>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(b)</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4,055</w:t>
            </w:r>
          </w:p>
        </w:tc>
        <w:tc>
          <w:tcPr>
            <w:tcW w:w="140" w:type="dxa"/>
            <w:vAlign w:val="bottom"/>
          </w:tcPr>
          <w:p>
            <w:pPr>
              <w:spacing w:after="0"/>
              <w:rPr>
                <w:sz w:val="15"/>
                <w:szCs w:val="15"/>
                <w:color w:val="auto"/>
              </w:rPr>
            </w:pPr>
          </w:p>
        </w:tc>
      </w:tr>
      <w:tr>
        <w:trPr>
          <w:trHeight w:val="148"/>
        </w:trPr>
        <w:tc>
          <w:tcPr>
            <w:tcW w:w="1360" w:type="dxa"/>
            <w:vAlign w:val="bottom"/>
            <w:gridSpan w:val="5"/>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b w:val="1"/>
                <w:bCs w:val="1"/>
                <w:color w:val="auto"/>
              </w:rPr>
              <w:t>876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rPr>
              <w:t>201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b w:val="1"/>
                <w:bCs w:val="1"/>
                <w:color w:val="auto"/>
              </w:rPr>
              <w:t>503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2,862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4,442</w:t>
            </w:r>
          </w:p>
        </w:tc>
        <w:tc>
          <w:tcPr>
            <w:tcW w:w="140" w:type="dxa"/>
            <w:vAlign w:val="bottom"/>
          </w:tcPr>
          <w:p>
            <w:pPr>
              <w:spacing w:after="0"/>
              <w:rPr>
                <w:sz w:val="12"/>
                <w:szCs w:val="12"/>
                <w:color w:val="auto"/>
              </w:rPr>
            </w:pPr>
          </w:p>
        </w:tc>
      </w:tr>
      <w:tr>
        <w:trPr>
          <w:trHeight w:val="170"/>
        </w:trPr>
        <w:tc>
          <w:tcPr>
            <w:tcW w:w="1360" w:type="dxa"/>
            <w:vAlign w:val="bottom"/>
            <w:gridSpan w:val="5"/>
          </w:tcPr>
          <w:p>
            <w:pPr>
              <w:spacing w:after="0"/>
              <w:rPr>
                <w:sz w:val="20"/>
                <w:szCs w:val="20"/>
                <w:color w:val="auto"/>
              </w:rPr>
            </w:pPr>
            <w:r>
              <w:rPr>
                <w:rFonts w:ascii="Arial" w:cs="Arial" w:eastAsia="Arial" w:hAnsi="Arial"/>
                <w:sz w:val="11"/>
                <w:szCs w:val="11"/>
                <w:color w:val="auto"/>
              </w:rPr>
              <w:t>Net interest income</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2,401</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704</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668</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(55)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3,718</w:t>
            </w:r>
          </w:p>
        </w:tc>
        <w:tc>
          <w:tcPr>
            <w:tcW w:w="140" w:type="dxa"/>
            <w:vAlign w:val="bottom"/>
          </w:tcPr>
          <w:p>
            <w:pPr>
              <w:spacing w:after="0"/>
              <w:rPr>
                <w:sz w:val="14"/>
                <w:szCs w:val="14"/>
                <w:color w:val="auto"/>
              </w:rPr>
            </w:pPr>
          </w:p>
        </w:tc>
      </w:tr>
      <w:tr>
        <w:trPr>
          <w:trHeight w:val="148"/>
        </w:trPr>
        <w:tc>
          <w:tcPr>
            <w:tcW w:w="136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b w:val="1"/>
                <w:bCs w:val="1"/>
                <w:color w:val="auto"/>
              </w:rPr>
              <w:t>3,277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rPr>
              <w:t>905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b w:val="1"/>
                <w:bCs w:val="1"/>
                <w:color w:val="auto"/>
              </w:rPr>
              <w:t>1,171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2,807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b w:val="1"/>
                <w:bCs w:val="1"/>
                <w:color w:val="auto"/>
              </w:rPr>
              <w:t>8,160</w:t>
            </w:r>
          </w:p>
        </w:tc>
        <w:tc>
          <w:tcPr>
            <w:tcW w:w="140" w:type="dxa"/>
            <w:vAlign w:val="bottom"/>
          </w:tcPr>
          <w:p>
            <w:pPr>
              <w:spacing w:after="0"/>
              <w:rPr>
                <w:sz w:val="12"/>
                <w:szCs w:val="12"/>
                <w:color w:val="auto"/>
              </w:rPr>
            </w:pPr>
          </w:p>
        </w:tc>
      </w:tr>
      <w:tr>
        <w:trPr>
          <w:trHeight w:val="318"/>
        </w:trPr>
        <w:tc>
          <w:tcPr>
            <w:tcW w:w="1360" w:type="dxa"/>
            <w:vAlign w:val="bottom"/>
            <w:gridSpan w:val="5"/>
          </w:tcPr>
          <w:p>
            <w:pPr>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421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731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128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1,280</w:t>
            </w:r>
          </w:p>
        </w:tc>
        <w:tc>
          <w:tcPr>
            <w:tcW w:w="140" w:type="dxa"/>
            <w:vAlign w:val="bottom"/>
          </w:tcPr>
          <w:p>
            <w:pPr>
              <w:spacing w:after="0"/>
              <w:rPr>
                <w:sz w:val="24"/>
                <w:szCs w:val="24"/>
                <w:color w:val="auto"/>
              </w:rPr>
            </w:pPr>
          </w:p>
        </w:tc>
      </w:tr>
      <w:tr>
        <w:trPr>
          <w:trHeight w:val="162"/>
        </w:trPr>
        <w:tc>
          <w:tcPr>
            <w:tcW w:w="1360" w:type="dxa"/>
            <w:vAlign w:val="bottom"/>
            <w:gridSpan w:val="5"/>
          </w:tcPr>
          <w:p>
            <w:pPr>
              <w:spacing w:after="0"/>
              <w:rPr>
                <w:sz w:val="20"/>
                <w:szCs w:val="20"/>
                <w:color w:val="auto"/>
              </w:rPr>
            </w:pPr>
            <w:r>
              <w:rPr>
                <w:rFonts w:ascii="Arial" w:cs="Arial" w:eastAsia="Arial" w:hAnsi="Arial"/>
                <w:sz w:val="11"/>
                <w:szCs w:val="11"/>
                <w:color w:val="auto"/>
              </w:rPr>
              <w:t>Noninterest expense</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1,219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45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50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1,033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2,347</w:t>
            </w:r>
          </w:p>
        </w:tc>
        <w:tc>
          <w:tcPr>
            <w:tcW w:w="140" w:type="dxa"/>
            <w:vAlign w:val="bottom"/>
          </w:tcPr>
          <w:p>
            <w:pPr>
              <w:spacing w:after="0"/>
              <w:rPr>
                <w:sz w:val="14"/>
                <w:szCs w:val="14"/>
                <w:color w:val="auto"/>
              </w:rPr>
            </w:pPr>
          </w:p>
        </w:tc>
      </w:tr>
      <w:tr>
        <w:trPr>
          <w:trHeight w:val="168"/>
        </w:trPr>
        <w:tc>
          <w:tcPr>
            <w:tcW w:w="1360" w:type="dxa"/>
            <w:vAlign w:val="bottom"/>
            <w:gridSpan w:val="5"/>
          </w:tcPr>
          <w:p>
            <w:pPr>
              <w:ind w:left="80"/>
              <w:spacing w:after="0"/>
              <w:rPr>
                <w:sz w:val="20"/>
                <w:szCs w:val="20"/>
                <w:color w:val="auto"/>
              </w:rPr>
            </w:pPr>
            <w:r>
              <w:rPr>
                <w:rFonts w:ascii="Arial" w:cs="Arial" w:eastAsia="Arial" w:hAnsi="Arial"/>
                <w:sz w:val="11"/>
                <w:szCs w:val="11"/>
                <w:b w:val="1"/>
                <w:bCs w:val="1"/>
                <w:color w:val="auto"/>
              </w:rPr>
              <w:t>NET INCOME</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1,244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98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753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2,015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4,110</w:t>
            </w:r>
          </w:p>
        </w:tc>
        <w:tc>
          <w:tcPr>
            <w:tcW w:w="140" w:type="dxa"/>
            <w:vAlign w:val="bottom"/>
          </w:tcPr>
          <w:p>
            <w:pPr>
              <w:spacing w:after="0"/>
              <w:rPr>
                <w:sz w:val="14"/>
                <w:szCs w:val="14"/>
                <w:color w:val="auto"/>
              </w:rPr>
            </w:pPr>
          </w:p>
        </w:tc>
      </w:tr>
      <w:tr>
        <w:trPr>
          <w:trHeight w:val="298"/>
        </w:trPr>
        <w:tc>
          <w:tcPr>
            <w:tcW w:w="2700" w:type="dxa"/>
            <w:vAlign w:val="bottom"/>
            <w:gridSpan w:val="13"/>
          </w:tcPr>
          <w:p>
            <w:pPr>
              <w:spacing w:after="0"/>
              <w:rPr>
                <w:sz w:val="20"/>
                <w:szCs w:val="20"/>
                <w:color w:val="auto"/>
              </w:rPr>
            </w:pPr>
            <w:r>
              <w:rPr>
                <w:rFonts w:ascii="Arial" w:cs="Arial" w:eastAsia="Arial" w:hAnsi="Arial"/>
                <w:sz w:val="11"/>
                <w:szCs w:val="11"/>
                <w:b w:val="1"/>
                <w:bCs w:val="1"/>
                <w:color w:val="auto"/>
              </w:rPr>
              <w:t>SELECTED BALANCE SHEET DATA (period-end)</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3"/>
        </w:trPr>
        <w:tc>
          <w:tcPr>
            <w:tcW w:w="1360" w:type="dxa"/>
            <w:vAlign w:val="bottom"/>
            <w:tcBorders>
              <w:top w:val="single" w:sz="8" w:color="auto"/>
            </w:tcBorders>
            <w:gridSpan w:val="5"/>
          </w:tcPr>
          <w:p>
            <w:pPr>
              <w:spacing w:after="0"/>
              <w:rPr>
                <w:sz w:val="20"/>
                <w:szCs w:val="20"/>
                <w:color w:val="auto"/>
              </w:rPr>
            </w:pPr>
            <w:r>
              <w:rPr>
                <w:rFonts w:ascii="Arial" w:cs="Arial" w:eastAsia="Arial" w:hAnsi="Arial"/>
                <w:sz w:val="11"/>
                <w:szCs w:val="11"/>
                <w:color w:val="auto"/>
              </w:rPr>
              <w:t>Loans</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gridSpan w:val="2"/>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94,671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jc w:val="right"/>
              <w:ind w:right="10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38,495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11,436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14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w w:val="95"/>
              </w:rPr>
              <w:t>144,602</w:t>
            </w:r>
          </w:p>
        </w:tc>
        <w:tc>
          <w:tcPr>
            <w:tcW w:w="140" w:type="dxa"/>
            <w:vAlign w:val="bottom"/>
          </w:tcPr>
          <w:p>
            <w:pPr>
              <w:ind w:left="20"/>
              <w:spacing w:after="0"/>
              <w:rPr>
                <w:sz w:val="20"/>
                <w:szCs w:val="20"/>
                <w:color w:val="auto"/>
              </w:rPr>
            </w:pPr>
            <w:r>
              <w:rPr>
                <w:rFonts w:ascii="Arial" w:cs="Arial" w:eastAsia="Arial" w:hAnsi="Arial"/>
                <w:sz w:val="11"/>
                <w:szCs w:val="11"/>
                <w:color w:val="auto"/>
                <w:w w:val="77"/>
              </w:rPr>
              <w:t>(c)</w:t>
            </w:r>
          </w:p>
        </w:tc>
      </w:tr>
      <w:tr>
        <w:trPr>
          <w:trHeight w:val="162"/>
        </w:trPr>
        <w:tc>
          <w:tcPr>
            <w:tcW w:w="1360" w:type="dxa"/>
            <w:vAlign w:val="bottom"/>
            <w:gridSpan w:val="5"/>
          </w:tcPr>
          <w:p>
            <w:pPr>
              <w:spacing w:after="0"/>
              <w:rPr>
                <w:sz w:val="20"/>
                <w:szCs w:val="20"/>
                <w:color w:val="auto"/>
              </w:rPr>
            </w:pPr>
            <w:r>
              <w:rPr>
                <w:rFonts w:ascii="Arial" w:cs="Arial" w:eastAsia="Arial" w:hAnsi="Arial"/>
                <w:sz w:val="11"/>
                <w:szCs w:val="11"/>
                <w:color w:val="auto"/>
              </w:rPr>
              <w:t>Deposits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42,710</w:t>
            </w:r>
          </w:p>
        </w:tc>
        <w:tc>
          <w:tcPr>
            <w:tcW w:w="40" w:type="dxa"/>
            <w:vAlign w:val="bottom"/>
          </w:tcPr>
          <w:p>
            <w:pPr>
              <w:spacing w:after="0"/>
              <w:rPr>
                <w:sz w:val="14"/>
                <w:szCs w:val="14"/>
                <w:color w:val="auto"/>
              </w:rPr>
            </w:pPr>
          </w:p>
        </w:tc>
        <w:tc>
          <w:tcPr>
            <w:tcW w:w="580" w:type="dxa"/>
            <w:vAlign w:val="bottom"/>
            <w:gridSpan w:val="4"/>
          </w:tcPr>
          <w:p>
            <w:pPr>
              <w:ind w:left="20"/>
              <w:spacing w:after="0"/>
              <w:rPr>
                <w:sz w:val="20"/>
                <w:szCs w:val="20"/>
                <w:color w:val="auto"/>
              </w:rPr>
            </w:pPr>
            <w:r>
              <w:rPr>
                <w:rFonts w:ascii="Arial" w:cs="Arial" w:eastAsia="Arial" w:hAnsi="Arial"/>
                <w:sz w:val="11"/>
                <w:szCs w:val="11"/>
                <w:color w:val="auto"/>
              </w:rPr>
              <w:t>(a)</w:t>
            </w: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6,163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12,098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60,971</w:t>
            </w:r>
          </w:p>
        </w:tc>
        <w:tc>
          <w:tcPr>
            <w:tcW w:w="140" w:type="dxa"/>
            <w:vAlign w:val="bottom"/>
          </w:tcPr>
          <w:p>
            <w:pPr>
              <w:ind w:left="20"/>
              <w:spacing w:after="0"/>
              <w:rPr>
                <w:sz w:val="20"/>
                <w:szCs w:val="20"/>
                <w:color w:val="auto"/>
              </w:rPr>
            </w:pPr>
            <w:r>
              <w:rPr>
                <w:rFonts w:ascii="Arial" w:cs="Arial" w:eastAsia="Arial" w:hAnsi="Arial"/>
                <w:sz w:val="11"/>
                <w:szCs w:val="11"/>
                <w:color w:val="auto"/>
                <w:w w:val="77"/>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1375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All references to “excludes First Republic”, “includes First Republic” or “associated with First Republic” refer to the effects of the First Republic acquisition, as well as subsequent related business and activities, as applicable.</w:t>
      </w:r>
    </w:p>
    <w:p>
      <w:pPr>
        <w:spacing w:after="0" w:line="117" w:lineRule="exact"/>
        <w:rPr>
          <w:sz w:val="20"/>
          <w:szCs w:val="20"/>
          <w:color w:val="auto"/>
        </w:rPr>
      </w:pPr>
    </w:p>
    <w:p>
      <w:pPr>
        <w:ind w:left="160" w:hanging="152"/>
        <w:spacing w:after="0"/>
        <w:tabs>
          <w:tab w:leader="none" w:pos="1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In the fourth quarter of 2023, CCB transferred certain deposits associated with First Republic to AWM, CB and CIB.</w:t>
      </w:r>
    </w:p>
    <w:p>
      <w:pPr>
        <w:spacing w:after="0" w:line="15" w:lineRule="exact"/>
        <w:rPr>
          <w:rFonts w:ascii="Arial" w:cs="Arial" w:eastAsia="Arial" w:hAnsi="Arial"/>
          <w:sz w:val="11"/>
          <w:szCs w:val="11"/>
          <w:color w:val="auto"/>
        </w:rPr>
      </w:pPr>
    </w:p>
    <w:p>
      <w:pPr>
        <w:ind w:left="180" w:hanging="172"/>
        <w:spacing w:after="0" w:line="243" w:lineRule="auto"/>
        <w:tabs>
          <w:tab w:leader="none" w:pos="177" w:val="left"/>
        </w:tabs>
        <w:numPr>
          <w:ilvl w:val="0"/>
          <w:numId w:val="35"/>
        </w:numPr>
        <w:rPr>
          <w:rFonts w:ascii="Arial" w:cs="Arial" w:eastAsia="Arial" w:hAnsi="Arial"/>
          <w:sz w:val="11"/>
          <w:szCs w:val="11"/>
          <w:color w:val="auto"/>
        </w:rPr>
      </w:pPr>
      <w:r>
        <w:rPr>
          <w:rFonts w:ascii="Arial" w:cs="Arial" w:eastAsia="Arial" w:hAnsi="Arial"/>
          <w:sz w:val="11"/>
          <w:szCs w:val="11"/>
          <w:color w:val="auto"/>
        </w:rPr>
        <w:t>On May 1, 2023, JPMorgan Chase acquired certain assets and assumed certain liabilities of First Republic Bank from the FDIC, resulting in a preliminary estimated bargain purchase gain of $2.7 billion recorded in other income. The bargain purchase gain generally represents the excess of the estimated fair value of the net assets acquired over the purchase price and is subject to change for up to one year from the acquisition date, as permitted by U.S. GAAP, and as the settlement with the FDIC is finalized. For the three months ended December 31, 2023 and September 30, 2023, measurement period adjustments of $37 million and $100 million, respectively, were recorded, resulting in an estimated bargain purchase gain of $2.8 billion for the full year 2023.</w:t>
      </w:r>
    </w:p>
    <w:p>
      <w:pPr>
        <w:ind w:left="160" w:hanging="152"/>
        <w:spacing w:after="0"/>
        <w:tabs>
          <w:tab w:leader="none" w:pos="1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Excludes $1.9 billion of loans and $508 million of deposits in CIB associated with First Republic.</w:t>
      </w:r>
    </w:p>
    <w:sectPr>
      <w:pgSz w:w="11900" w:h="16838" w:orient="portrait"/>
      <w:cols w:equalWidth="0" w:num="1">
        <w:col w:w="11200"/>
      </w:cols>
      <w:pgMar w:left="320" w:top="15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lowerLetter"/>
      <w:start w:val="4"/>
    </w:lvl>
  </w:abstractNum>
  <w:abstractNum w:abstractNumId="2">
    <w:nsid w:val="7C83E458"/>
    <w:multiLevelType w:val="hybridMultilevel"/>
    <w:lvl w:ilvl="0">
      <w:lvlJc w:val="left"/>
      <w:lvlText w:val="%1"/>
      <w:numFmt w:val="decimal"/>
      <w:start w:val="101"/>
    </w:lvl>
  </w:abstractNum>
  <w:abstractNum w:abstractNumId="3">
    <w:nsid w:val="257130A3"/>
    <w:multiLevelType w:val="hybridMultilevel"/>
    <w:lvl w:ilvl="0">
      <w:lvlJc w:val="left"/>
      <w:lvlText w:val="%1"/>
      <w:numFmt w:val="decimal"/>
      <w:start w:val="104"/>
    </w:lvl>
  </w:abstractNum>
  <w:abstractNum w:abstractNumId="4">
    <w:nsid w:val="62BBD95A"/>
    <w:multiLevelType w:val="hybridMultilevel"/>
    <w:lvl w:ilvl="0">
      <w:lvlJc w:val="left"/>
      <w:lvlText w:val="1"/>
      <w:numFmt w:val="bullet"/>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decimal"/>
      <w:start w:val="3"/>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2024-01-12T05:54:02Z</dcterms:created>
  <dcterms:modified xsi:type="dcterms:W3CDTF">2024-01-12T05:54:02Z</dcterms:modified>
</cp:coreProperties>
</file>