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Verdana" w:cs="Verdana" w:eastAsia="Verdana" w:hAnsi="Verdana"/>
          <w:sz w:val="28"/>
          <w:szCs w:val="28"/>
          <w:b w:val="1"/>
          <w:bCs w:val="1"/>
          <w:color w:val="BB0826"/>
        </w:rPr>
        <w:t>JPMorgan Chase Financial Company LLC</w:t>
      </w:r>
    </w:p>
    <w:p>
      <w:pPr>
        <w:ind w:left="100"/>
        <w:spacing w:after="0"/>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2" w:lineRule="exact"/>
        <w:rPr>
          <w:sz w:val="24"/>
          <w:szCs w:val="24"/>
          <w:color w:val="auto"/>
        </w:rPr>
      </w:pPr>
    </w:p>
    <w:p>
      <w:pPr>
        <w:ind w:left="100"/>
        <w:spacing w:after="0"/>
        <w:rPr>
          <w:sz w:val="20"/>
          <w:szCs w:val="20"/>
          <w:color w:val="auto"/>
        </w:rPr>
      </w:pPr>
      <w:r>
        <w:rPr>
          <w:rFonts w:ascii="Verdana" w:cs="Verdana" w:eastAsia="Verdana" w:hAnsi="Verdana"/>
          <w:sz w:val="22"/>
          <w:szCs w:val="22"/>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ind w:right="220"/>
        <w:spacing w:after="0" w:line="233" w:lineRule="auto"/>
        <w:rPr>
          <w:sz w:val="20"/>
          <w:szCs w:val="20"/>
          <w:color w:val="auto"/>
        </w:rPr>
      </w:pPr>
      <w:r>
        <w:rPr>
          <w:rFonts w:ascii="Verdana" w:cs="Verdana" w:eastAsia="Verdana" w:hAnsi="Verdana"/>
          <w:sz w:val="13"/>
          <w:szCs w:val="13"/>
          <w:color w:val="auto"/>
        </w:rPr>
        <w:t>Filed Pursuant to Rule 433 Registration Statement Nos. 333-293684 and 333-293684-01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233680</wp:posOffset>
            </wp:positionV>
            <wp:extent cx="1285875"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564" w:lineRule="exact"/>
        <w:rPr>
          <w:sz w:val="24"/>
          <w:szCs w:val="24"/>
          <w:color w:val="auto"/>
        </w:rPr>
      </w:pPr>
    </w:p>
    <w:p>
      <w:pPr>
        <w:sectPr>
          <w:pgSz w:w="11900" w:h="16838" w:orient="portrait"/>
          <w:cols w:equalWidth="0" w:num="2">
            <w:col w:w="7420" w:space="720"/>
            <w:col w:w="3100"/>
          </w:cols>
          <w:pgMar w:left="320" w:top="239" w:right="339" w:bottom="1440" w:gutter="0" w:footer="0" w:header="0"/>
        </w:sectPr>
      </w:pPr>
    </w:p>
    <w:p>
      <w:pPr>
        <w:spacing w:after="0" w:line="298" w:lineRule="exact"/>
        <w:rPr>
          <w:sz w:val="24"/>
          <w:szCs w:val="24"/>
          <w:color w:val="auto"/>
        </w:rPr>
      </w:pPr>
    </w:p>
    <w:p>
      <w:pPr>
        <w:jc w:val="both"/>
        <w:ind w:left="100" w:right="840"/>
        <w:spacing w:after="0" w:line="266" w:lineRule="auto"/>
        <w:rPr>
          <w:sz w:val="20"/>
          <w:szCs w:val="20"/>
          <w:color w:val="auto"/>
        </w:rPr>
      </w:pPr>
      <w:r>
        <w:rPr>
          <w:rFonts w:ascii="Verdana" w:cs="Verdana" w:eastAsia="Verdana" w:hAnsi="Verdana"/>
          <w:sz w:val="18"/>
          <w:szCs w:val="18"/>
          <w:color w:val="FFFFFF"/>
        </w:rPr>
        <w:t>Market Linked Securities—Auto-Callable with Contingent Coupon with Memory Feature and Contingent Downside Principal at Risk Securities Linked to the Class A Common Stock of Coinbase Global, Inc. due November 16, 2029 Fact Sheet dated November 4, 2026 to Preliminary Pricing Supplement dated November 4, 2026</w:t>
      </w:r>
    </w:p>
    <w:p>
      <w:pPr>
        <w:spacing w:after="0" w:line="1" w:lineRule="exact"/>
        <w:rPr>
          <w:sz w:val="24"/>
          <w:szCs w:val="24"/>
          <w:color w:val="auto"/>
        </w:rPr>
      </w:pPr>
    </w:p>
    <w:p>
      <w:pPr>
        <w:ind w:left="80"/>
        <w:spacing w:after="0"/>
        <w:tabs>
          <w:tab w:leader="none" w:pos="5740" w:val="left"/>
        </w:tabs>
        <w:rPr>
          <w:sz w:val="20"/>
          <w:szCs w:val="20"/>
          <w:color w:val="auto"/>
        </w:rPr>
      </w:pPr>
      <w:r>
        <w:rPr>
          <w:rFonts w:ascii="Verdana" w:cs="Verdana" w:eastAsia="Verdana" w:hAnsi="Verdana"/>
          <w:sz w:val="23"/>
          <w:szCs w:val="23"/>
          <w:color w:val="8F8F8F"/>
        </w:rPr>
        <w:t>Summary of Terms</w:t>
      </w:r>
      <w:r>
        <w:rPr>
          <w:sz w:val="20"/>
          <w:szCs w:val="20"/>
          <w:color w:val="auto"/>
        </w:rPr>
        <w:tab/>
      </w:r>
      <w:r>
        <w:rPr>
          <w:rFonts w:ascii="Verdana" w:cs="Verdana" w:eastAsia="Verdana" w:hAnsi="Verdana"/>
          <w:sz w:val="23"/>
          <w:szCs w:val="23"/>
          <w:color w:val="8F8F8F"/>
        </w:rPr>
        <w:t>Summary of Terms (continued)</w:t>
      </w:r>
    </w:p>
    <w:p>
      <w:pPr>
        <w:sectPr>
          <w:pgSz w:w="11900" w:h="16838" w:orient="portrait"/>
          <w:cols w:equalWidth="0" w:num="1">
            <w:col w:w="11240"/>
          </w:cols>
          <w:pgMar w:left="320" w:top="239" w:right="339" w:bottom="1440" w:gutter="0" w:footer="0" w:header="0"/>
          <w:type w:val="continuous"/>
        </w:sectPr>
      </w:pP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142"/>
        </w:trPr>
        <w:tc>
          <w:tcPr>
            <w:tcW w:w="1980" w:type="dxa"/>
            <w:vAlign w:val="bottom"/>
            <w:tcBorders>
              <w:top w:val="single" w:sz="8" w:color="auto"/>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Issuer:</w:t>
            </w:r>
          </w:p>
        </w:tc>
        <w:tc>
          <w:tcPr>
            <w:tcW w:w="3580" w:type="dxa"/>
            <w:vAlign w:val="bottom"/>
            <w:tcBorders>
              <w:top w:val="single" w:sz="8" w:color="auto"/>
              <w:bottom w:val="single" w:sz="8" w:color="auto"/>
              <w:right w:val="single" w:sz="8" w:color="auto"/>
            </w:tcBorders>
            <w:gridSpan w:val="3"/>
          </w:tcPr>
          <w:p>
            <w:pPr>
              <w:ind w:left="80"/>
              <w:spacing w:after="0" w:line="142" w:lineRule="exact"/>
              <w:rPr>
                <w:sz w:val="20"/>
                <w:szCs w:val="20"/>
                <w:color w:val="auto"/>
              </w:rPr>
            </w:pPr>
            <w:r>
              <w:rPr>
                <w:rFonts w:ascii="Georgia" w:cs="Georgia" w:eastAsia="Georgia" w:hAnsi="Georgia"/>
                <w:sz w:val="13"/>
                <w:szCs w:val="13"/>
                <w:color w:val="auto"/>
              </w:rPr>
              <w:t>JPMorgan Chase Financial Company LLC</w:t>
            </w:r>
          </w:p>
        </w:tc>
        <w:tc>
          <w:tcPr>
            <w:tcW w:w="0" w:type="dxa"/>
            <w:vAlign w:val="bottom"/>
          </w:tcPr>
          <w:p>
            <w:pPr>
              <w:spacing w:after="0"/>
              <w:rPr>
                <w:sz w:val="1"/>
                <w:szCs w:val="1"/>
                <w:color w:val="auto"/>
              </w:rPr>
            </w:pP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Guarantor:</w:t>
            </w:r>
          </w:p>
        </w:tc>
        <w:tc>
          <w:tcPr>
            <w:tcW w:w="3580" w:type="dxa"/>
            <w:vAlign w:val="bottom"/>
            <w:tcBorders>
              <w:bottom w:val="single" w:sz="8" w:color="auto"/>
              <w:right w:val="single" w:sz="8" w:color="auto"/>
            </w:tcBorders>
            <w:gridSpan w:val="3"/>
          </w:tcPr>
          <w:p>
            <w:pPr>
              <w:ind w:left="80"/>
              <w:spacing w:after="0" w:line="142" w:lineRule="exact"/>
              <w:rPr>
                <w:sz w:val="20"/>
                <w:szCs w:val="20"/>
                <w:color w:val="auto"/>
              </w:rPr>
            </w:pPr>
            <w:r>
              <w:rPr>
                <w:rFonts w:ascii="Georgia" w:cs="Georgia" w:eastAsia="Georgia" w:hAnsi="Georgia"/>
                <w:sz w:val="13"/>
                <w:szCs w:val="13"/>
                <w:color w:val="auto"/>
              </w:rPr>
              <w:t>JPMorgan Chase &amp; Co.</w:t>
            </w:r>
          </w:p>
        </w:tc>
        <w:tc>
          <w:tcPr>
            <w:tcW w:w="0" w:type="dxa"/>
            <w:vAlign w:val="bottom"/>
          </w:tcPr>
          <w:p>
            <w:pPr>
              <w:spacing w:after="0"/>
              <w:rPr>
                <w:sz w:val="1"/>
                <w:szCs w:val="1"/>
                <w:color w:val="auto"/>
              </w:rPr>
            </w:pPr>
          </w:p>
        </w:tc>
      </w:tr>
      <w:tr>
        <w:trPr>
          <w:trHeight w:val="140"/>
        </w:trPr>
        <w:tc>
          <w:tcPr>
            <w:tcW w:w="198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Underlying Stock:</w:t>
            </w:r>
          </w:p>
        </w:tc>
        <w:tc>
          <w:tcPr>
            <w:tcW w:w="3580" w:type="dxa"/>
            <w:vAlign w:val="bottom"/>
            <w:tcBorders>
              <w:right w:val="single" w:sz="8" w:color="auto"/>
            </w:tcBorders>
            <w:gridSpan w:val="3"/>
          </w:tcPr>
          <w:p>
            <w:pPr>
              <w:ind w:left="80"/>
              <w:spacing w:after="0" w:line="140" w:lineRule="exact"/>
              <w:rPr>
                <w:sz w:val="20"/>
                <w:szCs w:val="20"/>
                <w:color w:val="auto"/>
              </w:rPr>
            </w:pPr>
            <w:r>
              <w:rPr>
                <w:rFonts w:ascii="Georgia" w:cs="Georgia" w:eastAsia="Georgia" w:hAnsi="Georgia"/>
                <w:sz w:val="13"/>
                <w:szCs w:val="13"/>
                <w:color w:val="auto"/>
              </w:rPr>
              <w:t>The Class A common stock of Coinbase Global, Inc.</w:t>
            </w:r>
          </w:p>
        </w:tc>
        <w:tc>
          <w:tcPr>
            <w:tcW w:w="0" w:type="dxa"/>
            <w:vAlign w:val="bottom"/>
          </w:tcPr>
          <w:p>
            <w:pPr>
              <w:spacing w:after="0"/>
              <w:rPr>
                <w:sz w:val="1"/>
                <w:szCs w:val="1"/>
                <w:color w:val="auto"/>
              </w:rPr>
            </w:pPr>
          </w:p>
        </w:tc>
      </w:tr>
      <w:tr>
        <w:trPr>
          <w:trHeight w:val="144"/>
        </w:trPr>
        <w:tc>
          <w:tcPr>
            <w:tcW w:w="1980" w:type="dxa"/>
            <w:vAlign w:val="bottom"/>
            <w:tcBorders>
              <w:left w:val="single" w:sz="8" w:color="auto"/>
              <w:bottom w:val="single" w:sz="8" w:color="auto"/>
              <w:right w:val="single" w:sz="8" w:color="auto"/>
            </w:tcBorders>
          </w:tcPr>
          <w:p>
            <w:pPr>
              <w:spacing w:after="0"/>
              <w:rPr>
                <w:sz w:val="12"/>
                <w:szCs w:val="12"/>
                <w:color w:val="auto"/>
              </w:rPr>
            </w:pPr>
          </w:p>
        </w:tc>
        <w:tc>
          <w:tcPr>
            <w:tcW w:w="3580" w:type="dxa"/>
            <w:vAlign w:val="bottom"/>
            <w:tcBorders>
              <w:bottom w:val="single" w:sz="8" w:color="auto"/>
              <w:right w:val="single" w:sz="8" w:color="auto"/>
            </w:tcBorders>
            <w:gridSpan w:val="3"/>
          </w:tcPr>
          <w:p>
            <w:pPr>
              <w:ind w:left="80"/>
              <w:spacing w:after="0" w:line="138" w:lineRule="exact"/>
              <w:rPr>
                <w:sz w:val="20"/>
                <w:szCs w:val="20"/>
                <w:color w:val="auto"/>
              </w:rPr>
            </w:pPr>
            <w:r>
              <w:rPr>
                <w:rFonts w:ascii="Georgia" w:cs="Georgia" w:eastAsia="Georgia" w:hAnsi="Georgia"/>
                <w:sz w:val="13"/>
                <w:szCs w:val="13"/>
                <w:color w:val="auto"/>
              </w:rPr>
              <w:t>(Bloomberg ticker: COIN) (the “Underlying Stock”)</w:t>
            </w:r>
          </w:p>
        </w:tc>
        <w:tc>
          <w:tcPr>
            <w:tcW w:w="0" w:type="dxa"/>
            <w:vAlign w:val="bottom"/>
          </w:tcPr>
          <w:p>
            <w:pPr>
              <w:spacing w:after="0"/>
              <w:rPr>
                <w:sz w:val="1"/>
                <w:szCs w:val="1"/>
                <w:color w:val="auto"/>
              </w:rPr>
            </w:pPr>
          </w:p>
        </w:tc>
      </w:tr>
      <w:tr>
        <w:trPr>
          <w:trHeight w:val="189"/>
        </w:trPr>
        <w:tc>
          <w:tcPr>
            <w:tcW w:w="1980" w:type="dxa"/>
            <w:vAlign w:val="bottom"/>
            <w:tcBorders>
              <w:left w:val="single" w:sz="8" w:color="auto"/>
              <w:bottom w:val="single" w:sz="8" w:color="auto"/>
              <w:right w:val="single" w:sz="8" w:color="auto"/>
            </w:tcBorders>
          </w:tcPr>
          <w:p>
            <w:pPr>
              <w:ind w:left="120"/>
              <w:spacing w:after="0" w:line="189"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2"/>
                <w:szCs w:val="22"/>
                <w:color w:val="auto"/>
                <w:vertAlign w:val="superscript"/>
              </w:rPr>
              <w:t>1</w:t>
            </w:r>
            <w:r>
              <w:rPr>
                <w:rFonts w:ascii="Georgia" w:cs="Georgia" w:eastAsia="Georgia" w:hAnsi="Georgia"/>
                <w:sz w:val="13"/>
                <w:szCs w:val="13"/>
                <w:color w:val="auto"/>
              </w:rPr>
              <w:t>:</w:t>
            </w: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November 13, 2026</w:t>
            </w: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November 18, 2026</w:t>
            </w: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November 16, 2029</w:t>
            </w:r>
          </w:p>
        </w:tc>
        <w:tc>
          <w:tcPr>
            <w:tcW w:w="0" w:type="dxa"/>
            <w:vAlign w:val="bottom"/>
          </w:tcPr>
          <w:p>
            <w:pPr>
              <w:spacing w:after="0"/>
              <w:rPr>
                <w:sz w:val="1"/>
                <w:szCs w:val="1"/>
                <w:color w:val="auto"/>
              </w:rPr>
            </w:pP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Principal Amount:</w:t>
            </w:r>
          </w:p>
        </w:tc>
        <w:tc>
          <w:tcPr>
            <w:tcW w:w="3580" w:type="dxa"/>
            <w:vAlign w:val="bottom"/>
            <w:tcBorders>
              <w:bottom w:val="single" w:sz="8" w:color="auto"/>
              <w:right w:val="single" w:sz="8" w:color="auto"/>
            </w:tcBorders>
            <w:gridSpan w:val="3"/>
          </w:tcPr>
          <w:p>
            <w:pPr>
              <w:ind w:left="80"/>
              <w:spacing w:after="0" w:line="142" w:lineRule="exact"/>
              <w:rPr>
                <w:sz w:val="20"/>
                <w:szCs w:val="20"/>
                <w:color w:val="auto"/>
              </w:rPr>
            </w:pPr>
            <w:r>
              <w:rPr>
                <w:rFonts w:ascii="Georgia" w:cs="Georgia" w:eastAsia="Georgia" w:hAnsi="Georgia"/>
                <w:sz w:val="13"/>
                <w:szCs w:val="13"/>
                <w:color w:val="auto"/>
              </w:rPr>
              <w:t>$1,000 per security (100% of par)</w:t>
            </w:r>
          </w:p>
        </w:tc>
        <w:tc>
          <w:tcPr>
            <w:tcW w:w="0" w:type="dxa"/>
            <w:vAlign w:val="bottom"/>
          </w:tcPr>
          <w:p>
            <w:pPr>
              <w:spacing w:after="0"/>
              <w:rPr>
                <w:sz w:val="1"/>
                <w:szCs w:val="1"/>
                <w:color w:val="auto"/>
              </w:rPr>
            </w:pPr>
          </w:p>
        </w:tc>
      </w:tr>
      <w:tr>
        <w:trPr>
          <w:trHeight w:val="153"/>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Contingent Coupon</w:t>
            </w: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On each contingent coupon payment date, you will</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Payment:</w:t>
            </w: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receive a contingent coupon payment at a per annum</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 xml:space="preserve">rate equal to the contingent coupon rate if, </w:t>
            </w:r>
            <w:r>
              <w:rPr>
                <w:rFonts w:ascii="Georgia" w:cs="Georgia" w:eastAsia="Georgia" w:hAnsi="Georgia"/>
                <w:sz w:val="13"/>
                <w:szCs w:val="13"/>
                <w:b w:val="1"/>
                <w:bCs w:val="1"/>
                <w:color w:val="auto"/>
              </w:rPr>
              <w:t>and only if</w:t>
            </w:r>
            <w:r>
              <w:rPr>
                <w:rFonts w:ascii="Georgia" w:cs="Georgia" w:eastAsia="Georgia" w:hAnsi="Georgia"/>
                <w:sz w:val="13"/>
                <w:szCs w:val="13"/>
                <w:color w:val="auto"/>
              </w:rPr>
              <w:t>,</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the stock closing price of the Underlying Stock on the</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related calculation day is greater than or equal to the</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threshold price. In addition, if the stock closing price of</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the Underlying Stock on one or more calculation days is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less than the threshold price and, on a subsequent</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calculation day, the stock closing price of the Underlying</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Stock is greater than or equal to the threshold price, on</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the contingent coupon payment date related to that</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subsequent calculation day, you will receive the</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contingent coupon payment due for that subsequent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 xml:space="preserve">calculation day </w:t>
            </w:r>
            <w:r>
              <w:rPr>
                <w:rFonts w:ascii="Georgia" w:cs="Georgia" w:eastAsia="Georgia" w:hAnsi="Georgia"/>
                <w:sz w:val="13"/>
                <w:szCs w:val="13"/>
                <w:i w:val="1"/>
                <w:iCs w:val="1"/>
                <w:color w:val="auto"/>
              </w:rPr>
              <w:t>plus</w:t>
            </w:r>
            <w:r>
              <w:rPr>
                <w:rFonts w:ascii="Georgia" w:cs="Georgia" w:eastAsia="Georgia" w:hAnsi="Georgia"/>
                <w:sz w:val="13"/>
                <w:szCs w:val="13"/>
                <w:color w:val="auto"/>
              </w:rPr>
              <w:t xml:space="preserve"> all previously unpaid contingent</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coupon payments (without interest on amounts</w:t>
            </w:r>
          </w:p>
        </w:tc>
        <w:tc>
          <w:tcPr>
            <w:tcW w:w="0" w:type="dxa"/>
            <w:vAlign w:val="bottom"/>
          </w:tcPr>
          <w:p>
            <w:pPr>
              <w:spacing w:after="0"/>
              <w:rPr>
                <w:sz w:val="1"/>
                <w:szCs w:val="1"/>
                <w:color w:val="auto"/>
              </w:rPr>
            </w:pPr>
          </w:p>
        </w:tc>
      </w:tr>
      <w:tr>
        <w:trPr>
          <w:trHeight w:val="137"/>
        </w:trPr>
        <w:tc>
          <w:tcPr>
            <w:tcW w:w="1980" w:type="dxa"/>
            <w:vAlign w:val="bottom"/>
            <w:tcBorders>
              <w:left w:val="single" w:sz="8" w:color="auto"/>
              <w:right w:val="single" w:sz="8" w:color="auto"/>
            </w:tcBorders>
          </w:tcPr>
          <w:p>
            <w:pPr>
              <w:spacing w:after="0"/>
              <w:rPr>
                <w:sz w:val="11"/>
                <w:szCs w:val="11"/>
                <w:color w:val="auto"/>
              </w:rPr>
            </w:pPr>
          </w:p>
        </w:tc>
        <w:tc>
          <w:tcPr>
            <w:tcW w:w="3580" w:type="dxa"/>
            <w:vAlign w:val="bottom"/>
            <w:tcBorders>
              <w:right w:val="single" w:sz="8" w:color="auto"/>
            </w:tcBorders>
            <w:gridSpan w:val="3"/>
          </w:tcPr>
          <w:p>
            <w:pPr>
              <w:ind w:left="80"/>
              <w:spacing w:after="0" w:line="138" w:lineRule="exact"/>
              <w:rPr>
                <w:sz w:val="20"/>
                <w:szCs w:val="20"/>
                <w:color w:val="auto"/>
              </w:rPr>
            </w:pPr>
            <w:r>
              <w:rPr>
                <w:rFonts w:ascii="Georgia" w:cs="Georgia" w:eastAsia="Georgia" w:hAnsi="Georgia"/>
                <w:sz w:val="13"/>
                <w:szCs w:val="13"/>
                <w:color w:val="auto"/>
              </w:rPr>
              <w:t>previously unpaid). Each “contingent coupon payment,”</w:t>
            </w:r>
          </w:p>
        </w:tc>
        <w:tc>
          <w:tcPr>
            <w:tcW w:w="0" w:type="dxa"/>
            <w:vAlign w:val="bottom"/>
          </w:tcPr>
          <w:p>
            <w:pPr>
              <w:spacing w:after="0"/>
              <w:rPr>
                <w:sz w:val="1"/>
                <w:szCs w:val="1"/>
                <w:color w:val="auto"/>
              </w:rPr>
            </w:pPr>
          </w:p>
        </w:tc>
      </w:tr>
      <w:tr>
        <w:trPr>
          <w:trHeight w:val="20"/>
        </w:trPr>
        <w:tc>
          <w:tcPr>
            <w:tcW w:w="1980" w:type="dxa"/>
            <w:vAlign w:val="bottom"/>
            <w:tcBorders>
              <w:left w:val="single" w:sz="8" w:color="auto"/>
              <w:right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980" w:type="dxa"/>
            <w:vAlign w:val="bottom"/>
            <w:tcBorders>
              <w:left w:val="single" w:sz="8" w:color="auto"/>
              <w:right w:val="single" w:sz="8" w:color="auto"/>
            </w:tcBorders>
          </w:tcPr>
          <w:p>
            <w:pPr>
              <w:spacing w:after="0"/>
              <w:rPr>
                <w:sz w:val="12"/>
                <w:szCs w:val="12"/>
                <w:color w:val="auto"/>
              </w:rPr>
            </w:pPr>
          </w:p>
        </w:tc>
        <w:tc>
          <w:tcPr>
            <w:tcW w:w="3320" w:type="dxa"/>
            <w:vAlign w:val="bottom"/>
            <w:gridSpan w:val="2"/>
          </w:tcPr>
          <w:p>
            <w:pPr>
              <w:ind w:left="80"/>
              <w:spacing w:after="0" w:line="146" w:lineRule="exact"/>
              <w:rPr>
                <w:sz w:val="20"/>
                <w:szCs w:val="20"/>
                <w:color w:val="auto"/>
              </w:rPr>
            </w:pPr>
            <w:r>
              <w:rPr>
                <w:rFonts w:ascii="Georgia" w:cs="Georgia" w:eastAsia="Georgia" w:hAnsi="Georgia"/>
                <w:sz w:val="13"/>
                <w:szCs w:val="13"/>
                <w:color w:val="auto"/>
              </w:rPr>
              <w:t>if any, will be calculated per security as follows:</w:t>
            </w:r>
          </w:p>
        </w:tc>
        <w:tc>
          <w:tcPr>
            <w:tcW w:w="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bottom w:val="single" w:sz="8" w:color="auto"/>
              <w:right w:val="single" w:sz="8" w:color="auto"/>
            </w:tcBorders>
          </w:tcPr>
          <w:p>
            <w:pPr>
              <w:spacing w:after="0"/>
              <w:rPr>
                <w:sz w:val="14"/>
                <w:szCs w:val="14"/>
                <w:color w:val="auto"/>
              </w:rPr>
            </w:pPr>
          </w:p>
        </w:tc>
        <w:tc>
          <w:tcPr>
            <w:tcW w:w="3580" w:type="dxa"/>
            <w:vAlign w:val="bottom"/>
            <w:tcBorders>
              <w:bottom w:val="single" w:sz="8" w:color="auto"/>
              <w:right w:val="single" w:sz="8" w:color="auto"/>
            </w:tcBorders>
            <w:gridSpan w:val="3"/>
          </w:tcPr>
          <w:p>
            <w:pPr>
              <w:ind w:left="620"/>
              <w:spacing w:after="0"/>
              <w:rPr>
                <w:sz w:val="20"/>
                <w:szCs w:val="20"/>
                <w:color w:val="auto"/>
              </w:rPr>
            </w:pPr>
            <w:r>
              <w:rPr>
                <w:rFonts w:ascii="Georgia" w:cs="Georgia" w:eastAsia="Georgia" w:hAnsi="Georgia"/>
                <w:sz w:val="13"/>
                <w:szCs w:val="13"/>
                <w:color w:val="auto"/>
              </w:rPr>
              <w:t>($1,000 × contingent coupon rate) / 12</w:t>
            </w:r>
          </w:p>
        </w:tc>
        <w:tc>
          <w:tcPr>
            <w:tcW w:w="0" w:type="dxa"/>
            <w:vAlign w:val="bottom"/>
          </w:tcPr>
          <w:p>
            <w:pPr>
              <w:spacing w:after="0"/>
              <w:rPr>
                <w:sz w:val="1"/>
                <w:szCs w:val="1"/>
                <w:color w:val="auto"/>
              </w:rPr>
            </w:pPr>
          </w:p>
        </w:tc>
      </w:tr>
      <w:tr>
        <w:trPr>
          <w:trHeight w:val="140"/>
        </w:trPr>
        <w:tc>
          <w:tcPr>
            <w:tcW w:w="198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Contingent Coupon Payment</w:t>
            </w:r>
          </w:p>
        </w:tc>
        <w:tc>
          <w:tcPr>
            <w:tcW w:w="3580" w:type="dxa"/>
            <w:vAlign w:val="bottom"/>
            <w:tcBorders>
              <w:right w:val="single" w:sz="8" w:color="auto"/>
            </w:tcBorders>
            <w:gridSpan w:val="3"/>
          </w:tcPr>
          <w:p>
            <w:pPr>
              <w:ind w:left="80"/>
              <w:spacing w:after="0" w:line="140" w:lineRule="exact"/>
              <w:rPr>
                <w:sz w:val="20"/>
                <w:szCs w:val="20"/>
                <w:color w:val="auto"/>
              </w:rPr>
            </w:pPr>
            <w:r>
              <w:rPr>
                <w:rFonts w:ascii="Georgia" w:cs="Georgia" w:eastAsia="Georgia" w:hAnsi="Georgia"/>
                <w:sz w:val="13"/>
                <w:szCs w:val="13"/>
                <w:color w:val="auto"/>
              </w:rPr>
              <w:t>Monthly, on the third business day following each</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120"/>
              <w:spacing w:after="0" w:line="149" w:lineRule="exact"/>
              <w:rPr>
                <w:sz w:val="20"/>
                <w:szCs w:val="20"/>
                <w:color w:val="auto"/>
              </w:rPr>
            </w:pPr>
            <w:r>
              <w:rPr>
                <w:rFonts w:ascii="Georgia" w:cs="Georgia" w:eastAsia="Georgia" w:hAnsi="Georgia"/>
                <w:sz w:val="11"/>
                <w:szCs w:val="11"/>
                <w:color w:val="auto"/>
              </w:rPr>
              <w:t>Dates</w:t>
            </w:r>
            <w:r>
              <w:rPr>
                <w:rFonts w:ascii="Georgia" w:cs="Georgia" w:eastAsia="Georgia" w:hAnsi="Georgia"/>
                <w:sz w:val="17"/>
                <w:szCs w:val="17"/>
                <w:color w:val="auto"/>
                <w:vertAlign w:val="superscript"/>
              </w:rPr>
              <w:t>1, 2</w:t>
            </w:r>
            <w:r>
              <w:rPr>
                <w:rFonts w:ascii="Georgia" w:cs="Georgia" w:eastAsia="Georgia" w:hAnsi="Georgia"/>
                <w:sz w:val="11"/>
                <w:szCs w:val="11"/>
                <w:color w:val="auto"/>
              </w:rPr>
              <w:t>:</w:t>
            </w: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 xml:space="preserve">calculation day, </w:t>
            </w:r>
            <w:r>
              <w:rPr>
                <w:rFonts w:ascii="Georgia" w:cs="Georgia" w:eastAsia="Georgia" w:hAnsi="Georgia"/>
                <w:sz w:val="13"/>
                <w:szCs w:val="13"/>
                <w:i w:val="1"/>
                <w:iCs w:val="1"/>
                <w:color w:val="auto"/>
              </w:rPr>
              <w:t>provided</w:t>
            </w:r>
            <w:r>
              <w:rPr>
                <w:rFonts w:ascii="Georgia" w:cs="Georgia" w:eastAsia="Georgia" w:hAnsi="Georgia"/>
                <w:sz w:val="13"/>
                <w:szCs w:val="13"/>
                <w:color w:val="auto"/>
              </w:rPr>
              <w:t xml:space="preserve"> that the contingent coupon</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payment date with respect to the final calculation day</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will be the stated maturity date</w:t>
            </w:r>
          </w:p>
        </w:tc>
        <w:tc>
          <w:tcPr>
            <w:tcW w:w="0" w:type="dxa"/>
            <w:vAlign w:val="bottom"/>
          </w:tcPr>
          <w:p>
            <w:pPr>
              <w:spacing w:after="0"/>
              <w:rPr>
                <w:sz w:val="1"/>
                <w:szCs w:val="1"/>
                <w:color w:val="auto"/>
              </w:rPr>
            </w:pPr>
          </w:p>
        </w:tc>
      </w:tr>
      <w:tr>
        <w:trPr>
          <w:trHeight w:val="153"/>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Contingent Coupon Rate:</w:t>
            </w: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At least 18.65% per annum (to be provided in the pricing</w:t>
            </w:r>
          </w:p>
        </w:tc>
        <w:tc>
          <w:tcPr>
            <w:tcW w:w="0" w:type="dxa"/>
            <w:vAlign w:val="bottom"/>
          </w:tcPr>
          <w:p>
            <w:pPr>
              <w:spacing w:after="0"/>
              <w:rPr>
                <w:sz w:val="1"/>
                <w:szCs w:val="1"/>
                <w:color w:val="auto"/>
              </w:rPr>
            </w:pPr>
          </w:p>
        </w:tc>
      </w:tr>
      <w:tr>
        <w:trPr>
          <w:trHeight w:val="152"/>
        </w:trPr>
        <w:tc>
          <w:tcPr>
            <w:tcW w:w="1980" w:type="dxa"/>
            <w:vAlign w:val="bottom"/>
            <w:tcBorders>
              <w:left w:val="single" w:sz="8" w:color="auto"/>
              <w:right w:val="single" w:sz="8" w:color="auto"/>
            </w:tcBorders>
          </w:tcPr>
          <w:p>
            <w:pPr>
              <w:spacing w:after="0"/>
              <w:rPr>
                <w:sz w:val="13"/>
                <w:szCs w:val="13"/>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supplement)</w:t>
            </w:r>
          </w:p>
        </w:tc>
        <w:tc>
          <w:tcPr>
            <w:tcW w:w="0" w:type="dxa"/>
            <w:vAlign w:val="bottom"/>
          </w:tcPr>
          <w:p>
            <w:pPr>
              <w:spacing w:after="0"/>
              <w:rPr>
                <w:sz w:val="1"/>
                <w:szCs w:val="1"/>
                <w:color w:val="auto"/>
              </w:rPr>
            </w:pPr>
          </w:p>
        </w:tc>
      </w:tr>
      <w:tr>
        <w:trPr>
          <w:trHeight w:val="26"/>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198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Automatic Call:</w:t>
            </w:r>
          </w:p>
        </w:tc>
        <w:tc>
          <w:tcPr>
            <w:tcW w:w="3580" w:type="dxa"/>
            <w:vAlign w:val="bottom"/>
            <w:tcBorders>
              <w:right w:val="single" w:sz="8" w:color="auto"/>
            </w:tcBorders>
            <w:gridSpan w:val="3"/>
          </w:tcPr>
          <w:p>
            <w:pPr>
              <w:ind w:left="80"/>
              <w:spacing w:after="0" w:line="140" w:lineRule="exact"/>
              <w:rPr>
                <w:sz w:val="20"/>
                <w:szCs w:val="20"/>
                <w:color w:val="auto"/>
              </w:rPr>
            </w:pPr>
            <w:r>
              <w:rPr>
                <w:rFonts w:ascii="Georgia" w:cs="Georgia" w:eastAsia="Georgia" w:hAnsi="Georgia"/>
                <w:sz w:val="13"/>
                <w:szCs w:val="13"/>
                <w:color w:val="auto"/>
              </w:rPr>
              <w:t>If the stock closing price of the Underlying Stock on any</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of the calculation days from February 2027 to October</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2029, inclusive, is greater than or equal to the starting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price, the securities will be automatically called, and on</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the related call settlement date you will be entitled to</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receive a cash payment per security in U.S. dollars equal</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 xml:space="preserve">to the principal amount per security </w:t>
            </w:r>
            <w:r>
              <w:rPr>
                <w:rFonts w:ascii="Georgia" w:cs="Georgia" w:eastAsia="Georgia" w:hAnsi="Georgia"/>
                <w:sz w:val="13"/>
                <w:szCs w:val="13"/>
                <w:i w:val="1"/>
                <w:iCs w:val="1"/>
                <w:color w:val="auto"/>
              </w:rPr>
              <w:t>plus</w:t>
            </w:r>
            <w:r>
              <w:rPr>
                <w:rFonts w:ascii="Georgia" w:cs="Georgia" w:eastAsia="Georgia" w:hAnsi="Georgia"/>
                <w:sz w:val="13"/>
                <w:szCs w:val="13"/>
                <w:color w:val="auto"/>
              </w:rPr>
              <w:t xml:space="preserve"> a final</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contingent coupon payment and any previously unpaid</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contingent coupon payments.</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right w:val="single" w:sz="8" w:color="auto"/>
            </w:tcBorders>
          </w:tcPr>
          <w:p>
            <w:pPr>
              <w:ind w:left="120"/>
              <w:spacing w:after="0" w:line="180" w:lineRule="exact"/>
              <w:rPr>
                <w:sz w:val="20"/>
                <w:szCs w:val="20"/>
                <w:color w:val="auto"/>
              </w:rPr>
            </w:pPr>
            <w:r>
              <w:rPr>
                <w:rFonts w:ascii="Georgia" w:cs="Georgia" w:eastAsia="Georgia" w:hAnsi="Georgia"/>
                <w:sz w:val="13"/>
                <w:szCs w:val="13"/>
                <w:color w:val="auto"/>
              </w:rPr>
              <w:t>Calculation Days</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580" w:type="dxa"/>
            <w:vAlign w:val="bottom"/>
            <w:tcBorders>
              <w:right w:val="single" w:sz="8" w:color="auto"/>
            </w:tcBorders>
            <w:gridSpan w:val="3"/>
          </w:tcPr>
          <w:p>
            <w:pPr>
              <w:ind w:left="80"/>
              <w:spacing w:after="0" w:line="180" w:lineRule="exact"/>
              <w:rPr>
                <w:sz w:val="20"/>
                <w:szCs w:val="20"/>
                <w:color w:val="auto"/>
              </w:rPr>
            </w:pPr>
            <w:r>
              <w:rPr>
                <w:rFonts w:ascii="Georgia" w:cs="Georgia" w:eastAsia="Georgia" w:hAnsi="Georgia"/>
                <w:sz w:val="13"/>
                <w:szCs w:val="13"/>
                <w:color w:val="auto"/>
              </w:rPr>
              <w:t>Monthly, on the 13</w:t>
            </w:r>
            <w:r>
              <w:rPr>
                <w:rFonts w:ascii="Georgia" w:cs="Georgia" w:eastAsia="Georgia" w:hAnsi="Georgia"/>
                <w:sz w:val="21"/>
                <w:szCs w:val="21"/>
                <w:color w:val="auto"/>
                <w:vertAlign w:val="superscript"/>
              </w:rPr>
              <w:t>th</w:t>
            </w:r>
            <w:r>
              <w:rPr>
                <w:rFonts w:ascii="Georgia" w:cs="Georgia" w:eastAsia="Georgia" w:hAnsi="Georgia"/>
                <w:sz w:val="13"/>
                <w:szCs w:val="13"/>
                <w:color w:val="auto"/>
              </w:rPr>
              <w:t xml:space="preserve"> day of each month, commencing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December 2026 and ending November 2029. We refer</w:t>
            </w:r>
          </w:p>
        </w:tc>
        <w:tc>
          <w:tcPr>
            <w:tcW w:w="0" w:type="dxa"/>
            <w:vAlign w:val="bottom"/>
          </w:tcPr>
          <w:p>
            <w:pPr>
              <w:spacing w:after="0"/>
              <w:rPr>
                <w:sz w:val="1"/>
                <w:szCs w:val="1"/>
                <w:color w:val="auto"/>
              </w:rPr>
            </w:pPr>
          </w:p>
        </w:tc>
      </w:tr>
      <w:tr>
        <w:trPr>
          <w:trHeight w:val="144"/>
        </w:trPr>
        <w:tc>
          <w:tcPr>
            <w:tcW w:w="1980" w:type="dxa"/>
            <w:vAlign w:val="bottom"/>
            <w:tcBorders>
              <w:left w:val="single" w:sz="8" w:color="auto"/>
              <w:bottom w:val="single" w:sz="8" w:color="auto"/>
              <w:right w:val="single" w:sz="8" w:color="auto"/>
            </w:tcBorders>
          </w:tcPr>
          <w:p>
            <w:pPr>
              <w:spacing w:after="0"/>
              <w:rPr>
                <w:sz w:val="12"/>
                <w:szCs w:val="12"/>
                <w:color w:val="auto"/>
              </w:rPr>
            </w:pPr>
          </w:p>
        </w:tc>
        <w:tc>
          <w:tcPr>
            <w:tcW w:w="3580" w:type="dxa"/>
            <w:vAlign w:val="bottom"/>
            <w:tcBorders>
              <w:bottom w:val="single" w:sz="8" w:color="auto"/>
              <w:right w:val="single" w:sz="8" w:color="auto"/>
            </w:tcBorders>
            <w:gridSpan w:val="3"/>
          </w:tcPr>
          <w:p>
            <w:pPr>
              <w:ind w:left="80"/>
              <w:spacing w:after="0" w:line="138" w:lineRule="exact"/>
              <w:rPr>
                <w:sz w:val="20"/>
                <w:szCs w:val="20"/>
                <w:color w:val="auto"/>
              </w:rPr>
            </w:pPr>
            <w:r>
              <w:rPr>
                <w:rFonts w:ascii="Georgia" w:cs="Georgia" w:eastAsia="Georgia" w:hAnsi="Georgia"/>
                <w:sz w:val="13"/>
                <w:szCs w:val="13"/>
                <w:color w:val="auto"/>
              </w:rPr>
              <w:t>to November 13, 2029 as the “final calculation day.”</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bottom w:val="single" w:sz="8" w:color="auto"/>
              <w:right w:val="single" w:sz="8" w:color="auto"/>
            </w:tcBorders>
          </w:tcPr>
          <w:p>
            <w:pPr>
              <w:ind w:left="120"/>
              <w:spacing w:after="0" w:line="230"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2"/>
                <w:szCs w:val="22"/>
                <w:color w:val="auto"/>
                <w:vertAlign w:val="superscript"/>
              </w:rPr>
              <w:t>1, 2</w:t>
            </w:r>
            <w:r>
              <w:rPr>
                <w:rFonts w:ascii="Georgia" w:cs="Georgia" w:eastAsia="Georgia" w:hAnsi="Georgia"/>
                <w:sz w:val="13"/>
                <w:szCs w:val="13"/>
                <w:color w:val="auto"/>
              </w:rPr>
              <w:t>:</w:t>
            </w: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Three business days after the applicable calculation day</w:t>
            </w:r>
          </w:p>
        </w:tc>
        <w:tc>
          <w:tcPr>
            <w:tcW w:w="0" w:type="dxa"/>
            <w:vAlign w:val="bottom"/>
          </w:tcPr>
          <w:p>
            <w:pPr>
              <w:spacing w:after="0"/>
              <w:rPr>
                <w:sz w:val="1"/>
                <w:szCs w:val="1"/>
                <w:color w:val="auto"/>
              </w:rPr>
            </w:pPr>
          </w:p>
        </w:tc>
      </w:tr>
      <w:tr>
        <w:trPr>
          <w:trHeight w:val="140"/>
        </w:trPr>
        <w:tc>
          <w:tcPr>
            <w:tcW w:w="198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Maturity Payment Amount</w:t>
            </w:r>
          </w:p>
        </w:tc>
        <w:tc>
          <w:tcPr>
            <w:tcW w:w="3580" w:type="dxa"/>
            <w:vAlign w:val="bottom"/>
            <w:tcBorders>
              <w:right w:val="single" w:sz="8" w:color="auto"/>
            </w:tcBorders>
            <w:gridSpan w:val="3"/>
          </w:tcPr>
          <w:p>
            <w:pPr>
              <w:ind w:left="80"/>
              <w:spacing w:after="0" w:line="140" w:lineRule="exact"/>
              <w:rPr>
                <w:sz w:val="20"/>
                <w:szCs w:val="20"/>
                <w:color w:val="auto"/>
              </w:rPr>
            </w:pPr>
            <w:r>
              <w:rPr>
                <w:rFonts w:ascii="Georgia" w:cs="Georgia" w:eastAsia="Georgia" w:hAnsi="Georgia"/>
                <w:sz w:val="13"/>
                <w:szCs w:val="13"/>
                <w:color w:val="auto"/>
              </w:rPr>
              <w:t>If the securities are not automatically called:</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(per Security):</w:t>
            </w:r>
          </w:p>
        </w:tc>
        <w:tc>
          <w:tcPr>
            <w:tcW w:w="3580" w:type="dxa"/>
            <w:vAlign w:val="bottom"/>
            <w:tcBorders>
              <w:right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 xml:space="preserve">·  </w:t>
            </w:r>
            <w:r>
              <w:rPr>
                <w:rFonts w:ascii="Georgia" w:cs="Georgia" w:eastAsia="Georgia" w:hAnsi="Georgia"/>
                <w:sz w:val="13"/>
                <w:szCs w:val="13"/>
                <w:color w:val="auto"/>
              </w:rPr>
              <w:t>If the ending price is greater than or equal to the</w:t>
            </w:r>
          </w:p>
        </w:tc>
        <w:tc>
          <w:tcPr>
            <w:tcW w:w="0" w:type="dxa"/>
            <w:vAlign w:val="bottom"/>
          </w:tcPr>
          <w:p>
            <w:pPr>
              <w:spacing w:after="0"/>
              <w:rPr>
                <w:sz w:val="1"/>
                <w:szCs w:val="1"/>
                <w:color w:val="auto"/>
              </w:rPr>
            </w:pPr>
          </w:p>
        </w:tc>
      </w:tr>
      <w:tr>
        <w:trPr>
          <w:trHeight w:val="152"/>
        </w:trPr>
        <w:tc>
          <w:tcPr>
            <w:tcW w:w="1980" w:type="dxa"/>
            <w:vAlign w:val="bottom"/>
            <w:tcBorders>
              <w:left w:val="single" w:sz="8" w:color="auto"/>
              <w:right w:val="single" w:sz="8" w:color="auto"/>
            </w:tcBorders>
          </w:tcPr>
          <w:p>
            <w:pPr>
              <w:spacing w:after="0"/>
              <w:rPr>
                <w:sz w:val="13"/>
                <w:szCs w:val="13"/>
                <w:color w:val="auto"/>
              </w:rPr>
            </w:pPr>
          </w:p>
        </w:tc>
        <w:tc>
          <w:tcPr>
            <w:tcW w:w="3580" w:type="dxa"/>
            <w:vAlign w:val="bottom"/>
            <w:tcBorders>
              <w:right w:val="single" w:sz="8" w:color="auto"/>
            </w:tcBorders>
            <w:gridSpan w:val="3"/>
          </w:tcPr>
          <w:p>
            <w:pPr>
              <w:ind w:left="240"/>
              <w:spacing w:after="0"/>
              <w:rPr>
                <w:sz w:val="20"/>
                <w:szCs w:val="20"/>
                <w:color w:val="auto"/>
              </w:rPr>
            </w:pPr>
            <w:r>
              <w:rPr>
                <w:rFonts w:ascii="Georgia" w:cs="Georgia" w:eastAsia="Georgia" w:hAnsi="Georgia"/>
                <w:sz w:val="13"/>
                <w:szCs w:val="13"/>
                <w:color w:val="auto"/>
              </w:rPr>
              <w:t>threshold price: $1,000; or</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 xml:space="preserve">·  </w:t>
            </w:r>
            <w:r>
              <w:rPr>
                <w:rFonts w:ascii="Georgia" w:cs="Georgia" w:eastAsia="Georgia" w:hAnsi="Georgia"/>
                <w:sz w:val="13"/>
                <w:szCs w:val="13"/>
                <w:color w:val="auto"/>
              </w:rPr>
              <w:t>If the ending price is less than the threshold price:</w:t>
            </w:r>
          </w:p>
        </w:tc>
        <w:tc>
          <w:tcPr>
            <w:tcW w:w="0" w:type="dxa"/>
            <w:vAlign w:val="bottom"/>
          </w:tcPr>
          <w:p>
            <w:pPr>
              <w:spacing w:after="0"/>
              <w:rPr>
                <w:sz w:val="1"/>
                <w:szCs w:val="1"/>
                <w:color w:val="auto"/>
              </w:rPr>
            </w:pPr>
          </w:p>
        </w:tc>
      </w:tr>
      <w:tr>
        <w:trPr>
          <w:trHeight w:val="203"/>
        </w:trPr>
        <w:tc>
          <w:tcPr>
            <w:tcW w:w="1980" w:type="dxa"/>
            <w:vAlign w:val="bottom"/>
            <w:tcBorders>
              <w:left w:val="single" w:sz="8" w:color="auto"/>
              <w:right w:val="single" w:sz="8" w:color="auto"/>
            </w:tcBorders>
          </w:tcPr>
          <w:p>
            <w:pPr>
              <w:spacing w:after="0"/>
              <w:rPr>
                <w:sz w:val="17"/>
                <w:szCs w:val="17"/>
                <w:color w:val="auto"/>
              </w:rPr>
            </w:pPr>
          </w:p>
        </w:tc>
        <w:tc>
          <w:tcPr>
            <w:tcW w:w="3580" w:type="dxa"/>
            <w:vAlign w:val="bottom"/>
            <w:tcBorders>
              <w:right w:val="single" w:sz="8" w:color="auto"/>
            </w:tcBorders>
            <w:gridSpan w:val="3"/>
          </w:tcPr>
          <w:p>
            <w:pPr>
              <w:ind w:left="780"/>
              <w:spacing w:after="0"/>
              <w:rPr>
                <w:sz w:val="20"/>
                <w:szCs w:val="20"/>
                <w:color w:val="auto"/>
              </w:rPr>
            </w:pPr>
            <w:r>
              <w:rPr>
                <w:rFonts w:ascii="Georgia" w:cs="Georgia" w:eastAsia="Georgia" w:hAnsi="Georgia"/>
                <w:sz w:val="13"/>
                <w:szCs w:val="13"/>
                <w:color w:val="auto"/>
              </w:rPr>
              <w:t>$1,000 + ($1,000 × stock return)</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98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Starting Price:</w:t>
            </w:r>
          </w:p>
        </w:tc>
        <w:tc>
          <w:tcPr>
            <w:tcW w:w="3580" w:type="dxa"/>
            <w:vAlign w:val="bottom"/>
            <w:tcBorders>
              <w:right w:val="single" w:sz="8" w:color="auto"/>
            </w:tcBorders>
            <w:gridSpan w:val="3"/>
          </w:tcPr>
          <w:p>
            <w:pPr>
              <w:ind w:left="80"/>
              <w:spacing w:after="0" w:line="140" w:lineRule="exact"/>
              <w:rPr>
                <w:sz w:val="20"/>
                <w:szCs w:val="20"/>
                <w:color w:val="auto"/>
              </w:rPr>
            </w:pPr>
            <w:r>
              <w:rPr>
                <w:rFonts w:ascii="Georgia" w:cs="Georgia" w:eastAsia="Georgia" w:hAnsi="Georgia"/>
                <w:sz w:val="13"/>
                <w:szCs w:val="13"/>
                <w:color w:val="auto"/>
              </w:rPr>
              <w:t>The stock closing price of the Underlying Stock on the</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pricing date</w:t>
            </w:r>
          </w:p>
        </w:tc>
        <w:tc>
          <w:tcPr>
            <w:tcW w:w="0" w:type="dxa"/>
            <w:vAlign w:val="bottom"/>
          </w:tcPr>
          <w:p>
            <w:pPr>
              <w:spacing w:after="0"/>
              <w:rPr>
                <w:sz w:val="1"/>
                <w:szCs w:val="1"/>
                <w:color w:val="auto"/>
              </w:rPr>
            </w:pPr>
          </w:p>
        </w:tc>
      </w:tr>
      <w:tr>
        <w:trPr>
          <w:trHeight w:val="140"/>
        </w:trPr>
        <w:tc>
          <w:tcPr>
            <w:tcW w:w="198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Ending Price:</w:t>
            </w:r>
          </w:p>
        </w:tc>
        <w:tc>
          <w:tcPr>
            <w:tcW w:w="3580" w:type="dxa"/>
            <w:vAlign w:val="bottom"/>
            <w:tcBorders>
              <w:right w:val="single" w:sz="8" w:color="auto"/>
            </w:tcBorders>
            <w:gridSpan w:val="3"/>
          </w:tcPr>
          <w:p>
            <w:pPr>
              <w:ind w:left="80"/>
              <w:spacing w:after="0" w:line="140" w:lineRule="exact"/>
              <w:rPr>
                <w:sz w:val="20"/>
                <w:szCs w:val="20"/>
                <w:color w:val="auto"/>
              </w:rPr>
            </w:pPr>
            <w:r>
              <w:rPr>
                <w:rFonts w:ascii="Georgia" w:cs="Georgia" w:eastAsia="Georgia" w:hAnsi="Georgia"/>
                <w:sz w:val="13"/>
                <w:szCs w:val="13"/>
                <w:color w:val="auto"/>
              </w:rPr>
              <w:t>The stock closing price of the Underlying Stock on the</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3580" w:type="dxa"/>
            <w:vAlign w:val="bottom"/>
            <w:tcBorders>
              <w:bottom w:val="single" w:sz="8" w:color="auto"/>
              <w:right w:val="single" w:sz="8" w:color="auto"/>
            </w:tcBorders>
            <w:gridSpan w:val="3"/>
          </w:tcPr>
          <w:p>
            <w:pPr>
              <w:ind w:left="80"/>
              <w:spacing w:after="0"/>
              <w:rPr>
                <w:sz w:val="20"/>
                <w:szCs w:val="20"/>
                <w:color w:val="auto"/>
              </w:rPr>
            </w:pPr>
            <w:r>
              <w:rPr>
                <w:rFonts w:ascii="Georgia" w:cs="Georgia" w:eastAsia="Georgia" w:hAnsi="Georgia"/>
                <w:sz w:val="13"/>
                <w:szCs w:val="13"/>
                <w:color w:val="auto"/>
              </w:rPr>
              <w:t>final calculation day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2"/>
        </w:trPr>
        <w:tc>
          <w:tcPr>
            <w:tcW w:w="1960" w:type="dxa"/>
            <w:vAlign w:val="bottom"/>
            <w:tcBorders>
              <w:top w:val="single" w:sz="8" w:color="auto"/>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Stock Return:</w:t>
            </w:r>
          </w:p>
        </w:tc>
        <w:tc>
          <w:tcPr>
            <w:tcW w:w="3600" w:type="dxa"/>
            <w:vAlign w:val="bottom"/>
            <w:tcBorders>
              <w:top w:val="single" w:sz="8" w:color="auto"/>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(ending price – starting price) / starting price</w:t>
            </w:r>
          </w:p>
        </w:tc>
        <w:tc>
          <w:tcPr>
            <w:tcW w:w="0" w:type="dxa"/>
            <w:vAlign w:val="bottom"/>
          </w:tcPr>
          <w:p>
            <w:pPr>
              <w:spacing w:after="0"/>
              <w:rPr>
                <w:sz w:val="1"/>
                <w:szCs w:val="1"/>
                <w:color w:val="auto"/>
              </w:rPr>
            </w:pPr>
          </w:p>
        </w:tc>
      </w:tr>
      <w:tr>
        <w:trPr>
          <w:trHeight w:val="142"/>
        </w:trPr>
        <w:tc>
          <w:tcPr>
            <w:tcW w:w="1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Threshold Price:</w:t>
            </w:r>
          </w:p>
        </w:tc>
        <w:tc>
          <w:tcPr>
            <w:tcW w:w="360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50% of the starting price</w:t>
            </w:r>
          </w:p>
        </w:tc>
        <w:tc>
          <w:tcPr>
            <w:tcW w:w="0" w:type="dxa"/>
            <w:vAlign w:val="bottom"/>
          </w:tcPr>
          <w:p>
            <w:pPr>
              <w:spacing w:after="0"/>
              <w:rPr>
                <w:sz w:val="1"/>
                <w:szCs w:val="1"/>
                <w:color w:val="auto"/>
              </w:rPr>
            </w:pPr>
          </w:p>
        </w:tc>
      </w:tr>
      <w:tr>
        <w:trPr>
          <w:trHeight w:val="128"/>
        </w:trPr>
        <w:tc>
          <w:tcPr>
            <w:tcW w:w="1960" w:type="dxa"/>
            <w:vAlign w:val="bottom"/>
            <w:tcBorders>
              <w:left w:val="single" w:sz="8" w:color="auto"/>
              <w:right w:val="single" w:sz="8" w:color="auto"/>
            </w:tcBorders>
          </w:tcPr>
          <w:p>
            <w:pPr>
              <w:ind w:left="120"/>
              <w:spacing w:after="0" w:line="129" w:lineRule="exact"/>
              <w:rPr>
                <w:sz w:val="20"/>
                <w:szCs w:val="20"/>
                <w:color w:val="auto"/>
              </w:rPr>
            </w:pPr>
            <w:r>
              <w:rPr>
                <w:rFonts w:ascii="Georgia" w:cs="Georgia" w:eastAsia="Georgia" w:hAnsi="Georgia"/>
                <w:sz w:val="13"/>
                <w:szCs w:val="13"/>
                <w:color w:val="auto"/>
              </w:rPr>
              <w:t>Calculation Agent:</w:t>
            </w:r>
          </w:p>
        </w:tc>
        <w:tc>
          <w:tcPr>
            <w:tcW w:w="3600" w:type="dxa"/>
            <w:vAlign w:val="bottom"/>
            <w:tcBorders>
              <w:right w:val="single" w:sz="8" w:color="auto"/>
            </w:tcBorders>
            <w:gridSpan w:val="7"/>
          </w:tcPr>
          <w:p>
            <w:pPr>
              <w:ind w:left="100"/>
              <w:spacing w:after="0" w:line="129" w:lineRule="exact"/>
              <w:rPr>
                <w:sz w:val="20"/>
                <w:szCs w:val="20"/>
                <w:color w:val="auto"/>
              </w:rPr>
            </w:pPr>
            <w:r>
              <w:rPr>
                <w:rFonts w:ascii="Georgia" w:cs="Georgia" w:eastAsia="Georgia" w:hAnsi="Georgia"/>
                <w:sz w:val="13"/>
                <w:szCs w:val="13"/>
                <w:color w:val="auto"/>
              </w:rPr>
              <w:t>J.P. Morgan Securities LLC (“JPMS”)</w:t>
            </w:r>
          </w:p>
        </w:tc>
        <w:tc>
          <w:tcPr>
            <w:tcW w:w="0" w:type="dxa"/>
            <w:vAlign w:val="bottom"/>
          </w:tcPr>
          <w:p>
            <w:pPr>
              <w:spacing w:after="0"/>
              <w:rPr>
                <w:sz w:val="1"/>
                <w:szCs w:val="1"/>
                <w:color w:val="auto"/>
              </w:rPr>
            </w:pPr>
          </w:p>
        </w:tc>
      </w:tr>
      <w:tr>
        <w:trPr>
          <w:trHeight w:val="21"/>
        </w:trPr>
        <w:tc>
          <w:tcPr>
            <w:tcW w:w="1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1960" w:type="dxa"/>
            <w:vAlign w:val="bottom"/>
            <w:tcBorders>
              <w:left w:val="single" w:sz="8" w:color="auto"/>
              <w:right w:val="single" w:sz="8" w:color="auto"/>
            </w:tcBorders>
          </w:tcPr>
          <w:p>
            <w:pPr>
              <w:ind w:left="120"/>
              <w:spacing w:after="0" w:line="146" w:lineRule="exact"/>
              <w:rPr>
                <w:sz w:val="20"/>
                <w:szCs w:val="20"/>
                <w:color w:val="auto"/>
              </w:rPr>
            </w:pPr>
            <w:r>
              <w:rPr>
                <w:rFonts w:ascii="Georgia" w:cs="Georgia" w:eastAsia="Georgia" w:hAnsi="Georgia"/>
                <w:sz w:val="13"/>
                <w:szCs w:val="13"/>
                <w:color w:val="auto"/>
              </w:rPr>
              <w:t>Denominations:</w:t>
            </w:r>
          </w:p>
        </w:tc>
        <w:tc>
          <w:tcPr>
            <w:tcW w:w="3600" w:type="dxa"/>
            <w:vAlign w:val="bottom"/>
            <w:tcBorders>
              <w:right w:val="single" w:sz="8" w:color="auto"/>
            </w:tcBorders>
            <w:gridSpan w:val="7"/>
          </w:tcPr>
          <w:p>
            <w:pPr>
              <w:ind w:left="100"/>
              <w:spacing w:after="0" w:line="146" w:lineRule="exact"/>
              <w:rPr>
                <w:sz w:val="20"/>
                <w:szCs w:val="20"/>
                <w:color w:val="auto"/>
              </w:rPr>
            </w:pPr>
            <w:r>
              <w:rPr>
                <w:rFonts w:ascii="Georgia" w:cs="Georgia" w:eastAsia="Georgia" w:hAnsi="Georgia"/>
                <w:sz w:val="13"/>
                <w:szCs w:val="13"/>
                <w:color w:val="auto"/>
              </w:rPr>
              <w:t>$1,000 and any integral multiple of $1,000</w:t>
            </w:r>
          </w:p>
        </w:tc>
        <w:tc>
          <w:tcPr>
            <w:tcW w:w="0" w:type="dxa"/>
            <w:vAlign w:val="bottom"/>
          </w:tcPr>
          <w:p>
            <w:pPr>
              <w:spacing w:after="0"/>
              <w:rPr>
                <w:sz w:val="1"/>
                <w:szCs w:val="1"/>
                <w:color w:val="auto"/>
              </w:rPr>
            </w:pP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1960" w:type="dxa"/>
            <w:vAlign w:val="bottom"/>
            <w:tcBorders>
              <w:left w:val="single" w:sz="8" w:color="auto"/>
              <w:right w:val="single" w:sz="8" w:color="auto"/>
            </w:tcBorders>
          </w:tcPr>
          <w:p>
            <w:pPr>
              <w:ind w:left="120"/>
              <w:spacing w:after="0" w:line="146" w:lineRule="exact"/>
              <w:rPr>
                <w:sz w:val="20"/>
                <w:szCs w:val="20"/>
                <w:color w:val="auto"/>
              </w:rPr>
            </w:pPr>
            <w:r>
              <w:rPr>
                <w:rFonts w:ascii="Georgia" w:cs="Georgia" w:eastAsia="Georgia" w:hAnsi="Georgia"/>
                <w:sz w:val="13"/>
                <w:szCs w:val="13"/>
                <w:color w:val="auto"/>
              </w:rPr>
              <w:t>CUSIP:</w:t>
            </w:r>
          </w:p>
        </w:tc>
        <w:tc>
          <w:tcPr>
            <w:tcW w:w="3600" w:type="dxa"/>
            <w:vAlign w:val="bottom"/>
            <w:tcBorders>
              <w:right w:val="single" w:sz="8" w:color="auto"/>
            </w:tcBorders>
            <w:gridSpan w:val="7"/>
          </w:tcPr>
          <w:p>
            <w:pPr>
              <w:ind w:left="100"/>
              <w:spacing w:after="0" w:line="146" w:lineRule="exact"/>
              <w:rPr>
                <w:sz w:val="20"/>
                <w:szCs w:val="20"/>
                <w:color w:val="auto"/>
              </w:rPr>
            </w:pPr>
            <w:r>
              <w:rPr>
                <w:rFonts w:ascii="Georgia" w:cs="Georgia" w:eastAsia="Georgia" w:hAnsi="Georgia"/>
                <w:sz w:val="13"/>
                <w:szCs w:val="13"/>
                <w:color w:val="auto"/>
              </w:rPr>
              <w:t>46661Q2G9</w:t>
            </w:r>
          </w:p>
        </w:tc>
        <w:tc>
          <w:tcPr>
            <w:tcW w:w="0" w:type="dxa"/>
            <w:vAlign w:val="bottom"/>
          </w:tcPr>
          <w:p>
            <w:pPr>
              <w:spacing w:after="0"/>
              <w:rPr>
                <w:sz w:val="1"/>
                <w:szCs w:val="1"/>
                <w:color w:val="auto"/>
              </w:rPr>
            </w:pP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960" w:type="dxa"/>
            <w:vAlign w:val="bottom"/>
            <w:tcBorders>
              <w:left w:val="single" w:sz="8" w:color="auto"/>
              <w:right w:val="single" w:sz="8" w:color="auto"/>
            </w:tcBorders>
          </w:tcPr>
          <w:p>
            <w:pPr>
              <w:ind w:left="120"/>
              <w:spacing w:after="0" w:line="129" w:lineRule="exact"/>
              <w:rPr>
                <w:sz w:val="20"/>
                <w:szCs w:val="20"/>
                <w:color w:val="auto"/>
              </w:rPr>
            </w:pPr>
            <w:r>
              <w:rPr>
                <w:rFonts w:ascii="Georgia" w:cs="Georgia" w:eastAsia="Georgia" w:hAnsi="Georgia"/>
                <w:sz w:val="13"/>
                <w:szCs w:val="13"/>
                <w:color w:val="auto"/>
              </w:rPr>
              <w:t>Fees and Commissions:</w:t>
            </w:r>
          </w:p>
        </w:tc>
        <w:tc>
          <w:tcPr>
            <w:tcW w:w="3600" w:type="dxa"/>
            <w:vAlign w:val="bottom"/>
            <w:tcBorders>
              <w:right w:val="single" w:sz="8" w:color="auto"/>
            </w:tcBorders>
            <w:gridSpan w:val="7"/>
          </w:tcPr>
          <w:p>
            <w:pPr>
              <w:ind w:left="100"/>
              <w:spacing w:after="0" w:line="129" w:lineRule="exact"/>
              <w:rPr>
                <w:sz w:val="20"/>
                <w:szCs w:val="20"/>
                <w:color w:val="auto"/>
              </w:rPr>
            </w:pPr>
            <w:r>
              <w:rPr>
                <w:rFonts w:ascii="Georgia" w:cs="Georgia" w:eastAsia="Georgia" w:hAnsi="Georgia"/>
                <w:sz w:val="13"/>
                <w:szCs w:val="13"/>
                <w:color w:val="auto"/>
              </w:rPr>
              <w:t>Up to 2.325% for Wells Fargo Securities, LLC (“WFS”);</w:t>
            </w:r>
          </w:p>
        </w:tc>
        <w:tc>
          <w:tcPr>
            <w:tcW w:w="0" w:type="dxa"/>
            <w:vAlign w:val="bottom"/>
          </w:tcPr>
          <w:p>
            <w:pPr>
              <w:spacing w:after="0"/>
              <w:rPr>
                <w:sz w:val="1"/>
                <w:szCs w:val="1"/>
                <w:color w:val="auto"/>
              </w:rPr>
            </w:pPr>
          </w:p>
        </w:tc>
      </w:tr>
      <w:tr>
        <w:trPr>
          <w:trHeight w:val="20"/>
        </w:trPr>
        <w:tc>
          <w:tcPr>
            <w:tcW w:w="1960" w:type="dxa"/>
            <w:vAlign w:val="bottom"/>
            <w:tcBorders>
              <w:left w:val="single" w:sz="8" w:color="auto"/>
              <w:right w:val="single" w:sz="8" w:color="auto"/>
            </w:tcBorders>
          </w:tcPr>
          <w:p>
            <w:pPr>
              <w:spacing w:after="0" w:line="20" w:lineRule="exact"/>
              <w:rPr>
                <w:sz w:val="1"/>
                <w:szCs w:val="1"/>
                <w:color w:val="auto"/>
              </w:rPr>
            </w:pPr>
          </w:p>
        </w:tc>
        <w:tc>
          <w:tcPr>
            <w:tcW w:w="2920" w:type="dxa"/>
            <w:vAlign w:val="bottom"/>
            <w:gridSpan w:val="5"/>
            <w:vMerge w:val="restart"/>
          </w:tcPr>
          <w:p>
            <w:pPr>
              <w:ind w:left="100"/>
              <w:spacing w:after="0"/>
              <w:rPr>
                <w:sz w:val="20"/>
                <w:szCs w:val="20"/>
                <w:color w:val="auto"/>
              </w:rPr>
            </w:pPr>
            <w:r>
              <w:rPr>
                <w:rFonts w:ascii="Georgia" w:cs="Georgia" w:eastAsia="Georgia" w:hAnsi="Georgia"/>
                <w:sz w:val="13"/>
                <w:szCs w:val="13"/>
                <w:color w:val="auto"/>
                <w:w w:val="99"/>
              </w:rPr>
              <w:t>WFS has advised us that dealers, including Wells</w:t>
            </w:r>
          </w:p>
        </w:tc>
        <w:tc>
          <w:tcPr>
            <w:tcW w:w="3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960" w:type="dxa"/>
            <w:vAlign w:val="bottom"/>
            <w:tcBorders>
              <w:left w:val="single" w:sz="8" w:color="auto"/>
              <w:right w:val="single" w:sz="8" w:color="auto"/>
            </w:tcBorders>
          </w:tcPr>
          <w:p>
            <w:pPr>
              <w:spacing w:after="0"/>
              <w:rPr>
                <w:sz w:val="12"/>
                <w:szCs w:val="12"/>
                <w:color w:val="auto"/>
              </w:rPr>
            </w:pPr>
          </w:p>
        </w:tc>
        <w:tc>
          <w:tcPr>
            <w:tcW w:w="2920" w:type="dxa"/>
            <w:vAlign w:val="bottom"/>
            <w:gridSpan w:val="5"/>
            <w:vMerge w:val="continue"/>
          </w:tcPr>
          <w:p>
            <w:pPr>
              <w:spacing w:after="0"/>
              <w:rPr>
                <w:sz w:val="12"/>
                <w:szCs w:val="12"/>
                <w:color w:val="auto"/>
              </w:rPr>
            </w:pPr>
          </w:p>
        </w:tc>
        <w:tc>
          <w:tcPr>
            <w:tcW w:w="680" w:type="dxa"/>
            <w:vAlign w:val="bottom"/>
            <w:tcBorders>
              <w:right w:val="single" w:sz="8" w:color="auto"/>
            </w:tcBorders>
            <w:gridSpan w:val="2"/>
          </w:tcPr>
          <w:p>
            <w:pPr>
              <w:ind w:left="120"/>
              <w:spacing w:after="0" w:line="140" w:lineRule="exact"/>
              <w:rPr>
                <w:sz w:val="20"/>
                <w:szCs w:val="20"/>
                <w:color w:val="auto"/>
              </w:rPr>
            </w:pPr>
            <w:r>
              <w:rPr>
                <w:rFonts w:ascii="Georgia" w:cs="Georgia" w:eastAsia="Georgia" w:hAnsi="Georgia"/>
                <w:sz w:val="13"/>
                <w:szCs w:val="13"/>
                <w:color w:val="auto"/>
              </w:rPr>
              <w:t>Fargo</w:t>
            </w:r>
          </w:p>
        </w:tc>
        <w:tc>
          <w:tcPr>
            <w:tcW w:w="0" w:type="dxa"/>
            <w:vAlign w:val="bottom"/>
          </w:tcPr>
          <w:p>
            <w:pPr>
              <w:spacing w:after="0"/>
              <w:rPr>
                <w:sz w:val="1"/>
                <w:szCs w:val="1"/>
                <w:color w:val="auto"/>
              </w:rPr>
            </w:pPr>
          </w:p>
        </w:tc>
      </w:tr>
      <w:tr>
        <w:trPr>
          <w:trHeight w:val="137"/>
        </w:trPr>
        <w:tc>
          <w:tcPr>
            <w:tcW w:w="1960" w:type="dxa"/>
            <w:vAlign w:val="bottom"/>
            <w:tcBorders>
              <w:left w:val="single" w:sz="8" w:color="auto"/>
              <w:right w:val="single" w:sz="8" w:color="auto"/>
            </w:tcBorders>
          </w:tcPr>
          <w:p>
            <w:pPr>
              <w:spacing w:after="0"/>
              <w:rPr>
                <w:sz w:val="11"/>
                <w:szCs w:val="11"/>
                <w:color w:val="auto"/>
              </w:rPr>
            </w:pPr>
          </w:p>
        </w:tc>
        <w:tc>
          <w:tcPr>
            <w:tcW w:w="3600" w:type="dxa"/>
            <w:vAlign w:val="bottom"/>
            <w:tcBorders>
              <w:right w:val="single" w:sz="8" w:color="auto"/>
            </w:tcBorders>
            <w:gridSpan w:val="7"/>
          </w:tcPr>
          <w:p>
            <w:pPr>
              <w:ind w:left="100"/>
              <w:spacing w:after="0" w:line="138" w:lineRule="exact"/>
              <w:rPr>
                <w:sz w:val="20"/>
                <w:szCs w:val="20"/>
                <w:color w:val="auto"/>
              </w:rPr>
            </w:pPr>
            <w:r>
              <w:rPr>
                <w:rFonts w:ascii="Georgia" w:cs="Georgia" w:eastAsia="Georgia" w:hAnsi="Georgia"/>
                <w:sz w:val="13"/>
                <w:szCs w:val="13"/>
                <w:color w:val="auto"/>
              </w:rPr>
              <w:t>Advisors (“WFA”), may receive 1.75% of WFS’s fee, and</w:t>
            </w:r>
          </w:p>
        </w:tc>
        <w:tc>
          <w:tcPr>
            <w:tcW w:w="0" w:type="dxa"/>
            <w:vAlign w:val="bottom"/>
          </w:tcPr>
          <w:p>
            <w:pPr>
              <w:spacing w:after="0"/>
              <w:rPr>
                <w:sz w:val="1"/>
                <w:szCs w:val="1"/>
                <w:color w:val="auto"/>
              </w:rPr>
            </w:pPr>
          </w:p>
        </w:tc>
      </w:tr>
      <w:tr>
        <w:trPr>
          <w:trHeight w:val="140"/>
        </w:trPr>
        <w:tc>
          <w:tcPr>
            <w:tcW w:w="1960" w:type="dxa"/>
            <w:vAlign w:val="bottom"/>
            <w:tcBorders>
              <w:left w:val="single" w:sz="8" w:color="auto"/>
              <w:right w:val="single" w:sz="8" w:color="auto"/>
            </w:tcBorders>
          </w:tcPr>
          <w:p>
            <w:pPr>
              <w:spacing w:after="0"/>
              <w:rPr>
                <w:sz w:val="12"/>
                <w:szCs w:val="12"/>
                <w:color w:val="auto"/>
              </w:rPr>
            </w:pPr>
          </w:p>
        </w:tc>
        <w:tc>
          <w:tcPr>
            <w:tcW w:w="760" w:type="dxa"/>
            <w:vAlign w:val="bottom"/>
          </w:tcPr>
          <w:p>
            <w:pPr>
              <w:ind w:left="100"/>
              <w:spacing w:after="0" w:line="140" w:lineRule="exact"/>
              <w:rPr>
                <w:sz w:val="20"/>
                <w:szCs w:val="20"/>
                <w:color w:val="auto"/>
              </w:rPr>
            </w:pPr>
            <w:r>
              <w:rPr>
                <w:rFonts w:ascii="Georgia" w:cs="Georgia" w:eastAsia="Georgia" w:hAnsi="Georgia"/>
                <w:sz w:val="13"/>
                <w:szCs w:val="13"/>
                <w:color w:val="auto"/>
              </w:rPr>
              <w:t>WFA may</w:t>
            </w:r>
          </w:p>
        </w:tc>
        <w:tc>
          <w:tcPr>
            <w:tcW w:w="300" w:type="dxa"/>
            <w:vAlign w:val="bottom"/>
            <w:tcBorders>
              <w:top w:val="single" w:sz="8" w:color="auto"/>
            </w:tcBorders>
          </w:tcPr>
          <w:p>
            <w:pPr>
              <w:spacing w:after="0" w:line="140" w:lineRule="exact"/>
              <w:rPr>
                <w:sz w:val="20"/>
                <w:szCs w:val="20"/>
                <w:color w:val="auto"/>
              </w:rPr>
            </w:pPr>
            <w:r>
              <w:rPr>
                <w:rFonts w:ascii="Georgia" w:cs="Georgia" w:eastAsia="Georgia" w:hAnsi="Georgia"/>
                <w:sz w:val="13"/>
                <w:szCs w:val="13"/>
                <w:color w:val="auto"/>
              </w:rPr>
              <w:t>also</w:t>
            </w:r>
          </w:p>
        </w:tc>
        <w:tc>
          <w:tcPr>
            <w:tcW w:w="2540" w:type="dxa"/>
            <w:vAlign w:val="bottom"/>
            <w:tcBorders>
              <w:right w:val="single" w:sz="8" w:color="auto"/>
            </w:tcBorders>
            <w:gridSpan w:val="5"/>
          </w:tcPr>
          <w:p>
            <w:pPr>
              <w:spacing w:after="0" w:line="140" w:lineRule="exact"/>
              <w:rPr>
                <w:sz w:val="20"/>
                <w:szCs w:val="20"/>
                <w:color w:val="auto"/>
              </w:rPr>
            </w:pPr>
            <w:r>
              <w:rPr>
                <w:rFonts w:ascii="Georgia" w:cs="Georgia" w:eastAsia="Georgia" w:hAnsi="Georgia"/>
                <w:sz w:val="13"/>
                <w:szCs w:val="13"/>
                <w:color w:val="auto"/>
              </w:rPr>
              <w:t>receive a distribution expense fee of</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0.075%. In addition, in respect of certain securities sold</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in this offering, JPMS may pay a fee of up to 0.30% to</w:t>
            </w:r>
          </w:p>
        </w:tc>
        <w:tc>
          <w:tcPr>
            <w:tcW w:w="0" w:type="dxa"/>
            <w:vAlign w:val="bottom"/>
          </w:tcPr>
          <w:p>
            <w:pPr>
              <w:spacing w:after="0"/>
              <w:rPr>
                <w:sz w:val="1"/>
                <w:szCs w:val="1"/>
                <w:color w:val="auto"/>
              </w:rPr>
            </w:pPr>
          </w:p>
        </w:tc>
      </w:tr>
      <w:tr>
        <w:trPr>
          <w:trHeight w:val="149"/>
        </w:trPr>
        <w:tc>
          <w:tcPr>
            <w:tcW w:w="196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selected dealers in consideration for marketing and</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other services in connection with the distribution of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360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securities to other dealers.</w:t>
            </w:r>
          </w:p>
        </w:tc>
        <w:tc>
          <w:tcPr>
            <w:tcW w:w="0" w:type="dxa"/>
            <w:vAlign w:val="bottom"/>
          </w:tcPr>
          <w:p>
            <w:pPr>
              <w:spacing w:after="0"/>
              <w:rPr>
                <w:sz w:val="1"/>
                <w:szCs w:val="1"/>
                <w:color w:val="auto"/>
              </w:rPr>
            </w:pPr>
          </w:p>
        </w:tc>
      </w:tr>
      <w:tr>
        <w:trPr>
          <w:trHeight w:val="26"/>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1960" w:type="dxa"/>
            <w:vAlign w:val="bottom"/>
            <w:tcBorders>
              <w:left w:val="single" w:sz="8" w:color="auto"/>
              <w:right w:val="single" w:sz="8" w:color="auto"/>
            </w:tcBorders>
          </w:tcPr>
          <w:p>
            <w:pPr>
              <w:ind w:left="120"/>
              <w:spacing w:after="0" w:line="146" w:lineRule="exact"/>
              <w:rPr>
                <w:sz w:val="20"/>
                <w:szCs w:val="20"/>
                <w:color w:val="auto"/>
              </w:rPr>
            </w:pPr>
            <w:r>
              <w:rPr>
                <w:rFonts w:ascii="Georgia" w:cs="Georgia" w:eastAsia="Georgia" w:hAnsi="Georgia"/>
                <w:sz w:val="13"/>
                <w:szCs w:val="13"/>
                <w:color w:val="auto"/>
              </w:rPr>
              <w:t>Tax Considerations:</w:t>
            </w:r>
          </w:p>
        </w:tc>
        <w:tc>
          <w:tcPr>
            <w:tcW w:w="3600" w:type="dxa"/>
            <w:vAlign w:val="bottom"/>
            <w:tcBorders>
              <w:right w:val="single" w:sz="8" w:color="auto"/>
            </w:tcBorders>
            <w:gridSpan w:val="7"/>
          </w:tcPr>
          <w:p>
            <w:pPr>
              <w:ind w:left="100"/>
              <w:spacing w:after="0" w:line="146" w:lineRule="exact"/>
              <w:rPr>
                <w:sz w:val="20"/>
                <w:szCs w:val="20"/>
                <w:color w:val="auto"/>
              </w:rPr>
            </w:pPr>
            <w:r>
              <w:rPr>
                <w:rFonts w:ascii="Georgia" w:cs="Georgia" w:eastAsia="Georgia" w:hAnsi="Georgia"/>
                <w:sz w:val="13"/>
                <w:szCs w:val="13"/>
                <w:color w:val="auto"/>
              </w:rPr>
              <w:t>See the preliminary pricing supplement.</w:t>
            </w:r>
          </w:p>
        </w:tc>
        <w:tc>
          <w:tcPr>
            <w:tcW w:w="0" w:type="dxa"/>
            <w:vAlign w:val="bottom"/>
          </w:tcPr>
          <w:p>
            <w:pPr>
              <w:spacing w:after="0"/>
              <w:rPr>
                <w:sz w:val="1"/>
                <w:szCs w:val="1"/>
                <w:color w:val="auto"/>
              </w:rPr>
            </w:pP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960" w:type="dxa"/>
            <w:vAlign w:val="bottom"/>
            <w:tcBorders>
              <w:left w:val="single" w:sz="8" w:color="auto"/>
            </w:tcBorders>
          </w:tcPr>
          <w:p>
            <w:pPr>
              <w:ind w:left="120"/>
              <w:spacing w:after="0" w:line="200" w:lineRule="exact"/>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60" w:type="dxa"/>
            <w:vAlign w:val="bottom"/>
            <w:tcBorders>
              <w:left w:val="single" w:sz="8" w:color="auto"/>
              <w:bottom w:val="single" w:sz="8" w:color="auto"/>
            </w:tcBorders>
          </w:tcPr>
          <w:p>
            <w:pPr>
              <w:ind w:left="120"/>
              <w:spacing w:after="0" w:line="211" w:lineRule="exact"/>
              <w:rPr>
                <w:sz w:val="20"/>
                <w:szCs w:val="20"/>
                <w:color w:val="auto"/>
              </w:rPr>
            </w:pPr>
            <w:r>
              <w:rPr>
                <w:rFonts w:ascii="Georgia" w:cs="Georgia" w:eastAsia="Georgia" w:hAnsi="Georgia"/>
                <w:sz w:val="22"/>
                <w:szCs w:val="22"/>
                <w:color w:val="auto"/>
                <w:vertAlign w:val="superscript"/>
              </w:rPr>
              <w:t>2</w:t>
            </w:r>
            <w:r>
              <w:rPr>
                <w:rFonts w:ascii="Georgia" w:cs="Georgia" w:eastAsia="Georgia" w:hAnsi="Georgia"/>
                <w:sz w:val="13"/>
                <w:szCs w:val="13"/>
                <w:color w:val="auto"/>
              </w:rPr>
              <w:t xml:space="preserve"> Subject to postponement</w:t>
            </w: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60" w:right="100" w:hanging="10"/>
        <w:spacing w:after="0" w:line="265" w:lineRule="auto"/>
        <w:rPr>
          <w:sz w:val="20"/>
          <w:szCs w:val="20"/>
          <w:color w:val="auto"/>
        </w:rPr>
      </w:pPr>
      <w:r>
        <w:rPr>
          <w:rFonts w:ascii="Verdana" w:cs="Verdana" w:eastAsia="Verdana" w:hAnsi="Verdana"/>
          <w:sz w:val="23"/>
          <w:szCs w:val="23"/>
          <w:color w:val="8F8F8F"/>
        </w:rPr>
        <w:t>Hypothetical Payout Profile (Maturity Payment Amount)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wp:posOffset>
            </wp:positionH>
            <wp:positionV relativeFrom="paragraph">
              <wp:posOffset>5715</wp:posOffset>
            </wp:positionV>
            <wp:extent cx="3068955" cy="193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8955" cy="1937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both"/>
        <w:ind w:left="120" w:right="60"/>
        <w:spacing w:after="0" w:line="237" w:lineRule="auto"/>
        <w:rPr>
          <w:sz w:val="20"/>
          <w:szCs w:val="20"/>
          <w:color w:val="auto"/>
        </w:rPr>
      </w:pPr>
      <w:r>
        <w:rPr>
          <w:rFonts w:ascii="Georgia" w:cs="Georgia" w:eastAsia="Georgia" w:hAnsi="Georgia"/>
          <w:sz w:val="13"/>
          <w:szCs w:val="13"/>
          <w:b w:val="1"/>
          <w:bCs w:val="1"/>
          <w:color w:val="auto"/>
        </w:rPr>
        <w:t>If the securities are not automatically called prior to maturity and the ending price is less than the threshold price, you will lose more than 50%, and possibly all, of the principal amount of your securities at maturity.</w:t>
      </w:r>
    </w:p>
    <w:p>
      <w:pPr>
        <w:spacing w:after="0" w:line="8" w:lineRule="exact"/>
        <w:rPr>
          <w:sz w:val="24"/>
          <w:szCs w:val="24"/>
          <w:color w:val="auto"/>
        </w:rPr>
      </w:pPr>
    </w:p>
    <w:p>
      <w:pPr>
        <w:ind w:left="120" w:right="60"/>
        <w:spacing w:after="0" w:line="261" w:lineRule="auto"/>
        <w:rPr>
          <w:sz w:val="20"/>
          <w:szCs w:val="20"/>
          <w:color w:val="auto"/>
        </w:rPr>
      </w:pPr>
      <w:r>
        <w:rPr>
          <w:rFonts w:ascii="Georgia" w:cs="Georgia" w:eastAsia="Georgia" w:hAnsi="Georgia"/>
          <w:sz w:val="12"/>
          <w:szCs w:val="12"/>
          <w:b w:val="1"/>
          <w:bCs w:val="1"/>
          <w:color w:val="auto"/>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spacing w:after="0" w:line="1" w:lineRule="exact"/>
        <w:rPr>
          <w:sz w:val="24"/>
          <w:szCs w:val="24"/>
          <w:color w:val="auto"/>
        </w:rPr>
      </w:pPr>
    </w:p>
    <w:p>
      <w:pPr>
        <w:ind w:left="120" w:right="100"/>
        <w:spacing w:after="0" w:line="238" w:lineRule="auto"/>
        <w:rPr>
          <w:sz w:val="20"/>
          <w:szCs w:val="20"/>
          <w:color w:val="auto"/>
        </w:rPr>
      </w:pPr>
      <w:r>
        <w:rPr>
          <w:rFonts w:ascii="Georgia" w:cs="Georgia" w:eastAsia="Georgia" w:hAnsi="Georgia"/>
          <w:sz w:val="13"/>
          <w:szCs w:val="13"/>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3"/>
          <w:szCs w:val="13"/>
          <w:b w:val="1"/>
          <w:bCs w:val="1"/>
          <w:color w:val="auto"/>
        </w:rPr>
        <w:t>Any payment on the securities is</w:t>
      </w:r>
      <w:r>
        <w:rPr>
          <w:rFonts w:ascii="Georgia" w:cs="Georgia" w:eastAsia="Georgia" w:hAnsi="Georgia"/>
          <w:sz w:val="13"/>
          <w:szCs w:val="13"/>
          <w:color w:val="auto"/>
        </w:rPr>
        <w:t xml:space="preserve"> </w:t>
      </w:r>
      <w:r>
        <w:rPr>
          <w:rFonts w:ascii="Georgia" w:cs="Georgia" w:eastAsia="Georgia" w:hAnsi="Georgia"/>
          <w:sz w:val="13"/>
          <w:szCs w:val="13"/>
          <w:b w:val="1"/>
          <w:bCs w:val="1"/>
          <w:color w:val="auto"/>
        </w:rPr>
        <w:t>subject to the credit risk of JPMorgan Financial, as issuer of the securities, and the credit risk of JPMorgan Chase &amp; Co., as guarantor of the securities.</w:t>
      </w:r>
    </w:p>
    <w:p>
      <w:pPr>
        <w:spacing w:after="0" w:line="10" w:lineRule="exact"/>
        <w:rPr>
          <w:sz w:val="24"/>
          <w:szCs w:val="24"/>
          <w:color w:val="auto"/>
        </w:rPr>
      </w:pPr>
    </w:p>
    <w:p>
      <w:pPr>
        <w:ind w:left="100" w:right="260" w:firstLine="20"/>
        <w:spacing w:after="0" w:line="239" w:lineRule="auto"/>
        <w:rPr>
          <w:sz w:val="20"/>
          <w:szCs w:val="20"/>
          <w:color w:val="auto"/>
        </w:rPr>
      </w:pPr>
      <w:r>
        <w:rPr>
          <w:rFonts w:ascii="Georgia" w:cs="Georgia" w:eastAsia="Georgia" w:hAnsi="Georgia"/>
          <w:sz w:val="13"/>
          <w:szCs w:val="13"/>
          <w:color w:val="auto"/>
        </w:rPr>
        <w:t>If the securities priced on the date of the accompanying preliminary pricing supplement, the estimated value of the securities would be approximately $946.20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 Preliminary Pricing Supplement:</w:t>
      </w:r>
    </w:p>
    <w:p>
      <w:pPr>
        <w:spacing w:after="0" w:line="2" w:lineRule="exact"/>
        <w:rPr>
          <w:sz w:val="24"/>
          <w:szCs w:val="24"/>
          <w:color w:val="auto"/>
        </w:rPr>
      </w:pPr>
    </w:p>
    <w:p>
      <w:pPr>
        <w:ind w:left="100"/>
        <w:spacing w:after="0"/>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http://www.sec.gov/Archives/edgar/data/19617/000121390026116006/</w:t>
        </w:r>
      </w:hyperlink>
    </w:p>
    <w:p>
      <w:pPr>
        <w:spacing w:after="0" w:line="1" w:lineRule="exact"/>
        <w:rPr>
          <w:sz w:val="24"/>
          <w:szCs w:val="24"/>
          <w:color w:val="auto"/>
        </w:rPr>
      </w:pPr>
    </w:p>
    <w:p>
      <w:pPr>
        <w:ind w:left="100"/>
        <w:spacing w:after="0"/>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ea0310974-01_424b2.htm</w:t>
        </w:r>
      </w:hyperlink>
    </w:p>
    <w:p>
      <w:pPr>
        <w:spacing w:after="0" w:line="4" w:lineRule="exact"/>
        <w:rPr>
          <w:sz w:val="24"/>
          <w:szCs w:val="24"/>
          <w:color w:val="auto"/>
        </w:rPr>
      </w:pPr>
    </w:p>
    <w:p>
      <w:pPr>
        <w:sectPr>
          <w:pgSz w:w="11900" w:h="16838" w:orient="portrait"/>
          <w:cols w:equalWidth="0" w:num="2">
            <w:col w:w="5560" w:space="120"/>
            <w:col w:w="5560"/>
          </w:cols>
          <w:pgMar w:left="320" w:top="239" w:right="339" w:bottom="1440" w:gutter="0" w:footer="0" w:header="0"/>
          <w:type w:val="continuous"/>
        </w:sectPr>
      </w:pPr>
    </w:p>
    <w:p>
      <w:pPr>
        <w:ind w:right="20"/>
        <w:spacing w:after="0" w:line="244"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1" w:lineRule="exact"/>
        <w:rPr>
          <w:sz w:val="24"/>
          <w:szCs w:val="24"/>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4"/>
          <w:szCs w:val="24"/>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and product supplement.</w:t>
      </w:r>
    </w:p>
    <w:p>
      <w:pPr>
        <w:sectPr>
          <w:pgSz w:w="11900" w:h="16838" w:orient="portrait"/>
          <w:cols w:equalWidth="0" w:num="1">
            <w:col w:w="11240"/>
          </w:cols>
          <w:pgMar w:left="320" w:top="239"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ectPr>
          <w:pgSz w:w="11900" w:h="16838" w:orient="portrait"/>
          <w:cols w:equalWidth="0" w:num="1">
            <w:col w:w="11220"/>
          </w:cols>
          <w:pgMar w:left="320" w:top="543" w:right="359" w:bottom="1440" w:gutter="0" w:footer="0" w:header="0"/>
        </w:sectPr>
      </w:pPr>
    </w:p>
    <w:p>
      <w:pPr>
        <w:spacing w:after="0" w:line="121" w:lineRule="exact"/>
        <w:rPr>
          <w:sz w:val="20"/>
          <w:szCs w:val="20"/>
          <w:color w:val="auto"/>
        </w:rPr>
      </w:pPr>
    </w:p>
    <w:p>
      <w:pPr>
        <w:ind w:left="440" w:hanging="335"/>
        <w:spacing w:after="0" w:line="248"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If the Securities Are Not Automatically Called and the Ending Price Is Less Than the Threshold Price, You Will Lose More Than 50%, and Possibly All, of the Principal Amount of Your Securities at Maturity.</w:t>
      </w:r>
    </w:p>
    <w:p>
      <w:pPr>
        <w:spacing w:after="0" w:line="41" w:lineRule="exact"/>
        <w:rPr>
          <w:rFonts w:ascii="Arial" w:cs="Arial" w:eastAsia="Arial" w:hAnsi="Arial"/>
          <w:sz w:val="16"/>
          <w:szCs w:val="16"/>
          <w:b w:val="1"/>
          <w:bCs w:val="1"/>
          <w:color w:val="auto"/>
        </w:rPr>
      </w:pPr>
    </w:p>
    <w:p>
      <w:pPr>
        <w:ind w:left="440" w:right="34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Do Not Guarantee the Payment of Interest and May Not Pay Any Interest at All.</w:t>
      </w:r>
    </w:p>
    <w:p>
      <w:pPr>
        <w:spacing w:after="0" w:line="55" w:lineRule="exact"/>
        <w:rPr>
          <w:rFonts w:ascii="Arial" w:cs="Arial" w:eastAsia="Arial" w:hAnsi="Arial"/>
          <w:sz w:val="16"/>
          <w:szCs w:val="16"/>
          <w:b w:val="1"/>
          <w:bCs w:val="1"/>
          <w:color w:val="auto"/>
        </w:rPr>
      </w:pPr>
    </w:p>
    <w:p>
      <w:pPr>
        <w:ind w:left="440" w:right="60" w:hanging="335"/>
        <w:spacing w:after="0" w:line="247"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Potential Return on the Securities Is Limited to the Sum of Any Contingent Coupon Payments and You Will Not Participate in Any Appreciation of the Underlying Stock.</w:t>
      </w:r>
    </w:p>
    <w:p>
      <w:pPr>
        <w:spacing w:after="0" w:line="53"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Will Be Subject to Reinvestment Risk.</w:t>
      </w:r>
    </w:p>
    <w:p>
      <w:pPr>
        <w:spacing w:after="0" w:line="46" w:lineRule="exact"/>
        <w:rPr>
          <w:rFonts w:ascii="Arial" w:cs="Arial" w:eastAsia="Arial" w:hAnsi="Arial"/>
          <w:sz w:val="16"/>
          <w:szCs w:val="16"/>
          <w:b w:val="1"/>
          <w:bCs w:val="1"/>
          <w:color w:val="auto"/>
        </w:rPr>
      </w:pPr>
    </w:p>
    <w:p>
      <w:pPr>
        <w:ind w:left="440" w:right="20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55" w:lineRule="exact"/>
        <w:rPr>
          <w:rFonts w:ascii="Arial" w:cs="Arial" w:eastAsia="Arial" w:hAnsi="Arial"/>
          <w:sz w:val="16"/>
          <w:szCs w:val="16"/>
          <w:b w:val="1"/>
          <w:bCs w:val="1"/>
          <w:color w:val="auto"/>
        </w:rPr>
      </w:pPr>
    </w:p>
    <w:p>
      <w:pPr>
        <w:ind w:left="440" w:right="66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As a Finance Subsidiary, JPMorgan Financial Has No Independent Activities and Has Limited Assets.</w:t>
      </w:r>
    </w:p>
    <w:p>
      <w:pPr>
        <w:spacing w:after="0" w:line="55" w:lineRule="exact"/>
        <w:rPr>
          <w:rFonts w:ascii="Arial" w:cs="Arial" w:eastAsia="Arial" w:hAnsi="Arial"/>
          <w:sz w:val="16"/>
          <w:szCs w:val="16"/>
          <w:b w:val="1"/>
          <w:bCs w:val="1"/>
          <w:color w:val="auto"/>
        </w:rPr>
      </w:pPr>
    </w:p>
    <w:p>
      <w:pPr>
        <w:ind w:left="440" w:right="62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Higher Contingent Coupon Rates Are Associated with Greater Risk.</w:t>
      </w:r>
    </w:p>
    <w:p>
      <w:pPr>
        <w:spacing w:after="0" w:line="42" w:lineRule="exact"/>
        <w:rPr>
          <w:rFonts w:ascii="Arial" w:cs="Arial" w:eastAsia="Arial" w:hAnsi="Arial"/>
          <w:sz w:val="16"/>
          <w:szCs w:val="16"/>
          <w:b w:val="1"/>
          <w:bCs w:val="1"/>
          <w:color w:val="auto"/>
        </w:rPr>
      </w:pPr>
    </w:p>
    <w:p>
      <w:pPr>
        <w:ind w:left="440" w:right="8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Benefit Provided by the Threshold Price May Terminate on the Final Calculation Day.</w:t>
      </w:r>
    </w:p>
    <w:p>
      <w:pPr>
        <w:spacing w:after="0" w:line="53"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Dividend Payments or Voting Rights</w:t>
      </w:r>
    </w:p>
    <w:p>
      <w:pPr>
        <w:spacing w:after="0" w:line="57"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Lack of Liquidity</w:t>
      </w:r>
    </w:p>
    <w:p>
      <w:pPr>
        <w:spacing w:after="0" w:line="46" w:lineRule="exact"/>
        <w:rPr>
          <w:rFonts w:ascii="Arial" w:cs="Arial" w:eastAsia="Arial" w:hAnsi="Arial"/>
          <w:sz w:val="16"/>
          <w:szCs w:val="16"/>
          <w:b w:val="1"/>
          <w:bCs w:val="1"/>
          <w:color w:val="auto"/>
        </w:rPr>
      </w:pPr>
    </w:p>
    <w:p>
      <w:pPr>
        <w:ind w:left="440" w:right="22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55" w:lineRule="exact"/>
        <w:rPr>
          <w:rFonts w:ascii="Arial" w:cs="Arial" w:eastAsia="Arial" w:hAnsi="Arial"/>
          <w:sz w:val="16"/>
          <w:szCs w:val="16"/>
          <w:b w:val="1"/>
          <w:bCs w:val="1"/>
          <w:color w:val="auto"/>
        </w:rPr>
      </w:pPr>
    </w:p>
    <w:p>
      <w:pPr>
        <w:ind w:left="440" w:right="4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39"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Potential Conflicts</w:t>
      </w:r>
    </w:p>
    <w:p>
      <w:pPr>
        <w:spacing w:after="0" w:line="60" w:lineRule="exact"/>
        <w:rPr>
          <w:rFonts w:ascii="Arial" w:cs="Arial" w:eastAsia="Arial" w:hAnsi="Arial"/>
          <w:sz w:val="16"/>
          <w:szCs w:val="16"/>
          <w:b w:val="1"/>
          <w:bCs w:val="1"/>
          <w:color w:val="auto"/>
        </w:rPr>
      </w:pPr>
    </w:p>
    <w:p>
      <w:pPr>
        <w:jc w:val="both"/>
        <w:ind w:left="440" w:right="26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339" w:right="200" w:hanging="339"/>
        <w:spacing w:after="0" w:line="247" w:lineRule="auto"/>
        <w:tabs>
          <w:tab w:leader="none" w:pos="347"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42" w:lineRule="exact"/>
        <w:rPr>
          <w:rFonts w:ascii="Arial" w:cs="Arial" w:eastAsia="Arial" w:hAnsi="Arial"/>
          <w:sz w:val="16"/>
          <w:szCs w:val="16"/>
          <w:b w:val="1"/>
          <w:bCs w:val="1"/>
          <w:color w:val="auto"/>
        </w:rPr>
      </w:pPr>
    </w:p>
    <w:p>
      <w:pPr>
        <w:ind w:left="339" w:right="900" w:hanging="339"/>
        <w:spacing w:after="0" w:line="246" w:lineRule="auto"/>
        <w:tabs>
          <w:tab w:leader="none" w:pos="347"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55" w:lineRule="exact"/>
        <w:rPr>
          <w:rFonts w:ascii="Arial" w:cs="Arial" w:eastAsia="Arial" w:hAnsi="Arial"/>
          <w:sz w:val="16"/>
          <w:szCs w:val="16"/>
          <w:b w:val="1"/>
          <w:bCs w:val="1"/>
          <w:color w:val="auto"/>
        </w:rPr>
      </w:pPr>
    </w:p>
    <w:p>
      <w:pPr>
        <w:ind w:left="339" w:right="240" w:hanging="339"/>
        <w:spacing w:after="0" w:line="248" w:lineRule="auto"/>
        <w:tabs>
          <w:tab w:leader="none" w:pos="347"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55" w:lineRule="exact"/>
        <w:rPr>
          <w:rFonts w:ascii="Arial" w:cs="Arial" w:eastAsia="Arial" w:hAnsi="Arial"/>
          <w:sz w:val="16"/>
          <w:szCs w:val="16"/>
          <w:b w:val="1"/>
          <w:bCs w:val="1"/>
          <w:color w:val="auto"/>
        </w:rPr>
      </w:pPr>
    </w:p>
    <w:p>
      <w:pPr>
        <w:ind w:left="339" w:right="480" w:hanging="339"/>
        <w:spacing w:after="0" w:line="246" w:lineRule="auto"/>
        <w:tabs>
          <w:tab w:leader="none" w:pos="347"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42" w:lineRule="exact"/>
        <w:rPr>
          <w:rFonts w:ascii="Arial" w:cs="Arial" w:eastAsia="Arial" w:hAnsi="Arial"/>
          <w:sz w:val="16"/>
          <w:szCs w:val="16"/>
          <w:b w:val="1"/>
          <w:bCs w:val="1"/>
          <w:color w:val="auto"/>
        </w:rPr>
      </w:pPr>
    </w:p>
    <w:p>
      <w:pPr>
        <w:ind w:left="339" w:right="80" w:hanging="339"/>
        <w:spacing w:after="0" w:line="246" w:lineRule="auto"/>
        <w:tabs>
          <w:tab w:leader="none" w:pos="347"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Many Economic and Market Factors Will Impact the Value of the Securities.</w:t>
      </w:r>
    </w:p>
    <w:p>
      <w:pPr>
        <w:spacing w:after="0" w:line="53" w:lineRule="exact"/>
        <w:rPr>
          <w:rFonts w:ascii="Arial" w:cs="Arial" w:eastAsia="Arial" w:hAnsi="Arial"/>
          <w:sz w:val="16"/>
          <w:szCs w:val="16"/>
          <w:b w:val="1"/>
          <w:bCs w:val="1"/>
          <w:color w:val="auto"/>
        </w:rPr>
      </w:pPr>
    </w:p>
    <w:p>
      <w:pPr>
        <w:ind w:left="339" w:hanging="339"/>
        <w:spacing w:after="0"/>
        <w:tabs>
          <w:tab w:leader="none" w:pos="339"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Affiliation with the Underlying Stock Issuer.</w:t>
      </w:r>
    </w:p>
    <w:p>
      <w:pPr>
        <w:spacing w:after="0" w:line="57" w:lineRule="exact"/>
        <w:rPr>
          <w:rFonts w:ascii="Arial" w:cs="Arial" w:eastAsia="Arial" w:hAnsi="Arial"/>
          <w:sz w:val="16"/>
          <w:szCs w:val="16"/>
          <w:b w:val="1"/>
          <w:bCs w:val="1"/>
          <w:color w:val="auto"/>
        </w:rPr>
      </w:pPr>
    </w:p>
    <w:p>
      <w:pPr>
        <w:ind w:left="339" w:hanging="339"/>
        <w:spacing w:after="0"/>
        <w:tabs>
          <w:tab w:leader="none" w:pos="339"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Limited Trading History</w:t>
      </w:r>
    </w:p>
    <w:p>
      <w:pPr>
        <w:spacing w:after="0" w:line="46" w:lineRule="exact"/>
        <w:rPr>
          <w:rFonts w:ascii="Arial" w:cs="Arial" w:eastAsia="Arial" w:hAnsi="Arial"/>
          <w:sz w:val="16"/>
          <w:szCs w:val="16"/>
          <w:b w:val="1"/>
          <w:bCs w:val="1"/>
          <w:color w:val="auto"/>
        </w:rPr>
      </w:pPr>
    </w:p>
    <w:p>
      <w:pPr>
        <w:ind w:left="339" w:right="860" w:hanging="339"/>
        <w:spacing w:after="0" w:line="246" w:lineRule="auto"/>
        <w:tabs>
          <w:tab w:leader="none" w:pos="347"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Anti-Dilution Protection Is Limited and May Be Discretionary.</w:t>
      </w:r>
    </w:p>
    <w:p>
      <w:pPr>
        <w:spacing w:after="0" w:line="55" w:lineRule="exact"/>
        <w:rPr>
          <w:rFonts w:ascii="Arial" w:cs="Arial" w:eastAsia="Arial" w:hAnsi="Arial"/>
          <w:sz w:val="16"/>
          <w:szCs w:val="16"/>
          <w:b w:val="1"/>
          <w:bCs w:val="1"/>
          <w:color w:val="auto"/>
        </w:rPr>
      </w:pPr>
    </w:p>
    <w:p>
      <w:pPr>
        <w:ind w:left="339" w:right="280" w:hanging="339"/>
        <w:spacing w:after="0" w:line="248" w:lineRule="auto"/>
        <w:tabs>
          <w:tab w:leader="none" w:pos="347"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Any Payment on the Securities Will Depend upon the Performance of the Underlying Stock and Therefore the Securities Are Subject to the Risks Associated with the Underlying Stock, Each as Discussed in the Accompanying Preliminary Pricing Supplement and Product Supplement.</w:t>
      </w:r>
    </w:p>
    <w:p>
      <w:pPr>
        <w:spacing w:after="0" w:line="1388" w:lineRule="exact"/>
        <w:rPr>
          <w:sz w:val="20"/>
          <w:szCs w:val="20"/>
          <w:color w:val="auto"/>
        </w:rPr>
      </w:pPr>
    </w:p>
    <w:p>
      <w:pPr>
        <w:sectPr>
          <w:pgSz w:w="11900" w:h="16838" w:orient="portrait"/>
          <w:cols w:equalWidth="0" w:num="2">
            <w:col w:w="5520" w:space="201"/>
            <w:col w:w="5499"/>
          </w:cols>
          <w:pgMar w:left="320" w:top="54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have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Chase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6116006/ea0310974-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2026-11-05T08:13:05Z</dcterms:created>
  <dcterms:modified xsi:type="dcterms:W3CDTF">2026-11-05T08:13:05Z</dcterms:modified>
</cp:coreProperties>
</file>