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3954-01_fwp.htm"/>
      <w:bookmarkStart w:id="1" w:name="ksea030395401_fwp"/>
      <w:bookmarkStart w:id="2" w:name="ea0303954-01_fwp.htm"/>
      <w:bookmarkStart w:id="3" w:name="ksea030395401_fwp"/>
      <w:bookmarkEnd w:id="2"/>
      <w:bookmarkEnd w:id="3"/>
    </w:p>
    <w:tbl>
      <w:tblPr>
        <w:tblW w:w="4820" w:type="dxa"/>
        <w:jc w:val="left"/>
        <w:tblInd w:w="0" w:type="dxa"/>
        <w:tblLayout w:type="fixed"/>
        <w:tblCellMar>
          <w:top w:w="0" w:type="dxa"/>
          <w:left w:w="0" w:type="dxa"/>
          <w:bottom w:w="0" w:type="dxa"/>
          <w:right w:w="0" w:type="dxa"/>
        </w:tblCellMar>
      </w:tblPr>
      <w:tblGrid>
        <w:gridCol w:w="4820"/>
      </w:tblGrid>
      <w:tr>
        <w:trPr/>
        <w:tc>
          <w:tcPr>
            <w:tcW w:w="4820" w:type="dxa"/>
            <w:tcBorders/>
            <w:vAlign w:val="center"/>
          </w:tcPr>
          <w:p>
            <w:pPr>
              <w:pStyle w:val="TableContents"/>
              <w:bidi w:val="0"/>
              <w:spacing w:before="0" w:after="283"/>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tc>
      </w:tr>
      <w:tr>
        <w:trPr/>
        <w:tc>
          <w:tcPr>
            <w:tcW w:w="482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tc>
      </w:tr>
      <w:tr>
        <w:trPr/>
        <w:tc>
          <w:tcPr>
            <w:tcW w:w="482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tc>
      </w:tr>
      <w:tr>
        <w:trPr/>
        <w:tc>
          <w:tcPr>
            <w:tcW w:w="4820"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August 28, 2026</w:t>
            </w:r>
          </w:p>
        </w:tc>
      </w:tr>
    </w:tbl>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72.5-Month SPX Trigger PLUS</w:t>
      </w:r>
    </w:p>
    <w:p>
      <w:pPr>
        <w:pStyle w:val="TextBody"/>
        <w:bidi w:val="0"/>
        <w:spacing w:before="40" w:after="40"/>
        <w:ind w:left="40" w:right="4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Trigger PLUS.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33704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337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223"/>
                              <w:gridCol w:w="7982"/>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7982" w:type="dxa"/>
                                  <w:tcBorders/>
                                  <w:shd w:fill="DCEBF4" w:val="clear"/>
                                  <w:vAlign w:val="center"/>
                                </w:tcPr>
                                <w:p>
                                  <w:pPr>
                                    <w:pStyle w:val="TableContents"/>
                                    <w:bidi w:val="0"/>
                                    <w:spacing w:before="0" w:after="283"/>
                                    <w:jc w:val="left"/>
                                    <w:rPr>
                                      <w:sz w:val="16"/>
                                    </w:rPr>
                                  </w:pPr>
                                  <w:r>
                                    <w:rPr>
                                      <w:sz w:val="16"/>
                                    </w:rPr>
                                    <w:t>JPMorgan Chase Financial Company LLC (“JPMorgan Financial”)</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7982" w:type="dxa"/>
                                  <w:tcBorders/>
                                  <w:shd w:fill="FFFFFF" w:val="clear"/>
                                  <w:vAlign w:val="center"/>
                                </w:tcPr>
                                <w:p>
                                  <w:pPr>
                                    <w:pStyle w:val="TableContents"/>
                                    <w:bidi w:val="0"/>
                                    <w:spacing w:before="0" w:after="283"/>
                                    <w:jc w:val="left"/>
                                    <w:rPr>
                                      <w:sz w:val="16"/>
                                    </w:rPr>
                                  </w:pPr>
                                  <w:r>
                                    <w:rPr>
                                      <w:sz w:val="16"/>
                                    </w:rPr>
                                    <w:t>JPMorgan Chase &amp; Co.</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7982" w:type="dxa"/>
                                  <w:tcBorders/>
                                  <w:shd w:fill="DCEBF4" w:val="clear"/>
                                  <w:vAlign w:val="center"/>
                                </w:tcPr>
                                <w:p>
                                  <w:pPr>
                                    <w:pStyle w:val="TableContents"/>
                                    <w:bidi w:val="0"/>
                                    <w:spacing w:before="0" w:after="283"/>
                                    <w:jc w:val="left"/>
                                    <w:rPr>
                                      <w:sz w:val="16"/>
                                    </w:rPr>
                                  </w:pPr>
                                  <w:r>
                                    <w:rPr>
                                      <w:sz w:val="16"/>
                                    </w:rPr>
                                    <w:t>S&amp;P 500</w:t>
                                  </w:r>
                                  <w:r>
                                    <w:rPr>
                                      <w:position w:val="5"/>
                                      <w:sz w:val="13"/>
                                      <w:sz w:val="16"/>
                                    </w:rPr>
                                    <w:t>®</w:t>
                                  </w:r>
                                  <w:r>
                                    <w:rPr>
                                      <w:sz w:val="16"/>
                                    </w:rPr>
                                    <w:t xml:space="preserve"> Index (Bloomberg ticker: SPX Index)</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7982" w:type="dxa"/>
                                  <w:tcBorders/>
                                  <w:shd w:fill="FFFFFF"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initial index value, for each $1,000 stated principal amount Trigger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leveraged upside payment</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no event will the payment at maturity exceed the maximum payment at maturity.</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 xml:space="preserve">less than or equal to </w:t>
                                  </w:r>
                                  <w:r>
                                    <w:rPr>
                                      <w:rFonts w:ascii="Arial;Helvetica;Sans-Serif" w:hAnsi="Arial;Helvetica;Sans-Serif"/>
                                      <w:b w:val="false"/>
                                      <w:i w:val="false"/>
                                      <w:caps w:val="false"/>
                                      <w:smallCaps w:val="false"/>
                                      <w:sz w:val="16"/>
                                    </w:rPr>
                                    <w:t xml:space="preserve">the initial index value but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trigger level, for each $1,000 stated principal amount Trigger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 xml:space="preserve">less than </w:t>
                                  </w:r>
                                  <w:r>
                                    <w:rPr>
                                      <w:rFonts w:ascii="Arial;Helvetica;Sans-Serif" w:hAnsi="Arial;Helvetica;Sans-Serif"/>
                                      <w:b w:val="false"/>
                                      <w:i w:val="false"/>
                                      <w:caps w:val="false"/>
                                      <w:smallCaps w:val="false"/>
                                      <w:sz w:val="16"/>
                                    </w:rPr>
                                    <w:t>the trigger level, for each $1,000 stated principal amount Trigger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index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Trigger PLUS and will represent a loss of more than 15%, and possibly all, of your investment.</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7982" w:type="dxa"/>
                                  <w:tcBorders/>
                                  <w:shd w:fill="DCEBF4" w:val="clear"/>
                                  <w:vAlign w:val="center"/>
                                </w:tcPr>
                                <w:p>
                                  <w:pPr>
                                    <w:pStyle w:val="TableContents"/>
                                    <w:bidi w:val="0"/>
                                    <w:spacing w:before="0" w:after="283"/>
                                    <w:jc w:val="left"/>
                                    <w:rPr>
                                      <w:sz w:val="16"/>
                                    </w:rPr>
                                  </w:pPr>
                                  <w:r>
                                    <w:rPr>
                                      <w:sz w:val="16"/>
                                    </w:rPr>
                                    <w:t>$1,000 × leverage factor × index percent increase</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percent increase:</w:t>
                                  </w:r>
                                </w:p>
                              </w:tc>
                              <w:tc>
                                <w:tcPr>
                                  <w:tcW w:w="7982" w:type="dxa"/>
                                  <w:tcBorders/>
                                  <w:shd w:fill="FFFFFF" w:val="clear"/>
                                  <w:vAlign w:val="center"/>
                                </w:tcPr>
                                <w:p>
                                  <w:pPr>
                                    <w:pStyle w:val="TableContents"/>
                                    <w:bidi w:val="0"/>
                                    <w:spacing w:before="0" w:after="283"/>
                                    <w:jc w:val="left"/>
                                    <w:rPr>
                                      <w:sz w:val="16"/>
                                    </w:rPr>
                                  </w:pPr>
                                  <w:r>
                                    <w:rPr>
                                      <w:sz w:val="16"/>
                                    </w:rPr>
                                    <w:t>(final index value – initial index value) / initial index value</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index value: </w:t>
                                  </w:r>
                                </w:p>
                              </w:tc>
                              <w:tc>
                                <w:tcPr>
                                  <w:tcW w:w="7982" w:type="dxa"/>
                                  <w:tcBorders/>
                                  <w:shd w:fill="DCEBF4" w:val="clear"/>
                                  <w:vAlign w:val="center"/>
                                </w:tcPr>
                                <w:p>
                                  <w:pPr>
                                    <w:pStyle w:val="TableContents"/>
                                    <w:bidi w:val="0"/>
                                    <w:spacing w:before="0" w:after="283"/>
                                    <w:jc w:val="left"/>
                                    <w:rPr>
                                      <w:sz w:val="16"/>
                                    </w:rPr>
                                  </w:pPr>
                                  <w:r>
                                    <w:rPr>
                                      <w:sz w:val="16"/>
                                    </w:rPr>
                                    <w:t>The closing level of the underlying index on the pricing date</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index value: </w:t>
                                  </w:r>
                                </w:p>
                              </w:tc>
                              <w:tc>
                                <w:tcPr>
                                  <w:tcW w:w="7982" w:type="dxa"/>
                                  <w:tcBorders/>
                                  <w:shd w:fill="FFFFFF" w:val="clear"/>
                                  <w:vAlign w:val="center"/>
                                </w:tcPr>
                                <w:p>
                                  <w:pPr>
                                    <w:pStyle w:val="TableContents"/>
                                    <w:bidi w:val="0"/>
                                    <w:spacing w:before="0" w:after="283"/>
                                    <w:jc w:val="left"/>
                                    <w:rPr>
                                      <w:sz w:val="16"/>
                                    </w:rPr>
                                  </w:pPr>
                                  <w:r>
                                    <w:rPr>
                                      <w:sz w:val="16"/>
                                    </w:rPr>
                                    <w:t>The closing level of the underlying index on the valuation date</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7982" w:type="dxa"/>
                                  <w:tcBorders/>
                                  <w:shd w:fill="DCEBF4" w:val="clear"/>
                                  <w:vAlign w:val="center"/>
                                </w:tcPr>
                                <w:p>
                                  <w:pPr>
                                    <w:pStyle w:val="TableContents"/>
                                    <w:bidi w:val="0"/>
                                    <w:spacing w:before="0" w:after="283"/>
                                    <w:jc w:val="left"/>
                                    <w:rPr>
                                      <w:sz w:val="16"/>
                                    </w:rPr>
                                  </w:pPr>
                                  <w:r>
                                    <w:rPr>
                                      <w:sz w:val="16"/>
                                    </w:rPr>
                                    <w:t>85% of the initial index value</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7982" w:type="dxa"/>
                                  <w:tcBorders/>
                                  <w:shd w:fill="FFFFFF" w:val="clear"/>
                                  <w:vAlign w:val="center"/>
                                </w:tcPr>
                                <w:p>
                                  <w:pPr>
                                    <w:pStyle w:val="TableContents"/>
                                    <w:bidi w:val="0"/>
                                    <w:spacing w:before="0" w:after="283"/>
                                    <w:jc w:val="left"/>
                                    <w:rPr>
                                      <w:sz w:val="16"/>
                                    </w:rPr>
                                  </w:pPr>
                                  <w:r>
                                    <w:rPr>
                                      <w:sz w:val="16"/>
                                    </w:rPr>
                                    <w:t>At least 137.20% (to be provided in the pricing supplement)</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7982" w:type="dxa"/>
                                  <w:tcBorders/>
                                  <w:shd w:fill="DCEBF4" w:val="clear"/>
                                  <w:vAlign w:val="center"/>
                                </w:tcPr>
                                <w:p>
                                  <w:pPr>
                                    <w:pStyle w:val="TableContents"/>
                                    <w:bidi w:val="0"/>
                                    <w:spacing w:before="0" w:after="283"/>
                                    <w:jc w:val="left"/>
                                    <w:rPr>
                                      <w:sz w:val="16"/>
                                    </w:rPr>
                                  </w:pPr>
                                  <w:r>
                                    <w:rPr>
                                      <w:sz w:val="16"/>
                                    </w:rPr>
                                    <w:t>final index value / initial index value</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Maximum payment at maturity:</w:t>
                                  </w:r>
                                </w:p>
                              </w:tc>
                              <w:tc>
                                <w:tcPr>
                                  <w:tcW w:w="7982" w:type="dxa"/>
                                  <w:tcBorders/>
                                  <w:shd w:fill="FFFFFF" w:val="clear"/>
                                  <w:vAlign w:val="center"/>
                                </w:tcPr>
                                <w:p>
                                  <w:pPr>
                                    <w:pStyle w:val="TableContents"/>
                                    <w:bidi w:val="0"/>
                                    <w:spacing w:before="0" w:after="283"/>
                                    <w:jc w:val="left"/>
                                    <w:rPr>
                                      <w:sz w:val="16"/>
                                    </w:rPr>
                                  </w:pPr>
                                  <w:r>
                                    <w:rPr>
                                      <w:sz w:val="16"/>
                                    </w:rPr>
                                    <w:t>$1,850.00 (185.00% of the stated principal amount) per Trigger PLUS</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7982" w:type="dxa"/>
                                  <w:tcBorders/>
                                  <w:shd w:fill="DCEBF4" w:val="clear"/>
                                  <w:vAlign w:val="center"/>
                                </w:tcPr>
                                <w:p>
                                  <w:pPr>
                                    <w:pStyle w:val="TableContents"/>
                                    <w:bidi w:val="0"/>
                                    <w:spacing w:before="0" w:after="283"/>
                                    <w:jc w:val="left"/>
                                    <w:rPr>
                                      <w:sz w:val="16"/>
                                    </w:rPr>
                                  </w:pPr>
                                  <w:r>
                                    <w:rPr>
                                      <w:sz w:val="16"/>
                                    </w:rPr>
                                    <w:t>$1,000 per Trigger PLUS</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7982" w:type="dxa"/>
                                  <w:tcBorders/>
                                  <w:shd w:fill="FFFFFF" w:val="clear"/>
                                  <w:vAlign w:val="center"/>
                                </w:tcPr>
                                <w:p>
                                  <w:pPr>
                                    <w:pStyle w:val="TableContents"/>
                                    <w:bidi w:val="0"/>
                                    <w:spacing w:before="0" w:after="283"/>
                                    <w:jc w:val="left"/>
                                    <w:rPr>
                                      <w:sz w:val="16"/>
                                    </w:rPr>
                                  </w:pPr>
                                  <w:r>
                                    <w:rPr>
                                      <w:sz w:val="16"/>
                                    </w:rPr>
                                    <w:t>$1,000 per Trigger PLUS</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982" w:type="dxa"/>
                                  <w:tcBorders/>
                                  <w:shd w:fill="DCEBF4" w:val="clear"/>
                                  <w:vAlign w:val="center"/>
                                </w:tcPr>
                                <w:p>
                                  <w:pPr>
                                    <w:pStyle w:val="TableContents"/>
                                    <w:bidi w:val="0"/>
                                    <w:spacing w:before="0" w:after="283"/>
                                    <w:jc w:val="left"/>
                                    <w:rPr>
                                      <w:sz w:val="16"/>
                                    </w:rPr>
                                  </w:pPr>
                                  <w:r>
                                    <w:rPr>
                                      <w:sz w:val="16"/>
                                    </w:rPr>
                                    <w:t>Expected to be September 16, 2026</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982" w:type="dxa"/>
                                  <w:tcBorders/>
                                  <w:shd w:fill="FFFFFF" w:val="clear"/>
                                  <w:vAlign w:val="center"/>
                                </w:tcPr>
                                <w:p>
                                  <w:pPr>
                                    <w:pStyle w:val="TableContents"/>
                                    <w:bidi w:val="0"/>
                                    <w:spacing w:before="0" w:after="283"/>
                                    <w:jc w:val="left"/>
                                    <w:rPr>
                                      <w:sz w:val="16"/>
                                    </w:rPr>
                                  </w:pPr>
                                  <w:r>
                                    <w:rPr>
                                      <w:sz w:val="16"/>
                                    </w:rPr>
                                    <w:t>3 business days after the pricing date</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982" w:type="dxa"/>
                                  <w:tcBorders/>
                                  <w:shd w:fill="DCEBF4" w:val="clear"/>
                                  <w:vAlign w:val="center"/>
                                </w:tcPr>
                                <w:p>
                                  <w:pPr>
                                    <w:pStyle w:val="TableContents"/>
                                    <w:bidi w:val="0"/>
                                    <w:spacing w:before="0" w:after="283"/>
                                    <w:jc w:val="left"/>
                                    <w:rPr>
                                      <w:sz w:val="16"/>
                                    </w:rPr>
                                  </w:pPr>
                                  <w:r>
                                    <w:rPr>
                                      <w:sz w:val="16"/>
                                    </w:rPr>
                                    <w:t>September 30, 2032</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982" w:type="dxa"/>
                                  <w:tcBorders/>
                                  <w:shd w:fill="FFFFFF" w:val="clear"/>
                                  <w:vAlign w:val="center"/>
                                </w:tcPr>
                                <w:p>
                                  <w:pPr>
                                    <w:pStyle w:val="TableContents"/>
                                    <w:bidi w:val="0"/>
                                    <w:spacing w:before="0" w:after="283"/>
                                    <w:jc w:val="left"/>
                                    <w:rPr>
                                      <w:sz w:val="16"/>
                                    </w:rPr>
                                  </w:pPr>
                                  <w:r>
                                    <w:rPr>
                                      <w:sz w:val="16"/>
                                    </w:rPr>
                                    <w:t>October 5, 2032</w:t>
                                  </w:r>
                                </w:p>
                              </w:tc>
                            </w:tr>
                            <w:tr>
                              <w:trPr/>
                              <w:tc>
                                <w:tcPr>
                                  <w:tcW w:w="2223"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7982" w:type="dxa"/>
                                  <w:tcBorders/>
                                  <w:shd w:fill="DCEBF4" w:val="clear"/>
                                  <w:vAlign w:val="center"/>
                                </w:tcPr>
                                <w:p>
                                  <w:pPr>
                                    <w:pStyle w:val="TableContents"/>
                                    <w:bidi w:val="0"/>
                                    <w:spacing w:before="0" w:after="283"/>
                                    <w:jc w:val="left"/>
                                    <w:rPr>
                                      <w:sz w:val="16"/>
                                    </w:rPr>
                                  </w:pPr>
                                  <w:r>
                                    <w:rPr>
                                      <w:sz w:val="16"/>
                                    </w:rPr>
                                    <w:t>46661MKB9 / US46661MKB99</w:t>
                                  </w:r>
                                </w:p>
                              </w:tc>
                            </w:tr>
                            <w:tr>
                              <w:trPr/>
                              <w:tc>
                                <w:tcPr>
                                  <w:tcW w:w="2223" w:type="dxa"/>
                                  <w:tcBorders/>
                                  <w:shd w:fill="FFFFFF"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982" w:type="dxa"/>
                                  <w:tcBorders/>
                                  <w:shd w:fill="FFFFFF" w:val="clear"/>
                                  <w:vAlign w:val="center"/>
                                </w:tcPr>
                                <w:p>
                                  <w:pPr>
                                    <w:pStyle w:val="TableContents"/>
                                    <w:bidi w:val="0"/>
                                    <w:spacing w:before="0" w:after="283"/>
                                    <w:jc w:val="left"/>
                                    <w:rPr/>
                                  </w:pPr>
                                  <w:hyperlink r:id="rId2">
                                    <w:r>
                                      <w:rPr>
                                        <w:rStyle w:val="InternetLink"/>
                                        <w:sz w:val="16"/>
                                      </w:rPr>
                                      <w:t>http://www.sec.gov/Archives/edgar/data/19617/000121390026095140/</w:t>
                                      <w:br/>
                                      <w:t>ea0303606-01_424b2.htm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Trigger PLUS is subject to the credit risk of JPMorgan Financial, as issuer of the Trigger PLUS, and the credit risk of JPMorgan Chase &amp; Co., as guarantor of the Trigger PLUS.</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35.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2223"/>
                        <w:gridCol w:w="7982"/>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7982" w:type="dxa"/>
                            <w:tcBorders/>
                            <w:shd w:fill="DCEBF4" w:val="clear"/>
                            <w:vAlign w:val="center"/>
                          </w:tcPr>
                          <w:p>
                            <w:pPr>
                              <w:pStyle w:val="TableContents"/>
                              <w:bidi w:val="0"/>
                              <w:spacing w:before="0" w:after="283"/>
                              <w:jc w:val="left"/>
                              <w:rPr>
                                <w:sz w:val="16"/>
                              </w:rPr>
                            </w:pPr>
                            <w:r>
                              <w:rPr>
                                <w:sz w:val="16"/>
                              </w:rPr>
                              <w:t>JPMorgan Chase Financial Company LLC (“JPMorgan Financial”)</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7982" w:type="dxa"/>
                            <w:tcBorders/>
                            <w:shd w:fill="FFFFFF" w:val="clear"/>
                            <w:vAlign w:val="center"/>
                          </w:tcPr>
                          <w:p>
                            <w:pPr>
                              <w:pStyle w:val="TableContents"/>
                              <w:bidi w:val="0"/>
                              <w:spacing w:before="0" w:after="283"/>
                              <w:jc w:val="left"/>
                              <w:rPr>
                                <w:sz w:val="16"/>
                              </w:rPr>
                            </w:pPr>
                            <w:r>
                              <w:rPr>
                                <w:sz w:val="16"/>
                              </w:rPr>
                              <w:t>JPMorgan Chase &amp; Co.</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7982" w:type="dxa"/>
                            <w:tcBorders/>
                            <w:shd w:fill="DCEBF4" w:val="clear"/>
                            <w:vAlign w:val="center"/>
                          </w:tcPr>
                          <w:p>
                            <w:pPr>
                              <w:pStyle w:val="TableContents"/>
                              <w:bidi w:val="0"/>
                              <w:spacing w:before="0" w:after="283"/>
                              <w:jc w:val="left"/>
                              <w:rPr>
                                <w:sz w:val="16"/>
                              </w:rPr>
                            </w:pPr>
                            <w:r>
                              <w:rPr>
                                <w:sz w:val="16"/>
                              </w:rPr>
                              <w:t>S&amp;P 500</w:t>
                            </w:r>
                            <w:r>
                              <w:rPr>
                                <w:position w:val="5"/>
                                <w:sz w:val="13"/>
                                <w:sz w:val="16"/>
                              </w:rPr>
                              <w:t>®</w:t>
                            </w:r>
                            <w:r>
                              <w:rPr>
                                <w:sz w:val="16"/>
                              </w:rPr>
                              <w:t xml:space="preserve"> Index (Bloomberg ticker: SPX Index)</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7982" w:type="dxa"/>
                            <w:tcBorders/>
                            <w:shd w:fill="FFFFFF"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initial index value, for each $1,000 stated principal amount Trigger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leveraged upside payment</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no event will the payment at maturity exceed the maximum payment at maturity.</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 xml:space="preserve">less than or equal to </w:t>
                            </w:r>
                            <w:r>
                              <w:rPr>
                                <w:rFonts w:ascii="Arial;Helvetica;Sans-Serif" w:hAnsi="Arial;Helvetica;Sans-Serif"/>
                                <w:b w:val="false"/>
                                <w:i w:val="false"/>
                                <w:caps w:val="false"/>
                                <w:smallCaps w:val="false"/>
                                <w:sz w:val="16"/>
                              </w:rPr>
                              <w:t xml:space="preserve">the initial index value but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trigger level, for each $1,000 stated principal amount Trigger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 xml:space="preserve">less than </w:t>
                            </w:r>
                            <w:r>
                              <w:rPr>
                                <w:rFonts w:ascii="Arial;Helvetica;Sans-Serif" w:hAnsi="Arial;Helvetica;Sans-Serif"/>
                                <w:b w:val="false"/>
                                <w:i w:val="false"/>
                                <w:caps w:val="false"/>
                                <w:smallCaps w:val="false"/>
                                <w:sz w:val="16"/>
                              </w:rPr>
                              <w:t>the trigger level, for each $1,000 stated principal amount Trigger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index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Trigger PLUS and will represent a loss of more than 15%, and possibly all, of your investment.</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7982" w:type="dxa"/>
                            <w:tcBorders/>
                            <w:shd w:fill="DCEBF4" w:val="clear"/>
                            <w:vAlign w:val="center"/>
                          </w:tcPr>
                          <w:p>
                            <w:pPr>
                              <w:pStyle w:val="TableContents"/>
                              <w:bidi w:val="0"/>
                              <w:spacing w:before="0" w:after="283"/>
                              <w:jc w:val="left"/>
                              <w:rPr>
                                <w:sz w:val="16"/>
                              </w:rPr>
                            </w:pPr>
                            <w:r>
                              <w:rPr>
                                <w:sz w:val="16"/>
                              </w:rPr>
                              <w:t>$1,000 × leverage factor × index percent increase</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percent increase:</w:t>
                            </w:r>
                          </w:p>
                        </w:tc>
                        <w:tc>
                          <w:tcPr>
                            <w:tcW w:w="7982" w:type="dxa"/>
                            <w:tcBorders/>
                            <w:shd w:fill="FFFFFF" w:val="clear"/>
                            <w:vAlign w:val="center"/>
                          </w:tcPr>
                          <w:p>
                            <w:pPr>
                              <w:pStyle w:val="TableContents"/>
                              <w:bidi w:val="0"/>
                              <w:spacing w:before="0" w:after="283"/>
                              <w:jc w:val="left"/>
                              <w:rPr>
                                <w:sz w:val="16"/>
                              </w:rPr>
                            </w:pPr>
                            <w:r>
                              <w:rPr>
                                <w:sz w:val="16"/>
                              </w:rPr>
                              <w:t>(final index value – initial index value) / initial index value</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index value: </w:t>
                            </w:r>
                          </w:p>
                        </w:tc>
                        <w:tc>
                          <w:tcPr>
                            <w:tcW w:w="7982" w:type="dxa"/>
                            <w:tcBorders/>
                            <w:shd w:fill="DCEBF4" w:val="clear"/>
                            <w:vAlign w:val="center"/>
                          </w:tcPr>
                          <w:p>
                            <w:pPr>
                              <w:pStyle w:val="TableContents"/>
                              <w:bidi w:val="0"/>
                              <w:spacing w:before="0" w:after="283"/>
                              <w:jc w:val="left"/>
                              <w:rPr>
                                <w:sz w:val="16"/>
                              </w:rPr>
                            </w:pPr>
                            <w:r>
                              <w:rPr>
                                <w:sz w:val="16"/>
                              </w:rPr>
                              <w:t>The closing level of the underlying index on the pricing date</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index value: </w:t>
                            </w:r>
                          </w:p>
                        </w:tc>
                        <w:tc>
                          <w:tcPr>
                            <w:tcW w:w="7982" w:type="dxa"/>
                            <w:tcBorders/>
                            <w:shd w:fill="FFFFFF" w:val="clear"/>
                            <w:vAlign w:val="center"/>
                          </w:tcPr>
                          <w:p>
                            <w:pPr>
                              <w:pStyle w:val="TableContents"/>
                              <w:bidi w:val="0"/>
                              <w:spacing w:before="0" w:after="283"/>
                              <w:jc w:val="left"/>
                              <w:rPr>
                                <w:sz w:val="16"/>
                              </w:rPr>
                            </w:pPr>
                            <w:r>
                              <w:rPr>
                                <w:sz w:val="16"/>
                              </w:rPr>
                              <w:t>The closing level of the underlying index on the valuation date</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7982" w:type="dxa"/>
                            <w:tcBorders/>
                            <w:shd w:fill="DCEBF4" w:val="clear"/>
                            <w:vAlign w:val="center"/>
                          </w:tcPr>
                          <w:p>
                            <w:pPr>
                              <w:pStyle w:val="TableContents"/>
                              <w:bidi w:val="0"/>
                              <w:spacing w:before="0" w:after="283"/>
                              <w:jc w:val="left"/>
                              <w:rPr>
                                <w:sz w:val="16"/>
                              </w:rPr>
                            </w:pPr>
                            <w:r>
                              <w:rPr>
                                <w:sz w:val="16"/>
                              </w:rPr>
                              <w:t>85% of the initial index value</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7982" w:type="dxa"/>
                            <w:tcBorders/>
                            <w:shd w:fill="FFFFFF" w:val="clear"/>
                            <w:vAlign w:val="center"/>
                          </w:tcPr>
                          <w:p>
                            <w:pPr>
                              <w:pStyle w:val="TableContents"/>
                              <w:bidi w:val="0"/>
                              <w:spacing w:before="0" w:after="283"/>
                              <w:jc w:val="left"/>
                              <w:rPr>
                                <w:sz w:val="16"/>
                              </w:rPr>
                            </w:pPr>
                            <w:r>
                              <w:rPr>
                                <w:sz w:val="16"/>
                              </w:rPr>
                              <w:t>At least 137.20% (to be provided in the pricing supplement)</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7982" w:type="dxa"/>
                            <w:tcBorders/>
                            <w:shd w:fill="DCEBF4" w:val="clear"/>
                            <w:vAlign w:val="center"/>
                          </w:tcPr>
                          <w:p>
                            <w:pPr>
                              <w:pStyle w:val="TableContents"/>
                              <w:bidi w:val="0"/>
                              <w:spacing w:before="0" w:after="283"/>
                              <w:jc w:val="left"/>
                              <w:rPr>
                                <w:sz w:val="16"/>
                              </w:rPr>
                            </w:pPr>
                            <w:r>
                              <w:rPr>
                                <w:sz w:val="16"/>
                              </w:rPr>
                              <w:t>final index value / initial index value</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Maximum payment at maturity:</w:t>
                            </w:r>
                          </w:p>
                        </w:tc>
                        <w:tc>
                          <w:tcPr>
                            <w:tcW w:w="7982" w:type="dxa"/>
                            <w:tcBorders/>
                            <w:shd w:fill="FFFFFF" w:val="clear"/>
                            <w:vAlign w:val="center"/>
                          </w:tcPr>
                          <w:p>
                            <w:pPr>
                              <w:pStyle w:val="TableContents"/>
                              <w:bidi w:val="0"/>
                              <w:spacing w:before="0" w:after="283"/>
                              <w:jc w:val="left"/>
                              <w:rPr>
                                <w:sz w:val="16"/>
                              </w:rPr>
                            </w:pPr>
                            <w:r>
                              <w:rPr>
                                <w:sz w:val="16"/>
                              </w:rPr>
                              <w:t>$1,850.00 (185.00% of the stated principal amount) per Trigger PLUS</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7982" w:type="dxa"/>
                            <w:tcBorders/>
                            <w:shd w:fill="DCEBF4" w:val="clear"/>
                            <w:vAlign w:val="center"/>
                          </w:tcPr>
                          <w:p>
                            <w:pPr>
                              <w:pStyle w:val="TableContents"/>
                              <w:bidi w:val="0"/>
                              <w:spacing w:before="0" w:after="283"/>
                              <w:jc w:val="left"/>
                              <w:rPr>
                                <w:sz w:val="16"/>
                              </w:rPr>
                            </w:pPr>
                            <w:r>
                              <w:rPr>
                                <w:sz w:val="16"/>
                              </w:rPr>
                              <w:t>$1,000 per Trigger PLUS</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7982" w:type="dxa"/>
                            <w:tcBorders/>
                            <w:shd w:fill="FFFFFF" w:val="clear"/>
                            <w:vAlign w:val="center"/>
                          </w:tcPr>
                          <w:p>
                            <w:pPr>
                              <w:pStyle w:val="TableContents"/>
                              <w:bidi w:val="0"/>
                              <w:spacing w:before="0" w:after="283"/>
                              <w:jc w:val="left"/>
                              <w:rPr>
                                <w:sz w:val="16"/>
                              </w:rPr>
                            </w:pPr>
                            <w:r>
                              <w:rPr>
                                <w:sz w:val="16"/>
                              </w:rPr>
                              <w:t>$1,000 per Trigger PLUS</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982" w:type="dxa"/>
                            <w:tcBorders/>
                            <w:shd w:fill="DCEBF4" w:val="clear"/>
                            <w:vAlign w:val="center"/>
                          </w:tcPr>
                          <w:p>
                            <w:pPr>
                              <w:pStyle w:val="TableContents"/>
                              <w:bidi w:val="0"/>
                              <w:spacing w:before="0" w:after="283"/>
                              <w:jc w:val="left"/>
                              <w:rPr>
                                <w:sz w:val="16"/>
                              </w:rPr>
                            </w:pPr>
                            <w:r>
                              <w:rPr>
                                <w:sz w:val="16"/>
                              </w:rPr>
                              <w:t>Expected to be September 16, 2026</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982" w:type="dxa"/>
                            <w:tcBorders/>
                            <w:shd w:fill="FFFFFF" w:val="clear"/>
                            <w:vAlign w:val="center"/>
                          </w:tcPr>
                          <w:p>
                            <w:pPr>
                              <w:pStyle w:val="TableContents"/>
                              <w:bidi w:val="0"/>
                              <w:spacing w:before="0" w:after="283"/>
                              <w:jc w:val="left"/>
                              <w:rPr>
                                <w:sz w:val="16"/>
                              </w:rPr>
                            </w:pPr>
                            <w:r>
                              <w:rPr>
                                <w:sz w:val="16"/>
                              </w:rPr>
                              <w:t>3 business days after the pricing date</w:t>
                            </w:r>
                          </w:p>
                        </w:tc>
                      </w:tr>
                      <w:tr>
                        <w:trPr/>
                        <w:tc>
                          <w:tcPr>
                            <w:tcW w:w="222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982" w:type="dxa"/>
                            <w:tcBorders/>
                            <w:shd w:fill="DCEBF4" w:val="clear"/>
                            <w:vAlign w:val="center"/>
                          </w:tcPr>
                          <w:p>
                            <w:pPr>
                              <w:pStyle w:val="TableContents"/>
                              <w:bidi w:val="0"/>
                              <w:spacing w:before="0" w:after="283"/>
                              <w:jc w:val="left"/>
                              <w:rPr>
                                <w:sz w:val="16"/>
                              </w:rPr>
                            </w:pPr>
                            <w:r>
                              <w:rPr>
                                <w:sz w:val="16"/>
                              </w:rPr>
                              <w:t>September 30, 2032</w:t>
                            </w:r>
                          </w:p>
                        </w:tc>
                      </w:tr>
                      <w:tr>
                        <w:trPr/>
                        <w:tc>
                          <w:tcPr>
                            <w:tcW w:w="222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982" w:type="dxa"/>
                            <w:tcBorders/>
                            <w:shd w:fill="FFFFFF" w:val="clear"/>
                            <w:vAlign w:val="center"/>
                          </w:tcPr>
                          <w:p>
                            <w:pPr>
                              <w:pStyle w:val="TableContents"/>
                              <w:bidi w:val="0"/>
                              <w:spacing w:before="0" w:after="283"/>
                              <w:jc w:val="left"/>
                              <w:rPr>
                                <w:sz w:val="16"/>
                              </w:rPr>
                            </w:pPr>
                            <w:r>
                              <w:rPr>
                                <w:sz w:val="16"/>
                              </w:rPr>
                              <w:t>October 5, 2032</w:t>
                            </w:r>
                          </w:p>
                        </w:tc>
                      </w:tr>
                      <w:tr>
                        <w:trPr/>
                        <w:tc>
                          <w:tcPr>
                            <w:tcW w:w="2223"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7982" w:type="dxa"/>
                            <w:tcBorders/>
                            <w:shd w:fill="DCEBF4" w:val="clear"/>
                            <w:vAlign w:val="center"/>
                          </w:tcPr>
                          <w:p>
                            <w:pPr>
                              <w:pStyle w:val="TableContents"/>
                              <w:bidi w:val="0"/>
                              <w:spacing w:before="0" w:after="283"/>
                              <w:jc w:val="left"/>
                              <w:rPr>
                                <w:sz w:val="16"/>
                              </w:rPr>
                            </w:pPr>
                            <w:r>
                              <w:rPr>
                                <w:sz w:val="16"/>
                              </w:rPr>
                              <w:t>46661MKB9 / US46661MKB99</w:t>
                            </w:r>
                          </w:p>
                        </w:tc>
                      </w:tr>
                      <w:tr>
                        <w:trPr/>
                        <w:tc>
                          <w:tcPr>
                            <w:tcW w:w="2223" w:type="dxa"/>
                            <w:tcBorders/>
                            <w:shd w:fill="FFFFFF"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982" w:type="dxa"/>
                            <w:tcBorders/>
                            <w:shd w:fill="FFFFFF" w:val="clear"/>
                            <w:vAlign w:val="center"/>
                          </w:tcPr>
                          <w:p>
                            <w:pPr>
                              <w:pStyle w:val="TableContents"/>
                              <w:bidi w:val="0"/>
                              <w:spacing w:before="0" w:after="283"/>
                              <w:jc w:val="left"/>
                              <w:rPr/>
                            </w:pPr>
                            <w:hyperlink r:id="rId3">
                              <w:r>
                                <w:rPr>
                                  <w:rStyle w:val="InternetLink"/>
                                  <w:sz w:val="16"/>
                                </w:rPr>
                                <w:t>http://www.sec.gov/Archives/edgar/data/19617/000121390026095140/</w:t>
                                <w:br/>
                                <w:t>ea0303606-01_424b2.htm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Trigger PLUS is subject to the credit risk of JPMorgan Financial, as issuer of the Trigger PLUS, and the credit risk of JPMorgan Chase &amp; Co., as guarantor of the Trigger PLUS.</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5826"/>
                              <w:gridCol w:w="4379"/>
                            </w:tblGrid>
                            <w:tr>
                              <w:trPr/>
                              <w:tc>
                                <w:tcPr>
                                  <w:tcW w:w="10205" w:type="dxa"/>
                                  <w:gridSpan w:val="2"/>
                                  <w:tcBorders/>
                                  <w:shd w:fill="DCEBF4" w:val="clear"/>
                                  <w:vAlign w:val="center"/>
                                </w:tcPr>
                                <w:p>
                                  <w:pPr>
                                    <w:pStyle w:val="TableContents"/>
                                    <w:bidi w:val="0"/>
                                    <w:spacing w:before="0" w:after="283"/>
                                    <w:jc w:val="center"/>
                                    <w:rPr>
                                      <w:rFonts w:ascii="Arial;Helvetica;Sans-Serif" w:hAnsi="Arial;Helvetica;Sans-Serif"/>
                                      <w:b/>
                                      <w:i w:val="false"/>
                                      <w:caps w:val="false"/>
                                      <w:smallCaps w:val="false"/>
                                      <w:color w:val="296DC1"/>
                                      <w:sz w:val="17"/>
                                    </w:rPr>
                                  </w:pPr>
                                  <w:r>
                                    <w:rPr>
                                      <w:rFonts w:ascii="Arial;Helvetica;Sans-Serif" w:hAnsi="Arial;Helvetica;Sans-Serif"/>
                                      <w:b/>
                                      <w:i w:val="false"/>
                                      <w:caps w:val="false"/>
                                      <w:smallCaps w:val="false"/>
                                      <w:color w:val="296DC1"/>
                                      <w:sz w:val="17"/>
                                    </w:rPr>
                                    <w:t>Trigger PLUS Payoff Diagram*</w:t>
                                  </w:r>
                                </w:p>
                              </w:tc>
                            </w:tr>
                            <w:tr>
                              <w:trPr/>
                              <w:tc>
                                <w:tcPr>
                                  <w:tcW w:w="10205" w:type="dxa"/>
                                  <w:gridSpan w:val="2"/>
                                  <w:tcBorders/>
                                  <w:vAlign w:val="center"/>
                                </w:tcPr>
                                <w:p>
                                  <w:pPr>
                                    <w:pStyle w:val="TableContents"/>
                                    <w:bidi w:val="0"/>
                                    <w:jc w:val="center"/>
                                    <w:rPr>
                                      <w:caps w:val="false"/>
                                      <w:smallCaps w:val="false"/>
                                    </w:rPr>
                                  </w:pPr>
                                  <w:r>
                                    <w:rPr>
                                      <w:caps w:val="false"/>
                                      <w:smallCaps w:val="false"/>
                                    </w:rPr>
                                    <w:drawing>
                                      <wp:inline distT="0" distB="0" distL="0" distR="0">
                                        <wp:extent cx="4572000" cy="22098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4572000" cy="2209800"/>
                                                </a:xfrm>
                                                <a:prstGeom prst="rect">
                                                  <a:avLst/>
                                                </a:prstGeom>
                                              </pic:spPr>
                                            </pic:pic>
                                          </a:graphicData>
                                        </a:graphic>
                                      </wp:inline>
                                    </w:drawing>
                                  </w:r>
                                </w:p>
                                <w:p>
                                  <w:pPr>
                                    <w:pStyle w:val="TableContents"/>
                                    <w:bidi w:val="0"/>
                                    <w:spacing w:before="0" w:after="283"/>
                                    <w:jc w:val="center"/>
                                    <w:rPr>
                                      <w:caps w:val="false"/>
                                      <w:smallCaps w:val="false"/>
                                    </w:rPr>
                                  </w:pPr>
                                  <w:r>
                                    <w:rPr>
                                      <w:caps w:val="false"/>
                                      <w:smallCaps w:val="false"/>
                                    </w:rPr>
                                    <w:t> </w:t>
                                  </w:r>
                                </w:p>
                              </w:tc>
                            </w:tr>
                            <w:tr>
                              <w:trPr/>
                              <w:tc>
                                <w:tcPr>
                                  <w:tcW w:w="5826"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Index</w:t>
                                  </w:r>
                                </w:p>
                              </w:tc>
                              <w:tc>
                                <w:tcPr>
                                  <w:tcW w:w="4379"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5826"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100.00000%</w:t>
                                  </w:r>
                                </w:p>
                              </w:tc>
                              <w:tc>
                                <w:tcPr>
                                  <w:tcW w:w="4379"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85.000%</w:t>
                                  </w:r>
                                </w:p>
                              </w:tc>
                            </w:tr>
                            <w:tr>
                              <w:trPr/>
                              <w:tc>
                                <w:tcPr>
                                  <w:tcW w:w="582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80.00000%</w:t>
                                  </w:r>
                                </w:p>
                              </w:tc>
                              <w:tc>
                                <w:tcPr>
                                  <w:tcW w:w="437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85.000%</w:t>
                                  </w:r>
                                </w:p>
                              </w:tc>
                            </w:tr>
                            <w:tr>
                              <w:trPr/>
                              <w:tc>
                                <w:tcPr>
                                  <w:tcW w:w="5826"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70.00000%</w:t>
                                  </w:r>
                                </w:p>
                              </w:tc>
                              <w:tc>
                                <w:tcPr>
                                  <w:tcW w:w="4379"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85.000%</w:t>
                                  </w:r>
                                </w:p>
                              </w:tc>
                            </w:tr>
                            <w:tr>
                              <w:trPr/>
                              <w:tc>
                                <w:tcPr>
                                  <w:tcW w:w="582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61.95336%</w:t>
                                  </w:r>
                                </w:p>
                              </w:tc>
                              <w:tc>
                                <w:tcPr>
                                  <w:tcW w:w="437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85.000%</w:t>
                                  </w:r>
                                </w:p>
                              </w:tc>
                            </w:tr>
                            <w:tr>
                              <w:trPr/>
                              <w:tc>
                                <w:tcPr>
                                  <w:tcW w:w="5826"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60.00000%</w:t>
                                  </w:r>
                                </w:p>
                              </w:tc>
                              <w:tc>
                                <w:tcPr>
                                  <w:tcW w:w="4379"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82.320%</w:t>
                                  </w:r>
                                </w:p>
                              </w:tc>
                            </w:tr>
                            <w:tr>
                              <w:trPr/>
                              <w:tc>
                                <w:tcPr>
                                  <w:tcW w:w="582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50.00000%</w:t>
                                  </w:r>
                                </w:p>
                              </w:tc>
                              <w:tc>
                                <w:tcPr>
                                  <w:tcW w:w="437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68.600%</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54.880%</w:t>
                                  </w:r>
                                </w:p>
                              </w:tc>
                            </w:tr>
                            <w:tr>
                              <w:trPr/>
                              <w:tc>
                                <w:tcPr>
                                  <w:tcW w:w="582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30.00000%</w:t>
                                  </w:r>
                                </w:p>
                              </w:tc>
                              <w:tc>
                                <w:tcPr>
                                  <w:tcW w:w="437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41.160%</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27.440%</w:t>
                                  </w:r>
                                </w:p>
                              </w:tc>
                            </w:tr>
                            <w:tr>
                              <w:trPr/>
                              <w:tc>
                                <w:tcPr>
                                  <w:tcW w:w="582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10.00000%</w:t>
                                  </w:r>
                                </w:p>
                              </w:tc>
                              <w:tc>
                                <w:tcPr>
                                  <w:tcW w:w="437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13.720%</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6.860%</w:t>
                                  </w:r>
                                </w:p>
                              </w:tc>
                            </w:tr>
                            <w:tr>
                              <w:trPr/>
                              <w:tc>
                                <w:tcPr>
                                  <w:tcW w:w="582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c>
                                <w:tcPr>
                                  <w:tcW w:w="437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1.372%</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582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-10.00000%</w:t>
                                  </w:r>
                                </w:p>
                              </w:tc>
                              <w:tc>
                                <w:tcPr>
                                  <w:tcW w:w="437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582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-15.01000%</w:t>
                                  </w:r>
                                </w:p>
                              </w:tc>
                              <w:tc>
                                <w:tcPr>
                                  <w:tcW w:w="4379"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-15.010%</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582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-30.00000%</w:t>
                                  </w:r>
                                </w:p>
                              </w:tc>
                              <w:tc>
                                <w:tcPr>
                                  <w:tcW w:w="4379"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-30.000%</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582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-50.00000%</w:t>
                                  </w:r>
                                </w:p>
                              </w:tc>
                              <w:tc>
                                <w:tcPr>
                                  <w:tcW w:w="4379"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582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-80.00000%</w:t>
                                  </w:r>
                                </w:p>
                              </w:tc>
                              <w:tc>
                                <w:tcPr>
                                  <w:tcW w:w="4379"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-80.000%</w:t>
                                  </w:r>
                                </w:p>
                              </w:tc>
                            </w:tr>
                            <w:tr>
                              <w:trPr/>
                              <w:tc>
                                <w:tcPr>
                                  <w:tcW w:w="5826"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-100.00000%</w:t>
                                  </w:r>
                                </w:p>
                              </w:tc>
                              <w:tc>
                                <w:tcPr>
                                  <w:tcW w:w="4379"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5826" w:type="dxa"/>
                                  <w:tcBorders/>
                                  <w:vAlign w:val="center"/>
                                </w:tcPr>
                                <w:p>
                                  <w:pPr>
                                    <w:pStyle w:val="TableContents"/>
                                    <w:bidi w:val="0"/>
                                    <w:spacing w:before="0" w:after="283"/>
                                    <w:jc w:val="left"/>
                                    <w:rPr/>
                                  </w:pPr>
                                  <w:r>
                                    <w:rPr/>
                                    <w:t> </w:t>
                                  </w:r>
                                </w:p>
                              </w:tc>
                              <w:tc>
                                <w:tcPr>
                                  <w:tcW w:w="4379"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*Assumes a leverage factor of 137.20%. The actual leverage factor will be provided in the pricing supplement and will not be less than 137.20%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5826"/>
                        <w:gridCol w:w="4379"/>
                      </w:tblGrid>
                      <w:tr>
                        <w:trPr/>
                        <w:tc>
                          <w:tcPr>
                            <w:tcW w:w="10205" w:type="dxa"/>
                            <w:gridSpan w:val="2"/>
                            <w:tcBorders/>
                            <w:shd w:fill="DCEBF4" w:val="clear"/>
                            <w:vAlign w:val="center"/>
                          </w:tcPr>
                          <w:p>
                            <w:pPr>
                              <w:pStyle w:val="TableContents"/>
                              <w:bidi w:val="0"/>
                              <w:spacing w:before="0" w:after="283"/>
                              <w:jc w:val="center"/>
                              <w:rPr>
                                <w:rFonts w:ascii="Arial;Helvetica;Sans-Serif" w:hAnsi="Arial;Helvetica;Sans-Serif"/>
                                <w:b/>
                                <w:i w:val="false"/>
                                <w:caps w:val="false"/>
                                <w:smallCaps w:val="false"/>
                                <w:color w:val="296DC1"/>
                                <w:sz w:val="17"/>
                              </w:rPr>
                            </w:pPr>
                            <w:r>
                              <w:rPr>
                                <w:rFonts w:ascii="Arial;Helvetica;Sans-Serif" w:hAnsi="Arial;Helvetica;Sans-Serif"/>
                                <w:b/>
                                <w:i w:val="false"/>
                                <w:caps w:val="false"/>
                                <w:smallCaps w:val="false"/>
                                <w:color w:val="296DC1"/>
                                <w:sz w:val="17"/>
                              </w:rPr>
                              <w:t>Trigger PLUS Payoff Diagram*</w:t>
                            </w:r>
                          </w:p>
                        </w:tc>
                      </w:tr>
                      <w:tr>
                        <w:trPr/>
                        <w:tc>
                          <w:tcPr>
                            <w:tcW w:w="10205" w:type="dxa"/>
                            <w:gridSpan w:val="2"/>
                            <w:tcBorders/>
                            <w:vAlign w:val="center"/>
                          </w:tcPr>
                          <w:p>
                            <w:pPr>
                              <w:pStyle w:val="TableContents"/>
                              <w:bidi w:val="0"/>
                              <w:jc w:val="center"/>
                              <w:rPr>
                                <w:caps w:val="false"/>
                                <w:smallCaps w:val="false"/>
                              </w:rPr>
                            </w:pPr>
                            <w:r>
                              <w:rPr>
                                <w:caps w:val="false"/>
                                <w:smallCaps w:val="false"/>
                              </w:rPr>
                              <w:drawing>
                                <wp:inline distT="0" distB="0" distL="0" distR="0">
                                  <wp:extent cx="4572000" cy="2209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4572000" cy="2209800"/>
                                          </a:xfrm>
                                          <a:prstGeom prst="rect">
                                            <a:avLst/>
                                          </a:prstGeom>
                                        </pic:spPr>
                                      </pic:pic>
                                    </a:graphicData>
                                  </a:graphic>
                                </wp:inline>
                              </w:drawing>
                            </w:r>
                          </w:p>
                          <w:p>
                            <w:pPr>
                              <w:pStyle w:val="TableContents"/>
                              <w:bidi w:val="0"/>
                              <w:spacing w:before="0" w:after="283"/>
                              <w:jc w:val="center"/>
                              <w:rPr>
                                <w:caps w:val="false"/>
                                <w:smallCaps w:val="false"/>
                              </w:rPr>
                            </w:pPr>
                            <w:r>
                              <w:rPr>
                                <w:caps w:val="false"/>
                                <w:smallCaps w:val="false"/>
                              </w:rPr>
                              <w:t> </w:t>
                            </w:r>
                          </w:p>
                        </w:tc>
                      </w:tr>
                      <w:tr>
                        <w:trPr/>
                        <w:tc>
                          <w:tcPr>
                            <w:tcW w:w="5826"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Index</w:t>
                            </w:r>
                          </w:p>
                        </w:tc>
                        <w:tc>
                          <w:tcPr>
                            <w:tcW w:w="4379"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5826"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100.00000%</w:t>
                            </w:r>
                          </w:p>
                        </w:tc>
                        <w:tc>
                          <w:tcPr>
                            <w:tcW w:w="4379"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85.000%</w:t>
                            </w:r>
                          </w:p>
                        </w:tc>
                      </w:tr>
                      <w:tr>
                        <w:trPr/>
                        <w:tc>
                          <w:tcPr>
                            <w:tcW w:w="582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80.00000%</w:t>
                            </w:r>
                          </w:p>
                        </w:tc>
                        <w:tc>
                          <w:tcPr>
                            <w:tcW w:w="437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85.000%</w:t>
                            </w:r>
                          </w:p>
                        </w:tc>
                      </w:tr>
                      <w:tr>
                        <w:trPr/>
                        <w:tc>
                          <w:tcPr>
                            <w:tcW w:w="5826"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70.00000%</w:t>
                            </w:r>
                          </w:p>
                        </w:tc>
                        <w:tc>
                          <w:tcPr>
                            <w:tcW w:w="4379"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85.000%</w:t>
                            </w:r>
                          </w:p>
                        </w:tc>
                      </w:tr>
                      <w:tr>
                        <w:trPr/>
                        <w:tc>
                          <w:tcPr>
                            <w:tcW w:w="582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61.95336%</w:t>
                            </w:r>
                          </w:p>
                        </w:tc>
                        <w:tc>
                          <w:tcPr>
                            <w:tcW w:w="437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85.000%</w:t>
                            </w:r>
                          </w:p>
                        </w:tc>
                      </w:tr>
                      <w:tr>
                        <w:trPr/>
                        <w:tc>
                          <w:tcPr>
                            <w:tcW w:w="5826"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60.00000%</w:t>
                            </w:r>
                          </w:p>
                        </w:tc>
                        <w:tc>
                          <w:tcPr>
                            <w:tcW w:w="4379"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82.320%</w:t>
                            </w:r>
                          </w:p>
                        </w:tc>
                      </w:tr>
                      <w:tr>
                        <w:trPr/>
                        <w:tc>
                          <w:tcPr>
                            <w:tcW w:w="582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50.00000%</w:t>
                            </w:r>
                          </w:p>
                        </w:tc>
                        <w:tc>
                          <w:tcPr>
                            <w:tcW w:w="437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68.600%</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54.880%</w:t>
                            </w:r>
                          </w:p>
                        </w:tc>
                      </w:tr>
                      <w:tr>
                        <w:trPr/>
                        <w:tc>
                          <w:tcPr>
                            <w:tcW w:w="582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30.00000%</w:t>
                            </w:r>
                          </w:p>
                        </w:tc>
                        <w:tc>
                          <w:tcPr>
                            <w:tcW w:w="437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41.160%</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27.440%</w:t>
                            </w:r>
                          </w:p>
                        </w:tc>
                      </w:tr>
                      <w:tr>
                        <w:trPr/>
                        <w:tc>
                          <w:tcPr>
                            <w:tcW w:w="582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10.00000%</w:t>
                            </w:r>
                          </w:p>
                        </w:tc>
                        <w:tc>
                          <w:tcPr>
                            <w:tcW w:w="437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13.720%</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6.860%</w:t>
                            </w:r>
                          </w:p>
                        </w:tc>
                      </w:tr>
                      <w:tr>
                        <w:trPr/>
                        <w:tc>
                          <w:tcPr>
                            <w:tcW w:w="582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c>
                          <w:tcPr>
                            <w:tcW w:w="437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1.372%</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582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-10.00000%</w:t>
                            </w:r>
                          </w:p>
                        </w:tc>
                        <w:tc>
                          <w:tcPr>
                            <w:tcW w:w="4379"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582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-15.01000%</w:t>
                            </w:r>
                          </w:p>
                        </w:tc>
                        <w:tc>
                          <w:tcPr>
                            <w:tcW w:w="4379"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-15.010%</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582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-30.00000%</w:t>
                            </w:r>
                          </w:p>
                        </w:tc>
                        <w:tc>
                          <w:tcPr>
                            <w:tcW w:w="4379"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-30.000%</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582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-50.00000%</w:t>
                            </w:r>
                          </w:p>
                        </w:tc>
                        <w:tc>
                          <w:tcPr>
                            <w:tcW w:w="4379"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582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-60.00000%</w:t>
                            </w:r>
                          </w:p>
                        </w:tc>
                        <w:tc>
                          <w:tcPr>
                            <w:tcW w:w="4379"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582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-80.00000%</w:t>
                            </w:r>
                          </w:p>
                        </w:tc>
                        <w:tc>
                          <w:tcPr>
                            <w:tcW w:w="4379"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-80.000%</w:t>
                            </w:r>
                          </w:p>
                        </w:tc>
                      </w:tr>
                      <w:tr>
                        <w:trPr/>
                        <w:tc>
                          <w:tcPr>
                            <w:tcW w:w="5826"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-100.00000%</w:t>
                            </w:r>
                          </w:p>
                        </w:tc>
                        <w:tc>
                          <w:tcPr>
                            <w:tcW w:w="4379"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5826" w:type="dxa"/>
                            <w:tcBorders/>
                            <w:vAlign w:val="center"/>
                          </w:tcPr>
                          <w:p>
                            <w:pPr>
                              <w:pStyle w:val="TableContents"/>
                              <w:bidi w:val="0"/>
                              <w:spacing w:before="0" w:after="283"/>
                              <w:jc w:val="left"/>
                              <w:rPr/>
                            </w:pPr>
                            <w:r>
                              <w:rPr/>
                              <w:t> </w:t>
                            </w:r>
                          </w:p>
                        </w:tc>
                        <w:tc>
                          <w:tcPr>
                            <w:tcW w:w="4379"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jc w:val="left"/>
                              <w:rPr>
                                <w:rFonts w:ascii="Arial;Helvetica;Sans-Serif" w:hAnsi="Arial;Helvetica;Sans-Serif"/>
                                <w:sz w:val="17"/>
                              </w:rPr>
                            </w:pPr>
                            <w:r>
                              <w:rPr>
                                <w:rFonts w:ascii="Arial;Helvetica;Sans-Serif" w:hAnsi="Arial;Helvetica;Sans-Serif"/>
                                <w:sz w:val="17"/>
                              </w:rPr>
                              <w:t>*Assumes a leverage factor of 137.20%. The actual leverage factor will be provided in the pricing supplement and will not be less than 137.20%</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72.5-Month SPX Trigger PLUS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Index</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index,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Trigger PLUS Generally</w:t>
      </w:r>
    </w:p>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1" w:type="dxa"/>
            <w:tcBorders/>
            <w:vAlign w:val="center"/>
          </w:tcPr>
          <w:p>
            <w:pPr>
              <w:pStyle w:val="TableContents"/>
              <w:bidi w:val="0"/>
              <w:spacing w:before="0" w:after="283"/>
              <w:jc w:val="left"/>
              <w:rPr>
                <w:sz w:val="18"/>
              </w:rPr>
            </w:pPr>
            <w:r>
              <w:rPr>
                <w:sz w:val="18"/>
              </w:rPr>
              <w:t>The Trigger PLUS do not pay interest or guarantee the return of any principal and your investment in the Trigger PLUS may result in a loss.</w:t>
            </w:r>
          </w:p>
        </w:tc>
      </w:tr>
    </w:tbl>
    <w:tbl>
      <w:tblPr>
        <w:tblW w:w="5000" w:type="pct"/>
        <w:jc w:val="left"/>
        <w:tblInd w:w="0" w:type="dxa"/>
        <w:tblLayout w:type="fixed"/>
        <w:tblCellMar>
          <w:top w:w="0" w:type="dxa"/>
          <w:left w:w="0" w:type="dxa"/>
          <w:bottom w:w="0" w:type="dxa"/>
          <w:right w:w="0" w:type="dxa"/>
        </w:tblCellMar>
      </w:tblPr>
      <w:tblGrid>
        <w:gridCol w:w="55"/>
        <w:gridCol w:w="184"/>
        <w:gridCol w:w="9966"/>
      </w:tblGrid>
      <w:tr>
        <w:trPr/>
        <w:tc>
          <w:tcPr>
            <w:tcW w:w="5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66" w:type="dxa"/>
            <w:tcBorders/>
            <w:vAlign w:val="center"/>
          </w:tcPr>
          <w:p>
            <w:pPr>
              <w:pStyle w:val="TableContents"/>
              <w:bidi w:val="0"/>
              <w:spacing w:before="0" w:after="283"/>
              <w:jc w:val="left"/>
              <w:rPr>
                <w:sz w:val="18"/>
              </w:rPr>
            </w:pPr>
            <w:r>
              <w:rPr>
                <w:sz w:val="18"/>
              </w:rPr>
              <w:t>The appreciation potential of the Trigger PLUS is limited by the maximum payment at maturity.</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Trigger PLUS are subject to the credit risks of JPMorgan Financial and JPMorgan Chase &amp; Co., and any actual or anticipated changes to our or JPMorgan Chase &amp; Co.’s credit ratings or credit spreads may adversely affect the market value of the Trigger PLUS.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85" w:type="dxa"/>
            <w:tcBorders/>
            <w:vAlign w:val="center"/>
          </w:tcPr>
          <w:p>
            <w:pPr>
              <w:pStyle w:val="TableContents"/>
              <w:bidi w:val="0"/>
              <w:spacing w:before="0" w:after="283"/>
              <w:jc w:val="left"/>
              <w:rPr>
                <w:sz w:val="18"/>
              </w:rPr>
            </w:pPr>
            <w:r>
              <w:rPr>
                <w:sz w:val="18"/>
              </w:rPr>
              <w:t>The final terms and estimated valuation of the Trigger PLUS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71"/>
        <w:gridCol w:w="234"/>
        <w:gridCol w:w="9900"/>
      </w:tblGrid>
      <w:tr>
        <w:trPr/>
        <w:tc>
          <w:tcPr>
            <w:tcW w:w="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0" w:type="dxa"/>
            <w:tcBorders/>
            <w:vAlign w:val="center"/>
          </w:tcPr>
          <w:p>
            <w:pPr>
              <w:pStyle w:val="TableContents"/>
              <w:bidi w:val="0"/>
              <w:spacing w:before="0" w:after="283"/>
              <w:jc w:val="left"/>
              <w:rPr>
                <w:sz w:val="18"/>
              </w:rPr>
            </w:pPr>
            <w:r>
              <w:rPr>
                <w:sz w:val="18"/>
              </w:rPr>
              <w:t>The tax consequences of an investment in the Trigger PLUS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Trigger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5"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Trigger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Trigger PLUS</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8"/>
              </w:rPr>
            </w:pPr>
            <w:r>
              <w:rPr>
                <w:sz w:val="18"/>
              </w:rPr>
              <w:t>The estimated value of the Trigger PLUS will be lower than the original issue price (price to public) of the 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34" w:type="dxa"/>
            <w:tcBorders/>
            <w:vAlign w:val="center"/>
          </w:tcPr>
          <w:p>
            <w:pPr>
              <w:pStyle w:val="TableContents"/>
              <w:bidi w:val="0"/>
              <w:spacing w:before="0" w:after="283"/>
              <w:jc w:val="left"/>
              <w:rPr>
                <w:sz w:val="18"/>
              </w:rPr>
            </w:pPr>
            <w:r>
              <w:rPr>
                <w:sz w:val="18"/>
              </w:rPr>
              <w:t>The estimated value of the Trigger PLUS does not represent future values of the Trigger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1"/>
        <w:gridCol w:w="170"/>
        <w:gridCol w:w="9984"/>
      </w:tblGrid>
      <w:tr>
        <w:trPr/>
        <w:tc>
          <w:tcPr>
            <w:tcW w:w="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4"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Trigger </w:t>
            </w:r>
            <w:r>
              <w:rPr>
                <w:rFonts w:ascii="Arial;Helvetica;Sans-Serif" w:hAnsi="Arial;Helvetica;Sans-Serif"/>
                <w:b w:val="false"/>
                <w:sz w:val="18"/>
              </w:rPr>
              <w:t>PLUS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Trigger </w:t>
            </w:r>
            <w:r>
              <w:rPr>
                <w:rFonts w:ascii="Arial;Helvetica;Sans-Serif" w:hAnsi="Arial;Helvetica;Sans-Serif"/>
                <w:b w:val="false"/>
                <w:sz w:val="18"/>
              </w:rPr>
              <w:t xml:space="preserve">PLUS as published by J.P. Morgan Securities LLC (and which may be reflected on customer account statements) may be higher than the then-current estimated value of the </w:t>
            </w:r>
            <w:r>
              <w:rPr>
                <w:sz w:val="18"/>
              </w:rPr>
              <w:t xml:space="preserve">Trigger </w:t>
            </w:r>
            <w:r>
              <w:rPr>
                <w:rFonts w:ascii="Arial;Helvetica;Sans-Serif" w:hAnsi="Arial;Helvetica;Sans-Serif"/>
                <w:b w:val="false"/>
                <w:sz w:val="18"/>
              </w:rPr>
              <w:t>PLUS for a limited time period.</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9" w:type="dxa"/>
            <w:tcBorders/>
            <w:vAlign w:val="center"/>
          </w:tcPr>
          <w:p>
            <w:pPr>
              <w:pStyle w:val="TableContents"/>
              <w:bidi w:val="0"/>
              <w:spacing w:before="0" w:after="283"/>
              <w:jc w:val="left"/>
              <w:rPr>
                <w:sz w:val="18"/>
              </w:rPr>
            </w:pPr>
            <w:r>
              <w:rPr>
                <w:sz w:val="18"/>
              </w:rPr>
              <w:t>Secondary market prices of the Trigger PLUS will likely be lower than the original issue price of the Trigger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Trigger </w:t>
            </w:r>
            <w:r>
              <w:rPr>
                <w:rFonts w:ascii="Arial;Helvetica;Sans-Serif" w:hAnsi="Arial;Helvetica;Sans-Serif"/>
                <w:b w:val="false"/>
                <w:sz w:val="18"/>
              </w:rPr>
              <w:t>PLUS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Index</w:t>
      </w:r>
    </w:p>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9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JPMorgan Chase &amp; Co. is currently one of the companies that make up the underlying index.</w:t>
            </w:r>
          </w:p>
        </w:tc>
      </w:tr>
    </w:tbl>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6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Investing in the Trigger PLUS is not equivalent to investing in the underlying index.</w:t>
            </w:r>
          </w:p>
        </w:tc>
      </w:tr>
    </w:tbl>
    <w:tbl>
      <w:tblPr>
        <w:tblW w:w="5000" w:type="pct"/>
        <w:jc w:val="left"/>
        <w:tblInd w:w="0" w:type="dxa"/>
        <w:tblLayout w:type="fixed"/>
        <w:tblCellMar>
          <w:top w:w="0" w:type="dxa"/>
          <w:left w:w="0" w:type="dxa"/>
          <w:bottom w:w="0" w:type="dxa"/>
          <w:right w:w="0" w:type="dxa"/>
        </w:tblCellMar>
      </w:tblPr>
      <w:tblGrid>
        <w:gridCol w:w="52"/>
        <w:gridCol w:w="172"/>
        <w:gridCol w:w="9981"/>
      </w:tblGrid>
      <w:tr>
        <w:trPr/>
        <w:tc>
          <w:tcPr>
            <w:tcW w:w="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8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Adjustments to the underlying index could adversely affect the value of the Trigger PLUS.</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pStyle w:val="TextBody"/>
        <w:bidi w:val="0"/>
        <w:spacing w:before="0" w:after="6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95140/ea0303606-01_424b2.htm" TargetMode="External"/><Relationship Id="rId3" Type="http://schemas.openxmlformats.org/officeDocument/2006/relationships/hyperlink" Target="http://www.sec.gov/Archives/edgar/data/19617/000121390026095140/ea0303606-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1240</Words>
  <Characters>6760</Characters>
  <CharactersWithSpaces>7861</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