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781-01_fwp.htm"/>
      <w:bookmarkStart w:id="1" w:name="ksea030578101_fwp"/>
      <w:bookmarkStart w:id="2" w:name="ea0305781-01_fwp.htm"/>
      <w:bookmarkStart w:id="3" w:name="ksea030578101_fwp"/>
      <w:bookmarkEnd w:id="2"/>
      <w:bookmarkEnd w:id="3"/>
    </w:p>
    <w:tbl>
      <w:tblPr>
        <w:tblW w:w="10205" w:type="dxa"/>
        <w:jc w:val="left"/>
        <w:tblInd w:w="0" w:type="dxa"/>
        <w:tblLayout w:type="fixed"/>
        <w:tblCellMar>
          <w:top w:w="0" w:type="dxa"/>
          <w:left w:w="0" w:type="dxa"/>
          <w:bottom w:w="0" w:type="dxa"/>
          <w:right w:w="0" w:type="dxa"/>
        </w:tblCellMar>
      </w:tblPr>
      <w:tblGrid>
        <w:gridCol w:w="6919"/>
        <w:gridCol w:w="3286"/>
      </w:tblGrid>
      <w:tr>
        <w:trPr/>
        <w:tc>
          <w:tcPr>
            <w:tcW w:w="6919"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86"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p>
            <w:pPr>
              <w:pStyle w:val="TableContents"/>
              <w:bidi w:val="0"/>
              <w:ind w:left="133" w:right="133" w:hanging="0"/>
              <w:jc w:val="right"/>
              <w:rPr>
                <w:caps w:val="false"/>
                <w:smallCaps w:val="false"/>
              </w:rPr>
            </w:pPr>
            <w:r>
              <w:rPr>
                <w:caps w:val="false"/>
                <w:smallCaps w:val="false"/>
              </w:rPr>
              <w:t> </w:t>
            </w:r>
          </w:p>
          <w:p>
            <w:pPr>
              <w:pStyle w:val="TableContents"/>
              <w:bidi w:val="0"/>
              <w:spacing w:before="0" w:after="283"/>
              <w:ind w:left="133" w:right="133" w:hanging="0"/>
              <w:jc w:val="right"/>
              <w:rPr>
                <w:caps w:val="false"/>
                <w:smallCaps w:val="false"/>
              </w:rPr>
            </w:pPr>
            <w:r>
              <w:rPr>
                <w:caps w:val="false"/>
                <w:smallCaps w:val="false"/>
              </w:rPr>
              <w:drawing>
                <wp:inline distT="0" distB="0" distL="0" distR="0">
                  <wp:extent cx="15240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23850"/>
                          </a:xfrm>
                          <a:prstGeom prst="rect">
                            <a:avLst/>
                          </a:prstGeom>
                        </pic:spPr>
                      </pic:pic>
                    </a:graphicData>
                  </a:graphic>
                </wp:inline>
              </w:drawing>
            </w: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Apple Inc. due September 21, 2028</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16, 2026 to Preliminary Pricing Supplement dated September 16,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888111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888111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0" w:type="dxa"/>
                                <w:right w:w="108" w:type="dxa"/>
                              </w:tblCellMar>
                            </w:tblPr>
                            <w:tblGrid>
                              <w:gridCol w:w="1074"/>
                              <w:gridCol w:w="9131"/>
                            </w:tblGrid>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Apple Inc. (Bloomberg ticker: AAPL)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23, 2026</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2028</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31" w:type="dxa"/>
                                  <w:tcBorders>
                                    <w:top w:val="single" w:sz="8" w:space="0" w:color="000000"/>
                                    <w:right w:val="single" w:sz="8" w:space="0" w:color="000000"/>
                                  </w:tcBorders>
                                  <w:tcMar>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coupon threshold price. In addition, if the stock closing price of the Underlying Stock on one or more calculation days is less than the coupon threshold price and, on a subsequent calculation day, the stock closing price of the Underlying Stock is greater than or equal to the coupon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8.25% per annum (to be provided in the pricing supplement)</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18</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2028.  We refer to September 18,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31" w:type="dxa"/>
                                  <w:tcBorders>
                                    <w:top w:val="single" w:sz="8" w:space="0" w:color="000000"/>
                                    <w:right w:val="single" w:sz="8" w:space="0" w:color="000000"/>
                                  </w:tcBorders>
                                  <w:tcMar>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5"/>
                                    </w:rPr>
                                    <w:t>If the ending price is greater than or equal to the downside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5"/>
                                    </w:rPr>
                                    <w:t>If the ending price is less than the downside threshold price:</w:t>
                                  </w:r>
                                </w:p>
                                <w:p>
                                  <w:pPr>
                                    <w:pStyle w:val="TableContents"/>
                                    <w:bidi w:val="0"/>
                                    <w:spacing w:before="60" w:after="40"/>
                                    <w:ind w:left="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3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9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0" w:type="dxa"/>
                          <w:right w:w="108" w:type="dxa"/>
                        </w:tblCellMar>
                      </w:tblPr>
                      <w:tblGrid>
                        <w:gridCol w:w="1074"/>
                        <w:gridCol w:w="9131"/>
                      </w:tblGrid>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Apple Inc. (Bloomberg ticker: AAPL)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23, 2026</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2028</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31" w:type="dxa"/>
                            <w:tcBorders>
                              <w:top w:val="single" w:sz="8" w:space="0" w:color="000000"/>
                              <w:right w:val="single" w:sz="8" w:space="0" w:color="000000"/>
                            </w:tcBorders>
                            <w:tcMar>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coupon threshold price. In addition, if the stock closing price of the Underlying Stock on one or more calculation days is less than the coupon threshold price and, on a subsequent calculation day, the stock closing price of the Underlying Stock is greater than or equal to the coupon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8.25% per annum (to be provided in the pricing supplement)</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18</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2028.  We refer to September 18,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31" w:type="dxa"/>
                            <w:tcBorders>
                              <w:top w:val="single" w:sz="8" w:space="0" w:color="000000"/>
                              <w:right w:val="single" w:sz="8" w:space="0" w:color="000000"/>
                            </w:tcBorders>
                            <w:tcMar>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5"/>
                              </w:rPr>
                              <w:t>If the ending price is greater than or equal to the downside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5"/>
                              </w:rPr>
                              <w:t>If the ending price is less than the downside threshold price:</w:t>
                            </w:r>
                          </w:p>
                          <w:p>
                            <w:pPr>
                              <w:pStyle w:val="TableContents"/>
                              <w:bidi w:val="0"/>
                              <w:spacing w:before="60" w:after="40"/>
                              <w:ind w:left="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74"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31"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74"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31"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426575"/>
                <wp:effectExtent l="0" t="0" r="0" b="0"/>
                <wp:wrapSquare wrapText="left"/>
                <wp:docPr id="3" name="Frame2"/>
                <a:graphic xmlns:a="http://schemas.openxmlformats.org/drawingml/2006/main">
                  <a:graphicData uri="http://schemas.microsoft.com/office/word/2010/wordprocessingShape">
                    <wps:wsp>
                      <wps:cNvSpPr txBox="1"/>
                      <wps:spPr>
                        <a:xfrm>
                          <a:off x="0" y="0"/>
                          <a:ext cx="3175000" cy="942657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0" w:type="dxa"/>
                                <w:right w:w="0" w:type="dxa"/>
                              </w:tblCellMar>
                            </w:tblPr>
                            <w:tblGrid>
                              <w:gridCol w:w="1249"/>
                              <w:gridCol w:w="8956"/>
                            </w:tblGrid>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Coupon Threshold Price:</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Downside Threshold Price:</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80% of the starting price</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46661PVU8</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249"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956" w:type="dxa"/>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6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rPr>
                            </w:pPr>
                            <w:r>
                              <w:rPr>
                                <w:caps w:val="false"/>
                                <w:smallCaps w:val="false"/>
                              </w:rPr>
                              <w:drawing>
                                <wp:inline distT="0" distB="0" distL="0" distR="0">
                                  <wp:extent cx="3343275" cy="21240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43275" cy="2124075"/>
                                          </a:xfrm>
                                          <a:prstGeom prst="rect">
                                            <a:avLst/>
                                          </a:prstGeom>
                                        </pic:spPr>
                                      </pic:pic>
                                    </a:graphicData>
                                  </a:graphic>
                                </wp:inline>
                              </w:drawing>
                            </w:r>
                          </w:p>
                          <w:p>
                            <w:pPr>
                              <w:pStyle w:val="TextBody"/>
                              <w:bidi w:val="0"/>
                              <w:spacing w:before="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downside threshold price, you will lose more than 20%, and possibly all, of the principal amount of your securities at maturity.</w:t>
                            </w:r>
                          </w:p>
                          <w:p>
                            <w:pPr>
                              <w:pStyle w:val="TextBody"/>
                              <w:bidi w:val="0"/>
                              <w:spacing w:before="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downside threshold price.</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$964.30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Preliminary Pricing Supplement:</w:t>
                            </w:r>
                          </w:p>
                          <w:p>
                            <w:pPr>
                              <w:pStyle w:val="TextBody"/>
                              <w:bidi w:val="0"/>
                              <w:spacing w:before="0" w:after="0"/>
                              <w:ind w:left="108" w:right="0" w:hanging="0"/>
                              <w:jc w:val="left"/>
                              <w:rPr/>
                            </w:pPr>
                            <w:hyperlink r:id="rId4">
                              <w:r>
                                <w:rPr>
                                  <w:rStyle w:val="InternetLink"/>
                                  <w:rFonts w:ascii="Georgia;Times;Serif" w:hAnsi="Georgia;Times;Serif"/>
                                  <w:b w:val="false"/>
                                  <w:i w:val="false"/>
                                  <w:caps w:val="false"/>
                                  <w:smallCaps w:val="false"/>
                                  <w:sz w:val="14"/>
                                </w:rPr>
                                <w:t>http://www.sec.gov/Archives/edgar/data/19617/000121390026100531/</w:t>
                                <w:br/>
                                <w:t>ea0305730-01_424b2.htm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2.2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0" w:type="dxa"/>
                          <w:right w:w="0" w:type="dxa"/>
                        </w:tblCellMar>
                      </w:tblPr>
                      <w:tblGrid>
                        <w:gridCol w:w="1249"/>
                        <w:gridCol w:w="8956"/>
                      </w:tblGrid>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Coupon Threshold Price:</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Downside Threshold Price:</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80% of the starting price</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46661PVU8</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49" w:type="dxa"/>
                            <w:tcBorders>
                              <w:top w:val="single" w:sz="8" w:space="0" w:color="000000"/>
                              <w:lef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8956" w:type="dxa"/>
                            <w:tcBorders>
                              <w:top w:val="single" w:sz="8" w:space="0" w:color="000000"/>
                              <w:left w:val="single" w:sz="8" w:space="0" w:color="000000"/>
                              <w:right w:val="single" w:sz="8" w:space="0" w:color="000000"/>
                            </w:tcBorders>
                            <w:tcMar>
                              <w:right w:w="10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249"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956" w:type="dxa"/>
                            <w:tcBorders>
                              <w:top w:val="single" w:sz="8" w:space="0" w:color="000000"/>
                              <w:left w:val="single" w:sz="8" w:space="0" w:color="000000"/>
                              <w:bottom w:val="single" w:sz="8" w:space="0" w:color="000000"/>
                              <w:right w:val="single" w:sz="8" w:space="0" w:color="000000"/>
                            </w:tcBorders>
                            <w:tcMar>
                              <w:bottom w:w="28" w:type="dxa"/>
                              <w:right w:w="10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6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rPr>
                      </w:pPr>
                      <w:r>
                        <w:rPr>
                          <w:caps w:val="false"/>
                          <w:smallCaps w:val="false"/>
                        </w:rPr>
                        <w:drawing>
                          <wp:inline distT="0" distB="0" distL="0" distR="0">
                            <wp:extent cx="3343275" cy="2124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43275" cy="2124075"/>
                                    </a:xfrm>
                                    <a:prstGeom prst="rect">
                                      <a:avLst/>
                                    </a:prstGeom>
                                  </pic:spPr>
                                </pic:pic>
                              </a:graphicData>
                            </a:graphic>
                          </wp:inline>
                        </w:drawing>
                      </w:r>
                    </w:p>
                    <w:p>
                      <w:pPr>
                        <w:pStyle w:val="TextBody"/>
                        <w:bidi w:val="0"/>
                        <w:spacing w:before="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downside threshold price, you will lose more than 20%, and possibly all, of the principal amount of your securities at maturity.</w:t>
                      </w:r>
                    </w:p>
                    <w:p>
                      <w:pPr>
                        <w:pStyle w:val="TextBody"/>
                        <w:bidi w:val="0"/>
                        <w:spacing w:before="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downside threshold price.</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$964.30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Preliminary Pricing Supplement:</w:t>
                      </w:r>
                    </w:p>
                    <w:p>
                      <w:pPr>
                        <w:pStyle w:val="TextBody"/>
                        <w:bidi w:val="0"/>
                        <w:spacing w:before="0" w:after="0"/>
                        <w:ind w:left="108" w:right="0" w:hanging="0"/>
                        <w:jc w:val="left"/>
                        <w:rPr/>
                      </w:pPr>
                      <w:hyperlink r:id="rId6">
                        <w:r>
                          <w:rPr>
                            <w:rStyle w:val="InternetLink"/>
                            <w:rFonts w:ascii="Georgia;Times;Serif" w:hAnsi="Georgia;Times;Serif"/>
                            <w:b w:val="false"/>
                            <w:i w:val="false"/>
                            <w:caps w:val="false"/>
                            <w:smallCaps w:val="false"/>
                            <w:sz w:val="14"/>
                          </w:rPr>
                          <w:t>http://www.sec.gov/Archives/edgar/data/19617/000121390026100531/</w:t>
                          <w:br/>
                          <w:t>ea0305730-01_424b2.htm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521"/>
        <w:gridCol w:w="5684"/>
      </w:tblGrid>
      <w:tr>
        <w:trPr/>
        <w:tc>
          <w:tcPr>
            <w:tcW w:w="4521"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Not Automatically Called and the Ending Price Is Less Than the Downside Threshold Price, You Will Lose More Than 20%,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Benefit Provided by the Downside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68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ind w:left="0" w:right="0" w:hanging="0"/>
        <w:jc w:val="left"/>
        <w:rPr>
          <w:caps w:val="false"/>
          <w:smallCaps w:val="false"/>
          <w:color w:val="8F8F8F"/>
        </w:rPr>
      </w:pPr>
      <w:r>
        <w:rPr>
          <w:caps w:val="false"/>
          <w:smallCaps w:val="false"/>
          <w:color w:val="8F8F8F"/>
        </w:rPr>
        <w:t> </w:t>
      </w:r>
    </w:p>
    <w:p>
      <w:pPr>
        <w:pStyle w:val="TextBody"/>
        <w:bidi w:val="0"/>
        <w:spacing w:before="0" w:after="120"/>
        <w:ind w:left="0" w:right="0" w:hanging="0"/>
        <w:jc w:val="left"/>
        <w:rPr>
          <w:caps w:val="false"/>
          <w:smallCaps w:val="false"/>
          <w:color w:val="8F8F8F"/>
        </w:rPr>
      </w:pPr>
      <w:r>
        <w:rPr>
          <w:caps w:val="false"/>
          <w:smallCaps w:val="false"/>
          <w:color w:val="8F8F8F"/>
        </w:rPr>
        <w:t> </w:t>
      </w:r>
    </w:p>
    <w:p>
      <w:pPr>
        <w:pStyle w:val="TextBody"/>
        <w:bidi w:val="0"/>
        <w:spacing w:before="0" w:after="120"/>
        <w:ind w:left="0" w:right="0" w:hanging="0"/>
        <w:jc w:val="left"/>
        <w:rPr>
          <w:caps w:val="false"/>
          <w:smallCaps w:val="false"/>
          <w:color w:val="8F8F8F"/>
        </w:rPr>
      </w:pPr>
      <w:r>
        <w:rPr>
          <w:caps w:val="false"/>
          <w:smallCaps w:val="false"/>
          <w:color w:val="8F8F8F"/>
        </w:rPr>
        <w:t> </w:t>
      </w:r>
    </w:p>
    <w:p>
      <w:pPr>
        <w:pStyle w:val="TextBody"/>
        <w:bidi w:val="0"/>
        <w:spacing w:before="0" w:after="120"/>
        <w:ind w:left="0" w:right="0" w:hanging="0"/>
        <w:jc w:val="left"/>
        <w:rPr>
          <w:caps w:val="false"/>
          <w:smallCaps w:val="false"/>
          <w:color w:val="8F8F8F"/>
        </w:rPr>
      </w:pPr>
      <w:r>
        <w:rPr>
          <w:caps w:val="false"/>
          <w:smallCaps w:val="false"/>
          <w:color w:val="8F8F8F"/>
        </w:rPr>
        <w:t> </w:t>
      </w:r>
    </w:p>
    <w:p>
      <w:pPr>
        <w:pStyle w:val="TextBody"/>
        <w:bidi w:val="0"/>
        <w:spacing w:before="0" w:after="120"/>
        <w:ind w:left="0" w:right="0" w:hanging="0"/>
        <w:jc w:val="left"/>
        <w:rPr>
          <w:caps w:val="false"/>
          <w:smallCaps w:val="false"/>
          <w:color w:val="8F8F8F"/>
        </w:rPr>
      </w:pPr>
      <w:r>
        <w:rPr>
          <w:caps w:val="false"/>
          <w:smallCaps w:val="false"/>
          <w:color w:val="8F8F8F"/>
        </w:rPr>
        <w:t> </w:t>
      </w:r>
    </w:p>
    <w:p>
      <w:pPr>
        <w:pStyle w:val="TextBody"/>
        <w:bidi w:val="0"/>
        <w:spacing w:before="0" w:after="120"/>
        <w:ind w:left="0" w:right="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8F8F8F"/>
        </w:rPr>
      </w:pPr>
      <w:r>
        <w:rPr>
          <w:caps w:val="false"/>
          <w:smallCaps w:val="false"/>
          <w:color w:val="8F8F8F"/>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0531/ea0305730-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0531/ea0305730-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1665</Words>
  <Characters>8998</Characters>
  <CharactersWithSpaces>10741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