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973-01_fwp.htm"/>
      <w:bookmarkStart w:id="1" w:name="ksea030597301_fwp"/>
      <w:bookmarkStart w:id="2" w:name="ea0305973-01_fwp.htm"/>
      <w:bookmarkStart w:id="3" w:name="ksea030597301_fwp"/>
      <w:bookmarkEnd w:id="2"/>
      <w:bookmarkEnd w:id="3"/>
    </w:p>
    <w:tbl>
      <w:tblPr>
        <w:tblW w:w="10205" w:type="dxa"/>
        <w:jc w:val="left"/>
        <w:tblInd w:w="0" w:type="dxa"/>
        <w:tblLayout w:type="fixed"/>
        <w:tblCellMar>
          <w:top w:w="0" w:type="dxa"/>
          <w:left w:w="0" w:type="dxa"/>
          <w:bottom w:w="0" w:type="dxa"/>
          <w:right w:w="0" w:type="dxa"/>
        </w:tblCellMar>
      </w:tblPr>
      <w:tblGrid>
        <w:gridCol w:w="7036"/>
        <w:gridCol w:w="3169"/>
      </w:tblGrid>
      <w:tr>
        <w:trPr/>
        <w:tc>
          <w:tcPr>
            <w:tcW w:w="7036"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9"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w:t>
            </w:r>
            <w:r>
              <w:rPr>
                <w:rFonts w:ascii="Verdana;Helvetica;Sans-Serif" w:hAnsi="Verdana;Helvetica;Sans-Serif"/>
                <w:b w:val="false"/>
                <w:i w:val="false"/>
                <w:caps w:val="false"/>
                <w:smallCaps w:val="false"/>
                <w:sz w:val="14"/>
                <w:shd w:fill="FFFFFF" w:val="clear"/>
              </w:rPr>
              <w:t>333-293684 and</w:t>
              <w:br/>
              <w:t>333-293684-01</w:t>
            </w:r>
          </w:p>
        </w:tc>
      </w:tr>
      <w:tr>
        <w:trPr/>
        <w:tc>
          <w:tcPr>
            <w:tcW w:w="7036" w:type="dxa"/>
            <w:vMerge w:val="continue"/>
            <w:tcBorders/>
            <w:vAlign w:val="center"/>
          </w:tcPr>
          <w:p>
            <w:pPr>
              <w:pStyle w:val="Normal"/>
              <w:bidi w:val="0"/>
              <w:jc w:val="left"/>
              <w:rPr/>
            </w:pPr>
            <w:r>
              <w:rPr/>
            </w:r>
          </w:p>
        </w:tc>
        <w:tc>
          <w:tcPr>
            <w:tcW w:w="3169"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Securities—Callable with Contingent Coupon with Daily Observation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Nasdaq-100 Index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the Russell 2000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due September 26,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18, 2026 to Preliminary Pricing Supplement dated September 17, 2026</w:t>
            </w:r>
          </w:p>
        </w:tc>
      </w:tr>
    </w:tbl>
    <w:p>
      <w:pPr>
        <w:pStyle w:val="TextBody"/>
        <w:bidi w:val="0"/>
        <w:spacing w:before="0" w:after="20"/>
        <w:ind w:left="72"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18718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18718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791"/>
                              <w:gridCol w:w="8414"/>
                            </w:tblGrid>
                            <w:tr>
                              <w:trPr/>
                              <w:tc>
                                <w:tcPr>
                                  <w:tcW w:w="17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4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21,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26, 2029</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With respect to each observation period, you will receive on the related contingent coupon payment date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closing level of the lowest performing Index on each eligible trading day during that observation period is greater than or equal to its coupon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observation period end-date,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observation period will be the stated maturity 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41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11.50% per annum (to be provided in the pricing supplement)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Optional Redemption:</w:t>
                                  </w:r>
                                </w:p>
                              </w:tc>
                              <w:tc>
                                <w:tcPr>
                                  <w:tcW w:w="8414"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 xml:space="preserve">We may, at our option, redeem the securities, in whole but not in part, on any optional redemption date.  If we elect to redeem the securities prior to the stated maturity date, you will be entitled to receive on the applicable optional redemption date a cash payment per security in U.S. dollars equal to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any contingent coupon payment otherwise due.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Observation Period End-Dates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rPr>
                                    <w:t>Quarterly, on the 21</w:t>
                                  </w:r>
                                  <w:r>
                                    <w:rPr>
                                      <w:rFonts w:ascii="Georgia;Times;Serif" w:hAnsi="Georgia;Times;Serif"/>
                                      <w:b w:val="false"/>
                                      <w:i w:val="false"/>
                                      <w:caps w:val="false"/>
                                      <w:smallCaps w:val="false"/>
                                      <w:position w:val="5"/>
                                      <w:sz w:val="13"/>
                                      <w:sz w:val="16"/>
                                    </w:rPr>
                                    <w:t>st</w:t>
                                  </w:r>
                                  <w:r>
                                    <w:rPr>
                                      <w:rFonts w:ascii="Georgia;Times;Serif" w:hAnsi="Georgia;Times;Serif"/>
                                      <w:b w:val="false"/>
                                      <w:i w:val="false"/>
                                      <w:caps w:val="false"/>
                                      <w:smallCaps w:val="false"/>
                                      <w:sz w:val="16"/>
                                    </w:rPr>
                                    <w:t xml:space="preserve"> day of each March, June, September and December, commencing December 2026 and ending September 2029.</w:t>
                                  </w:r>
                                  <w:r>
                                    <w:rPr>
                                      <w:rFonts w:ascii="Times New Roman;Times;Serif" w:hAnsi="Times New Roman;Times;Serif"/>
                                      <w:b w:val="false"/>
                                      <w:i w:val="false"/>
                                      <w:caps w:val="false"/>
                                      <w:smallCaps w:val="false"/>
                                      <w:sz w:val="24"/>
                                    </w:rPr>
                                    <w:t xml:space="preserve">  </w:t>
                                  </w:r>
                                  <w:r>
                                    <w:rPr>
                                      <w:rFonts w:ascii="Georgia;Times;Serif" w:hAnsi="Georgia;Times;Serif"/>
                                      <w:b w:val="false"/>
                                      <w:i w:val="false"/>
                                      <w:caps w:val="false"/>
                                      <w:smallCaps w:val="false"/>
                                      <w:sz w:val="16"/>
                                    </w:rPr>
                                    <w:t>We refer to September 21,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Observation Periods: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Each observation period will consist of each day that is a trading day for at least one Index (each such day, an “</w:t>
                                  </w:r>
                                  <w:r>
                                    <w:rPr>
                                      <w:rFonts w:ascii="Georgia;Times;Serif" w:hAnsi="Georgia;Times;Serif"/>
                                      <w:b w:val="false"/>
                                      <w:i w:val="false"/>
                                      <w:caps w:val="false"/>
                                      <w:smallCaps w:val="false"/>
                                      <w:sz w:val="16"/>
                                      <w:u w:val="single"/>
                                    </w:rPr>
                                    <w:t>eligible trading day</w:t>
                                  </w:r>
                                  <w:r>
                                    <w:rPr>
                                      <w:rFonts w:ascii="Georgia;Times;Serif" w:hAnsi="Georgia;Times;Serif"/>
                                      <w:b w:val="false"/>
                                      <w:i w:val="false"/>
                                      <w:caps w:val="false"/>
                                      <w:smallCaps w:val="false"/>
                                      <w:sz w:val="16"/>
                                    </w:rPr>
                                    <w:t>”) from but excluding an observation period end-date to and including the following observation period end-date, provided that the first observation period will consist of each eligible trading day from but excluding the pricing date to and including the first observation period end-date.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Optional Redemption-Dates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contingent coupon payment dates following each observation period end-date scheduled to occur from December 2026 to June 2029, inclusive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we do not redeem the securities prior to the stated maturity date:</w:t>
                                  </w:r>
                                </w:p>
                                <w:p>
                                  <w:pPr>
                                    <w:pStyle w:val="TableContents"/>
                                    <w:bidi w:val="0"/>
                                    <w:spacing w:before="0" w:after="40"/>
                                    <w:ind w:left="188" w:right="0" w:hanging="202"/>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downside threshold level: $1,000; or</w:t>
                                  </w:r>
                                </w:p>
                                <w:p>
                                  <w:pPr>
                                    <w:pStyle w:val="TableContents"/>
                                    <w:bidi w:val="0"/>
                                    <w:spacing w:before="60" w:after="40"/>
                                    <w:ind w:left="188" w:right="60" w:hanging="202"/>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downside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eligible trading day during an observation period (including the final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eligible trading day and that has not been disregarded due to a market disruption event or non-trading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791"/>
                        <w:gridCol w:w="8414"/>
                      </w:tblGrid>
                      <w:tr>
                        <w:trPr/>
                        <w:tc>
                          <w:tcPr>
                            <w:tcW w:w="17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4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21,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26, 2029</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With respect to each observation period, you will receive on the related contingent coupon payment date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closing level of the lowest performing Index on each eligible trading day during that observation period is greater than or equal to its coupon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observation period end-date,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observation period will be the stated maturity 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41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11.50% per annum (to be provided in the pricing supplement)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Optional Redemption:</w:t>
                            </w:r>
                          </w:p>
                        </w:tc>
                        <w:tc>
                          <w:tcPr>
                            <w:tcW w:w="8414"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 xml:space="preserve">We may, at our option, redeem the securities, in whole but not in part, on any optional redemption date.  If we elect to redeem the securities prior to the stated maturity date, you will be entitled to receive on the applicable optional redemption date a cash payment per security in U.S. dollars equal to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any contingent coupon payment otherwise due.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Observation Period End-Dates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Georgia;Times;Serif" w:hAnsi="Georgia;Times;Serif"/>
                                <w:b w:val="false"/>
                                <w:i w:val="false"/>
                                <w:caps w:val="false"/>
                                <w:smallCaps w:val="false"/>
                                <w:sz w:val="16"/>
                              </w:rPr>
                              <w:t>Quarterly, on the 21</w:t>
                            </w:r>
                            <w:r>
                              <w:rPr>
                                <w:rFonts w:ascii="Georgia;Times;Serif" w:hAnsi="Georgia;Times;Serif"/>
                                <w:b w:val="false"/>
                                <w:i w:val="false"/>
                                <w:caps w:val="false"/>
                                <w:smallCaps w:val="false"/>
                                <w:position w:val="5"/>
                                <w:sz w:val="13"/>
                                <w:sz w:val="16"/>
                              </w:rPr>
                              <w:t>st</w:t>
                            </w:r>
                            <w:r>
                              <w:rPr>
                                <w:rFonts w:ascii="Georgia;Times;Serif" w:hAnsi="Georgia;Times;Serif"/>
                                <w:b w:val="false"/>
                                <w:i w:val="false"/>
                                <w:caps w:val="false"/>
                                <w:smallCaps w:val="false"/>
                                <w:sz w:val="16"/>
                              </w:rPr>
                              <w:t xml:space="preserve"> day of each March, June, September and December, commencing December 2026 and ending September 2029.</w:t>
                            </w:r>
                            <w:r>
                              <w:rPr>
                                <w:rFonts w:ascii="Times New Roman;Times;Serif" w:hAnsi="Times New Roman;Times;Serif"/>
                                <w:b w:val="false"/>
                                <w:i w:val="false"/>
                                <w:caps w:val="false"/>
                                <w:smallCaps w:val="false"/>
                                <w:sz w:val="24"/>
                              </w:rPr>
                              <w:t xml:space="preserve">  </w:t>
                            </w:r>
                            <w:r>
                              <w:rPr>
                                <w:rFonts w:ascii="Georgia;Times;Serif" w:hAnsi="Georgia;Times;Serif"/>
                                <w:b w:val="false"/>
                                <w:i w:val="false"/>
                                <w:caps w:val="false"/>
                                <w:smallCaps w:val="false"/>
                                <w:sz w:val="16"/>
                              </w:rPr>
                              <w:t>We refer to September 21,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Observation Periods: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Each observation period will consist of each day that is a trading day for at least one Index (each such day, an “</w:t>
                            </w:r>
                            <w:r>
                              <w:rPr>
                                <w:rFonts w:ascii="Georgia;Times;Serif" w:hAnsi="Georgia;Times;Serif"/>
                                <w:b w:val="false"/>
                                <w:i w:val="false"/>
                                <w:caps w:val="false"/>
                                <w:smallCaps w:val="false"/>
                                <w:sz w:val="16"/>
                                <w:u w:val="single"/>
                              </w:rPr>
                              <w:t>eligible trading day</w:t>
                            </w:r>
                            <w:r>
                              <w:rPr>
                                <w:rFonts w:ascii="Georgia;Times;Serif" w:hAnsi="Georgia;Times;Serif"/>
                                <w:b w:val="false"/>
                                <w:i w:val="false"/>
                                <w:caps w:val="false"/>
                                <w:smallCaps w:val="false"/>
                                <w:sz w:val="16"/>
                              </w:rPr>
                              <w:t>”) from but excluding an observation period end-date to and including the following observation period end-date, provided that the first observation period will consist of each eligible trading day from but excluding the pricing date to and including the first observation period end-date.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Optional Redemption-Dates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contingent coupon payment dates following each observation period end-date scheduled to occur from December 2026 to June 2029, inclusive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we do not redeem the securities prior to the stated maturity date:</w:t>
                            </w:r>
                          </w:p>
                          <w:p>
                            <w:pPr>
                              <w:pStyle w:val="TableContents"/>
                              <w:bidi w:val="0"/>
                              <w:spacing w:before="0" w:after="40"/>
                              <w:ind w:left="188" w:right="0" w:hanging="202"/>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downside threshold level: $1,000; or</w:t>
                            </w:r>
                          </w:p>
                          <w:p>
                            <w:pPr>
                              <w:pStyle w:val="TableContents"/>
                              <w:bidi w:val="0"/>
                              <w:spacing w:before="60" w:after="40"/>
                              <w:ind w:left="188" w:right="60" w:hanging="202"/>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downside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eligible trading day during an observation period (including the final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eligible trading day and that has not been disregarded due to a market disruption event or non-trading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344"/>
                              <w:gridCol w:w="8861"/>
                            </w:tblGrid>
                            <w:tr>
                              <w:trPr/>
                              <w:tc>
                                <w:tcPr>
                                  <w:tcW w:w="134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eligible trading day during an observation period, (closing level on that day – starting level) /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60% of its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46661PXK8</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1.25% of WFS’s fee, and WFA may also receive a distribution expense fee of 0.075%.  In addition, in respect of certain securities sold in this offering, JPMS may pay a fee of up to 0.10% to selected dealers in consideration for marketing and other services in connection with the distribution of the securities to other dealers.</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152775" cy="17716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52775" cy="17716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downside threshold level.</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$964.20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80" w:after="40"/>
                              <w:ind w:left="80" w:right="80" w:hanging="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http://www.sec.gov/Archives/edgar/data/19617/000121390026101217/</w:t>
                                <w:br/>
                                <w:t>ea0305914-01_424b2.htm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344"/>
                        <w:gridCol w:w="8861"/>
                      </w:tblGrid>
                      <w:tr>
                        <w:trPr/>
                        <w:tc>
                          <w:tcPr>
                            <w:tcW w:w="134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eligible trading day during an observation period, (closing level on that day – starting level) /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Level:</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60% of its starting level</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46661PXK8</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1.25% of WFS’s fee, and WFA may also receive a distribution expense fee of 0.075%.  In addition, in respect of certain securities sold in this offering, JPMS may pay a fee of up to 0.10% to selected dealers in consideration for marketing and other services in connection with the distribution of the securities to other dealers.</w:t>
                            </w:r>
                          </w:p>
                        </w:tc>
                      </w:tr>
                      <w:tr>
                        <w:trPr/>
                        <w:tc>
                          <w:tcPr>
                            <w:tcW w:w="13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152775" cy="17716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52775" cy="17716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downside threshold level.</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$964.20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80" w:after="40"/>
                        <w:ind w:left="80" w:right="80" w:hanging="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http://www.sec.gov/Archives/edgar/data/19617/000121390026101217/</w:t>
                          <w:br/>
                          <w:t>ea0305914-01_424b2.htm</w:t>
                        </w:r>
                      </w:hyperlink>
                    </w:p>
                  </w:txbxContent>
                </v:textbox>
                <w10:wrap type="square" side="left"/>
              </v:rect>
            </w:pict>
          </mc:Fallback>
        </mc:AlternateContent>
      </w:r>
    </w:p>
    <w:p>
      <w:pPr>
        <w:pStyle w:val="TextBody"/>
        <w:bidi w:val="0"/>
        <w:spacing w:before="0" w:after="20"/>
        <w:ind w:left="72"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bidi w:val="0"/>
        <w:jc w:val="left"/>
        <w:rPr>
          <w:bdr w:val="single" w:sz="8" w:space="1" w:color="7F7F7F"/>
        </w:rPr>
      </w:pPr>
      <w:r>
        <w:rPr>
          <w:bdr w:val="single" w:sz="8" w:space="1" w:color="7F7F7F"/>
        </w:rPr>
        <w:t> </w:t>
      </w:r>
    </w:p>
    <w:p>
      <w:pPr>
        <w:pStyle w:val="TextBody"/>
        <w:bidi w:val="0"/>
        <w:spacing w:before="0" w:after="40"/>
        <w:ind w:left="72"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311"/>
        <w:gridCol w:w="4894"/>
      </w:tblGrid>
      <w:tr>
        <w:trPr/>
        <w:tc>
          <w:tcPr>
            <w:tcW w:w="531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Index.</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Whether You Receive a Contingent Coupon Payment on a Contingent Coupon Payment Date Will Depend on the Closing Level of the Lowest Performing Index on Each Eligible Trading Day During the Related Observation Period.</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You Will Be Subject to Reinvestment Risk and Our Redemption Right May Limit Your Potential to Receive Contingent Coupon Payments.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Downside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U.S. Federal Tax Consequences of the Securities Are Uncertain, and May Be Adverse to a Holder of the Securities</w:t>
            </w:r>
            <w:r>
              <w:rPr>
                <w:rFonts w:ascii="Georgia;Times;Serif" w:hAnsi="Georgia;Times;Serif"/>
                <w:b/>
                <w:i w:val="false"/>
                <w:caps w:val="false"/>
                <w:smallCaps w:val="false"/>
                <w:sz w:val="18"/>
              </w:rPr>
              <w: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489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Securities Are Subject to Non-U.S. Securities Risk with Respect to the Nasdaq-100 Index</w:t>
            </w:r>
            <w:r>
              <w:rPr>
                <w:rFonts w:ascii="Georgia;Times;Serif" w:hAnsi="Georgia;Times;Serif"/>
                <w:b/>
                <w:i w:val="false"/>
                <w:caps w:val="false"/>
                <w:smallCaps w:val="false"/>
                <w:position w:val="6"/>
                <w:sz w:val="14"/>
                <w:sz w:val="18"/>
                <w:shd w:fill="FFFFFF" w:val="clear"/>
              </w:rPr>
              <w:t xml:space="preserve">® </w:t>
            </w:r>
            <w:r>
              <w:rPr>
                <w:rFonts w:ascii="Georgia;Times;Serif" w:hAnsi="Georgia;Times;Serif"/>
                <w:b/>
                <w:i w:val="false"/>
                <w:caps w:val="false"/>
                <w:smallCaps w:val="false"/>
                <w:sz w:val="18"/>
                <w:shd w:fill="FFFFFF" w:val="clear"/>
              </w:rPr>
              <w:t>and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An Investment in the Securities Is Subject to Risks </w:t>
            </w:r>
            <w:r>
              <w:rPr>
                <w:rFonts w:ascii="Georgia;Times;Serif" w:hAnsi="Georgia;Times;Serif"/>
                <w:b/>
                <w:i w:val="false"/>
                <w:caps w:val="false"/>
                <w:smallCaps w:val="false"/>
                <w:sz w:val="18"/>
              </w:rPr>
              <w:t xml:space="preserve">Associated </w:t>
            </w:r>
            <w:r>
              <w:rPr>
                <w:rFonts w:ascii="Georgia;Times;Serif" w:hAnsi="Georgia;Times;Serif"/>
                <w:b/>
                <w:i w:val="false"/>
                <w:caps w:val="false"/>
                <w:smallCaps w:val="false"/>
                <w:sz w:val="18"/>
                <w:shd w:fill="FFFFFF" w:val="clear"/>
              </w:rPr>
              <w:t>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Direct Exposure to Fluctuations in Foreign Exchange Rates with Respect to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Index and Therefore the Securities Are Subject to the Risks Associated with Each Index,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300" w:after="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caps w:val="false"/>
          <w:smallCaps w:val="false"/>
          <w:color w:val="8F8F8F"/>
        </w:rPr>
      </w:pPr>
      <w:r>
        <w:rPr>
          <w:caps w:val="false"/>
          <w:smallCaps w:val="false"/>
          <w:color w:val="8F8F8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300" w:after="120"/>
        <w:ind w:left="300" w:right="30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1217/ea0305914-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1217/ea0305914-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1942</Words>
  <Characters>10388</Characters>
  <CharactersWithSpaces>12372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