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September 30, 2026  Final Review Date:   October 1, 2029  Maturity Date:   October 4, 2029  Autocall Review Dates:   Quarterly  Interest Review Dates:   Monthly  Contingent Interest Rate:   At least 9.25%* per annum, paid monthly at a rate of at least 0.77083%*, if applicable  Interest Barrier/Trigger Value :   With respect to each Underlying, an amount that represents 70.00% of its Initial Value  CUSIP:   46661MUX0  Preliminary Pricing Supplement:   http://sp.jpmorgan.com/document/cusip/46661MUX0/doctype/Product_Termsheet/document.pdf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9.25% per annum Contingent Interest Rate)  60.00%   $1,007.7083  40.00%   $1,007.7083  20.00%   $1,007.7083  5.00%   $1,007.7083  0.00%   $1,007.7083  -5.00%   $1,007.7083  -20.00%   $1,007.7083  -30.00%   $1,007.7083  -30.01%   $699.9000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$7.7083 (equivalent to a Contingent Interest Rate of at least 9.25% per annum, payable at a rate of at least 0.77083%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8132</Characters>
  <CharactersWithSpaces>9879</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