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rFonts w:ascii="Arial;Helvetica;Sans-Serif" w:hAnsi="Arial;Helvetica;Sans-Serif"/>
          <w:b/>
          <w:i w:val="false"/>
          <w:caps w:val="false"/>
          <w:smallCaps w:val="false"/>
          <w:color w:val="808080"/>
          <w:sz w:val="24"/>
        </w:rPr>
      </w:pPr>
      <w:bookmarkStart w:id="0" w:name="ea0299973-01_fwp.htm"/>
      <w:bookmarkStart w:id="1" w:name="ksea029997301_fwp"/>
      <w:bookmarkEnd w:id="0"/>
      <w:bookmarkEnd w:id="1"/>
      <w:r>
        <w:rPr>
          <w:rFonts w:ascii="Arial;Helvetica;Sans-Serif" w:hAnsi="Arial;Helvetica;Sans-Serif"/>
          <w:b/>
          <w:i w:val="false"/>
          <w:caps w:val="false"/>
          <w:smallCaps w:val="false"/>
          <w:color w:val="808080"/>
          <w:sz w:val="24"/>
        </w:rPr>
        <w:t>JPMorgan Chase Financial Company LLC</w:t>
      </w:r>
    </w:p>
    <w:p>
      <w:pPr>
        <w:pStyle w:val="TextBody"/>
        <w:bidi w:val="0"/>
        <w:jc w:val="right"/>
        <w:rPr>
          <w:rFonts w:ascii="Arial;Helvetica;Sans-Serif" w:hAnsi="Arial;Helvetica;Sans-Serif"/>
          <w:b w:val="false"/>
          <w:i w:val="false"/>
          <w:caps w:val="false"/>
          <w:smallCaps w:val="false"/>
          <w:color w:val="808080"/>
          <w:sz w:val="16"/>
        </w:rPr>
      </w:pPr>
      <w:r>
        <w:rPr>
          <w:rFonts w:ascii="Arial;Helvetica;Sans-Serif" w:hAnsi="Arial;Helvetica;Sans-Serif"/>
          <w:b w:val="false"/>
          <w:i w:val="false"/>
          <w:caps w:val="false"/>
          <w:smallCaps w:val="false"/>
          <w:color w:val="808080"/>
          <w:sz w:val="16"/>
        </w:rPr>
        <w:t>Free Writing Prospectus Filed Pursuant to Rule 433</w:t>
      </w:r>
    </w:p>
    <w:p>
      <w:pPr>
        <w:pStyle w:val="TextBody"/>
        <w:bidi w:val="0"/>
        <w:jc w:val="right"/>
        <w:rPr>
          <w:rFonts w:ascii="Arial;Helvetica;Sans-Serif" w:hAnsi="Arial;Helvetica;Sans-Serif"/>
          <w:b w:val="false"/>
          <w:i w:val="false"/>
          <w:caps w:val="false"/>
          <w:smallCaps w:val="false"/>
          <w:color w:val="808080"/>
          <w:sz w:val="16"/>
        </w:rPr>
      </w:pPr>
      <w:r>
        <w:rPr>
          <w:rFonts w:ascii="Arial;Helvetica;Sans-Serif" w:hAnsi="Arial;Helvetica;Sans-Serif"/>
          <w:b w:val="false"/>
          <w:i w:val="false"/>
          <w:caps w:val="false"/>
          <w:smallCaps w:val="false"/>
          <w:color w:val="808080"/>
          <w:sz w:val="16"/>
        </w:rPr>
        <w:t>Registration Statement Nos. 333-293684 and 333-293684-01</w:t>
      </w:r>
    </w:p>
    <w:p>
      <w:pPr>
        <w:pStyle w:val="TextBody"/>
        <w:bidi w:val="0"/>
        <w:jc w:val="right"/>
        <w:rPr>
          <w:rFonts w:ascii="Arial;Helvetica;Sans-Serif" w:hAnsi="Arial;Helvetica;Sans-Serif"/>
          <w:b w:val="false"/>
          <w:i w:val="false"/>
          <w:caps w:val="false"/>
          <w:smallCaps w:val="false"/>
          <w:color w:val="808080"/>
          <w:sz w:val="16"/>
        </w:rPr>
      </w:pPr>
      <w:r>
        <w:rPr>
          <w:rFonts w:ascii="Arial;Helvetica;Sans-Serif" w:hAnsi="Arial;Helvetica;Sans-Serif"/>
          <w:b w:val="false"/>
          <w:i w:val="false"/>
          <w:caps w:val="false"/>
          <w:smallCaps w:val="false"/>
          <w:color w:val="808080"/>
          <w:sz w:val="16"/>
        </w:rPr>
        <w:t>Dated July 30, 2026</w:t>
      </w:r>
    </w:p>
    <w:p>
      <w:pPr>
        <w:pStyle w:val="TextBody"/>
        <w:pBdr>
          <w:bottom w:val="single" w:sz="4" w:space="1" w:color="296DC1"/>
        </w:pBdr>
        <w:bidi w:val="0"/>
        <w:jc w:val="left"/>
        <w:rPr>
          <w:rFonts w:ascii="Arial;Helvetica;Sans-Serif" w:hAnsi="Arial;Helvetica;Sans-Serif"/>
          <w:b w:val="false"/>
          <w:i w:val="false"/>
          <w:caps w:val="false"/>
          <w:smallCaps w:val="false"/>
          <w:color w:val="296DC1"/>
          <w:sz w:val="32"/>
        </w:rPr>
      </w:pPr>
      <w:r>
        <w:rPr>
          <w:rFonts w:ascii="Arial;Helvetica;Sans-Serif" w:hAnsi="Arial;Helvetica;Sans-Serif"/>
          <w:b w:val="false"/>
          <w:i w:val="false"/>
          <w:caps w:val="false"/>
          <w:smallCaps w:val="false"/>
          <w:color w:val="296DC1"/>
          <w:sz w:val="32"/>
        </w:rPr>
        <w:t>15.5-Month RTY PLUS</w:t>
      </w:r>
    </w:p>
    <w:p>
      <w:pPr>
        <w:pStyle w:val="TextBody"/>
        <w:bidi w:val="0"/>
        <w:spacing w:before="0" w:after="0"/>
        <w:ind w:left="86" w:right="0" w:hanging="0"/>
        <w:jc w:val="left"/>
        <w:rPr>
          <w:rFonts w:ascii="Arial;Helvetica;Sans-Serif" w:hAnsi="Arial;Helvetica;Sans-Serif"/>
          <w:b/>
          <w:i/>
          <w:caps w:val="false"/>
          <w:smallCaps w:val="false"/>
          <w:sz w:val="18"/>
        </w:rPr>
      </w:pPr>
      <w:r>
        <w:rPr>
          <w:rFonts w:ascii="Arial;Helvetica;Sans-Serif" w:hAnsi="Arial;Helvetica;Sans-Serif"/>
          <w:b/>
          <w:i/>
          <w:caps w:val="false"/>
          <w:smallCaps w:val="false"/>
          <w:sz w:val="18"/>
        </w:rPr>
        <w:t>This document provides a summary of the terms of the PLUS. Investors must carefully review the accompanying preliminary pricing supplement referenced below, product supplement, underlying supplement, prospectus supplement and prospectus and the “Risk Considerations” on the following page, prior to making an investment decision.</w:t>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2">
                <wp:simplePos x="0" y="0"/>
                <wp:positionH relativeFrom="column">
                  <wp:align>left</wp:align>
                </wp:positionH>
                <wp:positionV relativeFrom="line">
                  <wp:posOffset>635</wp:posOffset>
                </wp:positionV>
                <wp:extent cx="3110230" cy="8471535"/>
                <wp:effectExtent l="0" t="0" r="0" b="0"/>
                <wp:wrapSquare wrapText="right"/>
                <wp:docPr id="1" name="Frame1"/>
                <a:graphic xmlns:a="http://schemas.openxmlformats.org/drawingml/2006/main">
                  <a:graphicData uri="http://schemas.microsoft.com/office/word/2010/wordprocessingShape">
                    <wps:wsp>
                      <wps:cNvSpPr txBox="1"/>
                      <wps:spPr>
                        <a:xfrm>
                          <a:off x="0" y="0"/>
                          <a:ext cx="3110230" cy="8471535"/>
                        </a:xfrm>
                        <a:prstGeom prst="rect"/>
                        <a:solidFill>
                          <a:srgbClr val="FFFFFF"/>
                        </a:solidFill>
                      </wps:spPr>
                      <wps:txbx>
                        <w:txbxContent>
                          <w:tbl>
                            <w:tblPr>
                              <w:tblW w:w="10205" w:type="dxa"/>
                              <w:jc w:val="left"/>
                              <w:tblInd w:w="0" w:type="dxa"/>
                              <w:tblLayout w:type="fixed"/>
                              <w:tblCellMar>
                                <w:top w:w="0" w:type="dxa"/>
                                <w:left w:w="0" w:type="dxa"/>
                                <w:bottom w:w="0" w:type="dxa"/>
                                <w:right w:w="0" w:type="dxa"/>
                              </w:tblCellMar>
                            </w:tblPr>
                            <w:tblGrid>
                              <w:gridCol w:w="2760"/>
                              <w:gridCol w:w="7445"/>
                            </w:tblGrid>
                            <w:tr>
                              <w:trPr/>
                              <w:tc>
                                <w:tcPr>
                                  <w:tcW w:w="10205" w:type="dxa"/>
                                  <w:gridSpan w:val="2"/>
                                  <w:tcBorders/>
                                  <w:shd w:fill="296DC1" w:val="clear"/>
                                  <w:vAlign w:val="center"/>
                                </w:tcPr>
                                <w:p>
                                  <w:pPr>
                                    <w:pStyle w:val="TableContents"/>
                                    <w:bidi w:val="0"/>
                                    <w:spacing w:before="0" w:after="283"/>
                                    <w:jc w:val="left"/>
                                    <w:rPr>
                                      <w:rFonts w:ascii="Arial;Helvetica;Sans-Serif" w:hAnsi="Arial;Helvetica;Sans-Serif"/>
                                      <w:b/>
                                      <w:i w:val="false"/>
                                      <w:caps w:val="false"/>
                                      <w:smallCaps w:val="false"/>
                                      <w:color w:val="FFFFFF"/>
                                      <w:sz w:val="16"/>
                                    </w:rPr>
                                  </w:pPr>
                                  <w:r>
                                    <w:rPr>
                                      <w:rFonts w:ascii="Arial;Helvetica;Sans-Serif" w:hAnsi="Arial;Helvetica;Sans-Serif"/>
                                      <w:b/>
                                      <w:i w:val="false"/>
                                      <w:caps w:val="false"/>
                                      <w:smallCaps w:val="false"/>
                                      <w:color w:val="FFFFFF"/>
                                      <w:sz w:val="16"/>
                                    </w:rPr>
                                    <w:t>SUMMARY TERMS</w:t>
                                  </w:r>
                                </w:p>
                              </w:tc>
                            </w:tr>
                            <w:tr>
                              <w:trPr/>
                              <w:tc>
                                <w:tcPr>
                                  <w:tcW w:w="2760" w:type="dxa"/>
                                  <w:tcBorders/>
                                  <w:shd w:fill="FFFFFF" w:val="clear"/>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 xml:space="preserve">Issuer: </w:t>
                                  </w:r>
                                </w:p>
                              </w:tc>
                              <w:tc>
                                <w:tcPr>
                                  <w:tcW w:w="7445" w:type="dxa"/>
                                  <w:tcBorders/>
                                  <w:shd w:fill="FFFFFF" w:val="clear"/>
                                  <w:vAlign w:val="center"/>
                                </w:tcPr>
                                <w:p>
                                  <w:pPr>
                                    <w:pStyle w:val="TableContents"/>
                                    <w:bidi w:val="0"/>
                                    <w:spacing w:before="0" w:after="283"/>
                                    <w:jc w:val="left"/>
                                    <w:rPr>
                                      <w:sz w:val="16"/>
                                    </w:rPr>
                                  </w:pPr>
                                  <w:r>
                                    <w:rPr>
                                      <w:sz w:val="16"/>
                                    </w:rPr>
                                    <w:t>JPMorgan Chase Financial Company LLC (“JPMorgan Financial”)</w:t>
                                  </w:r>
                                </w:p>
                              </w:tc>
                            </w:tr>
                            <w:tr>
                              <w:trPr/>
                              <w:tc>
                                <w:tcPr>
                                  <w:tcW w:w="2760" w:type="dxa"/>
                                  <w:tcBorders/>
                                  <w:shd w:fill="DCEBF4" w:val="clear"/>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Guarantor:</w:t>
                                  </w:r>
                                </w:p>
                              </w:tc>
                              <w:tc>
                                <w:tcPr>
                                  <w:tcW w:w="7445" w:type="dxa"/>
                                  <w:tcBorders/>
                                  <w:shd w:fill="DCEBF4" w:val="clear"/>
                                  <w:vAlign w:val="center"/>
                                </w:tcPr>
                                <w:p>
                                  <w:pPr>
                                    <w:pStyle w:val="TableContents"/>
                                    <w:bidi w:val="0"/>
                                    <w:spacing w:before="0" w:after="283"/>
                                    <w:jc w:val="left"/>
                                    <w:rPr>
                                      <w:sz w:val="16"/>
                                    </w:rPr>
                                  </w:pPr>
                                  <w:r>
                                    <w:rPr>
                                      <w:sz w:val="16"/>
                                    </w:rPr>
                                    <w:t>JPMorgan Chase &amp; Co.</w:t>
                                  </w:r>
                                </w:p>
                              </w:tc>
                            </w:tr>
                            <w:tr>
                              <w:trPr/>
                              <w:tc>
                                <w:tcPr>
                                  <w:tcW w:w="2760" w:type="dxa"/>
                                  <w:tcBorders/>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 xml:space="preserve">Underlying index: </w:t>
                                  </w:r>
                                </w:p>
                              </w:tc>
                              <w:tc>
                                <w:tcPr>
                                  <w:tcW w:w="7445" w:type="dxa"/>
                                  <w:tcBorders/>
                                  <w:vAlign w:val="center"/>
                                </w:tcPr>
                                <w:p>
                                  <w:pPr>
                                    <w:pStyle w:val="TableContents"/>
                                    <w:bidi w:val="0"/>
                                    <w:spacing w:before="0" w:after="283"/>
                                    <w:jc w:val="left"/>
                                    <w:rPr>
                                      <w:sz w:val="16"/>
                                    </w:rPr>
                                  </w:pPr>
                                  <w:r>
                                    <w:rPr>
                                      <w:sz w:val="16"/>
                                    </w:rPr>
                                    <w:t>Russell 2000</w:t>
                                  </w:r>
                                  <w:r>
                                    <w:rPr>
                                      <w:position w:val="5"/>
                                      <w:sz w:val="13"/>
                                      <w:sz w:val="16"/>
                                    </w:rPr>
                                    <w:t>®</w:t>
                                  </w:r>
                                  <w:r>
                                    <w:rPr>
                                      <w:sz w:val="16"/>
                                    </w:rPr>
                                    <w:t xml:space="preserve"> Index (Bloomberg ticker: RTY Index)</w:t>
                                  </w:r>
                                </w:p>
                              </w:tc>
                            </w:tr>
                            <w:tr>
                              <w:trPr/>
                              <w:tc>
                                <w:tcPr>
                                  <w:tcW w:w="2760" w:type="dxa"/>
                                  <w:tcBorders/>
                                  <w:shd w:fill="DCEBF4" w:val="clear"/>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Payment at</w:t>
                                    <w:br/>
                                    <w:t xml:space="preserve">maturity: </w:t>
                                  </w:r>
                                </w:p>
                              </w:tc>
                              <w:tc>
                                <w:tcPr>
                                  <w:tcW w:w="7445" w:type="dxa"/>
                                  <w:tcBorders/>
                                  <w:shd w:fill="DCEBF4" w:val="clear"/>
                                  <w:vAlign w:val="center"/>
                                </w:tcPr>
                                <w:p>
                                  <w:pPr>
                                    <w:pStyle w:val="TableContents"/>
                                    <w:bidi w:val="0"/>
                                    <w:spacing w:before="40" w:after="40"/>
                                    <w:ind w:left="40" w:right="40" w:hanging="0"/>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 xml:space="preserve">If the final index value is </w:t>
                                  </w:r>
                                  <w:r>
                                    <w:rPr>
                                      <w:rFonts w:ascii="Arial;Helvetica;Sans-Serif" w:hAnsi="Arial;Helvetica;Sans-Serif"/>
                                      <w:b w:val="false"/>
                                      <w:i/>
                                      <w:caps w:val="false"/>
                                      <w:smallCaps w:val="false"/>
                                      <w:sz w:val="16"/>
                                    </w:rPr>
                                    <w:t>greater than</w:t>
                                  </w:r>
                                  <w:r>
                                    <w:rPr>
                                      <w:rFonts w:ascii="Arial;Helvetica;Sans-Serif" w:hAnsi="Arial;Helvetica;Sans-Serif"/>
                                      <w:b w:val="false"/>
                                      <w:i w:val="false"/>
                                      <w:caps w:val="false"/>
                                      <w:smallCaps w:val="false"/>
                                      <w:sz w:val="16"/>
                                    </w:rPr>
                                    <w:t xml:space="preserve"> the initial index value, for each $1,000 stated principal amount PLUS,</w:t>
                                  </w:r>
                                </w:p>
                                <w:p>
                                  <w:pPr>
                                    <w:pStyle w:val="TableContents"/>
                                    <w:bidi w:val="0"/>
                                    <w:spacing w:before="40" w:after="40"/>
                                    <w:ind w:left="40" w:right="40" w:firstLine="245"/>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$1,000 + leveraged upside payment</w:t>
                                  </w:r>
                                </w:p>
                                <w:p>
                                  <w:pPr>
                                    <w:pStyle w:val="TableContents"/>
                                    <w:bidi w:val="0"/>
                                    <w:spacing w:before="40" w:after="40"/>
                                    <w:ind w:left="40" w:right="40" w:hanging="0"/>
                                    <w:jc w:val="left"/>
                                    <w:rPr>
                                      <w:rFonts w:ascii="Arial;Helvetica;Sans-Serif" w:hAnsi="Arial;Helvetica;Sans-Serif"/>
                                      <w:b w:val="false"/>
                                      <w:i/>
                                      <w:caps w:val="false"/>
                                      <w:smallCaps w:val="false"/>
                                      <w:sz w:val="16"/>
                                    </w:rPr>
                                  </w:pPr>
                                  <w:r>
                                    <w:rPr>
                                      <w:rFonts w:ascii="Arial;Helvetica;Sans-Serif" w:hAnsi="Arial;Helvetica;Sans-Serif"/>
                                      <w:b w:val="false"/>
                                      <w:i/>
                                      <w:caps w:val="false"/>
                                      <w:smallCaps w:val="false"/>
                                      <w:sz w:val="16"/>
                                    </w:rPr>
                                    <w:t>In no event will the payment at maturity exceed the maximum payment at maturity.</w:t>
                                  </w:r>
                                </w:p>
                                <w:p>
                                  <w:pPr>
                                    <w:pStyle w:val="TableContents"/>
                                    <w:bidi w:val="0"/>
                                    <w:spacing w:before="40" w:after="40"/>
                                    <w:ind w:left="40" w:right="40" w:hanging="0"/>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 xml:space="preserve">If the final index value is </w:t>
                                  </w:r>
                                  <w:r>
                                    <w:rPr>
                                      <w:rFonts w:ascii="Arial;Helvetica;Sans-Serif" w:hAnsi="Arial;Helvetica;Sans-Serif"/>
                                      <w:b w:val="false"/>
                                      <w:i/>
                                      <w:caps w:val="false"/>
                                      <w:smallCaps w:val="false"/>
                                      <w:sz w:val="16"/>
                                    </w:rPr>
                                    <w:t xml:space="preserve">less than or equal to </w:t>
                                  </w:r>
                                  <w:r>
                                    <w:rPr>
                                      <w:rFonts w:ascii="Arial;Helvetica;Sans-Serif" w:hAnsi="Arial;Helvetica;Sans-Serif"/>
                                      <w:b w:val="false"/>
                                      <w:i w:val="false"/>
                                      <w:caps w:val="false"/>
                                      <w:smallCaps w:val="false"/>
                                      <w:sz w:val="16"/>
                                    </w:rPr>
                                    <w:t>the initial index value, for each $1,000 stated principal amount PLUS,</w:t>
                                  </w:r>
                                </w:p>
                                <w:p>
                                  <w:pPr>
                                    <w:pStyle w:val="TableContents"/>
                                    <w:bidi w:val="0"/>
                                    <w:spacing w:before="40" w:after="40"/>
                                    <w:ind w:left="40" w:right="40" w:firstLine="245"/>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$1,000 × index performance factor</w:t>
                                  </w:r>
                                </w:p>
                                <w:p>
                                  <w:pPr>
                                    <w:pStyle w:val="TableContents"/>
                                    <w:bidi w:val="0"/>
                                    <w:spacing w:before="40" w:after="40"/>
                                    <w:ind w:left="40" w:right="40" w:hanging="0"/>
                                    <w:jc w:val="left"/>
                                    <w:rPr>
                                      <w:rFonts w:ascii="Arial;Helvetica;Sans-Serif" w:hAnsi="Arial;Helvetica;Sans-Serif"/>
                                      <w:b w:val="false"/>
                                      <w:i/>
                                      <w:caps w:val="false"/>
                                      <w:smallCaps w:val="false"/>
                                      <w:sz w:val="16"/>
                                    </w:rPr>
                                  </w:pPr>
                                  <w:r>
                                    <w:rPr>
                                      <w:rFonts w:ascii="Arial;Helvetica;Sans-Serif" w:hAnsi="Arial;Helvetica;Sans-Serif"/>
                                      <w:b w:val="false"/>
                                      <w:i/>
                                      <w:caps w:val="false"/>
                                      <w:smallCaps w:val="false"/>
                                      <w:sz w:val="16"/>
                                    </w:rPr>
                                    <w:t>This amount will be less than or equal to the stated principal amount of $1,000 per PLUS.</w:t>
                                  </w:r>
                                </w:p>
                              </w:tc>
                            </w:tr>
                            <w:tr>
                              <w:trPr/>
                              <w:tc>
                                <w:tcPr>
                                  <w:tcW w:w="2760" w:type="dxa"/>
                                  <w:tcBorders/>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Leveraged upside</w:t>
                                    <w:br/>
                                    <w:t>payment:</w:t>
                                  </w:r>
                                </w:p>
                              </w:tc>
                              <w:tc>
                                <w:tcPr>
                                  <w:tcW w:w="7445" w:type="dxa"/>
                                  <w:tcBorders/>
                                  <w:vAlign w:val="center"/>
                                </w:tcPr>
                                <w:p>
                                  <w:pPr>
                                    <w:pStyle w:val="TableContents"/>
                                    <w:bidi w:val="0"/>
                                    <w:spacing w:before="0" w:after="283"/>
                                    <w:jc w:val="left"/>
                                    <w:rPr>
                                      <w:sz w:val="16"/>
                                    </w:rPr>
                                  </w:pPr>
                                  <w:r>
                                    <w:rPr>
                                      <w:sz w:val="16"/>
                                    </w:rPr>
                                    <w:t>$1,000 × leverage factor × index percent increase</w:t>
                                  </w:r>
                                </w:p>
                              </w:tc>
                            </w:tr>
                            <w:tr>
                              <w:trPr/>
                              <w:tc>
                                <w:tcPr>
                                  <w:tcW w:w="2760" w:type="dxa"/>
                                  <w:tcBorders/>
                                  <w:shd w:fill="DCEBF4" w:val="clear"/>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Index percent increase:</w:t>
                                  </w:r>
                                </w:p>
                              </w:tc>
                              <w:tc>
                                <w:tcPr>
                                  <w:tcW w:w="7445" w:type="dxa"/>
                                  <w:tcBorders/>
                                  <w:shd w:fill="DCEBF4" w:val="clear"/>
                                  <w:vAlign w:val="center"/>
                                </w:tcPr>
                                <w:p>
                                  <w:pPr>
                                    <w:pStyle w:val="TableContents"/>
                                    <w:bidi w:val="0"/>
                                    <w:spacing w:before="0" w:after="283"/>
                                    <w:jc w:val="left"/>
                                    <w:rPr>
                                      <w:sz w:val="16"/>
                                    </w:rPr>
                                  </w:pPr>
                                  <w:r>
                                    <w:rPr>
                                      <w:sz w:val="16"/>
                                    </w:rPr>
                                    <w:t>(final index value – initial index value) / initial index value</w:t>
                                  </w:r>
                                </w:p>
                              </w:tc>
                            </w:tr>
                            <w:tr>
                              <w:trPr/>
                              <w:tc>
                                <w:tcPr>
                                  <w:tcW w:w="2760" w:type="dxa"/>
                                  <w:tcBorders/>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 xml:space="preserve">Initial index value: </w:t>
                                  </w:r>
                                </w:p>
                              </w:tc>
                              <w:tc>
                                <w:tcPr>
                                  <w:tcW w:w="7445" w:type="dxa"/>
                                  <w:tcBorders/>
                                  <w:vAlign w:val="center"/>
                                </w:tcPr>
                                <w:p>
                                  <w:pPr>
                                    <w:pStyle w:val="TableContents"/>
                                    <w:bidi w:val="0"/>
                                    <w:spacing w:before="0" w:after="283"/>
                                    <w:jc w:val="left"/>
                                    <w:rPr>
                                      <w:sz w:val="16"/>
                                    </w:rPr>
                                  </w:pPr>
                                  <w:r>
                                    <w:rPr>
                                      <w:sz w:val="16"/>
                                    </w:rPr>
                                    <w:t>The closing level of the underlying index on the pricing date</w:t>
                                  </w:r>
                                </w:p>
                              </w:tc>
                            </w:tr>
                            <w:tr>
                              <w:trPr/>
                              <w:tc>
                                <w:tcPr>
                                  <w:tcW w:w="2760" w:type="dxa"/>
                                  <w:tcBorders/>
                                  <w:shd w:fill="DCEBF4" w:val="clear"/>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 xml:space="preserve">Final index value: </w:t>
                                  </w:r>
                                </w:p>
                              </w:tc>
                              <w:tc>
                                <w:tcPr>
                                  <w:tcW w:w="7445" w:type="dxa"/>
                                  <w:tcBorders/>
                                  <w:shd w:fill="DCEBF4" w:val="clear"/>
                                  <w:vAlign w:val="center"/>
                                </w:tcPr>
                                <w:p>
                                  <w:pPr>
                                    <w:pStyle w:val="TableContents"/>
                                    <w:bidi w:val="0"/>
                                    <w:spacing w:before="0" w:after="283"/>
                                    <w:jc w:val="left"/>
                                    <w:rPr>
                                      <w:sz w:val="16"/>
                                    </w:rPr>
                                  </w:pPr>
                                  <w:r>
                                    <w:rPr>
                                      <w:sz w:val="16"/>
                                    </w:rPr>
                                    <w:t>The closing level of the underlying index on the valuation date</w:t>
                                  </w:r>
                                </w:p>
                              </w:tc>
                            </w:tr>
                            <w:tr>
                              <w:trPr/>
                              <w:tc>
                                <w:tcPr>
                                  <w:tcW w:w="2760" w:type="dxa"/>
                                  <w:tcBorders/>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 xml:space="preserve">Leverage factor: </w:t>
                                  </w:r>
                                </w:p>
                              </w:tc>
                              <w:tc>
                                <w:tcPr>
                                  <w:tcW w:w="7445" w:type="dxa"/>
                                  <w:tcBorders/>
                                  <w:vAlign w:val="center"/>
                                </w:tcPr>
                                <w:p>
                                  <w:pPr>
                                    <w:pStyle w:val="TableContents"/>
                                    <w:bidi w:val="0"/>
                                    <w:spacing w:before="0" w:after="283"/>
                                    <w:jc w:val="left"/>
                                    <w:rPr>
                                      <w:sz w:val="16"/>
                                    </w:rPr>
                                  </w:pPr>
                                  <w:r>
                                    <w:rPr>
                                      <w:sz w:val="16"/>
                                    </w:rPr>
                                    <w:t>300%</w:t>
                                  </w:r>
                                </w:p>
                              </w:tc>
                            </w:tr>
                            <w:tr>
                              <w:trPr/>
                              <w:tc>
                                <w:tcPr>
                                  <w:tcW w:w="2760" w:type="dxa"/>
                                  <w:tcBorders/>
                                  <w:shd w:fill="DCEBF4" w:val="clear"/>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Index performance factor:</w:t>
                                  </w:r>
                                </w:p>
                              </w:tc>
                              <w:tc>
                                <w:tcPr>
                                  <w:tcW w:w="7445" w:type="dxa"/>
                                  <w:tcBorders/>
                                  <w:shd w:fill="DCEBF4" w:val="clear"/>
                                  <w:vAlign w:val="center"/>
                                </w:tcPr>
                                <w:p>
                                  <w:pPr>
                                    <w:pStyle w:val="TableContents"/>
                                    <w:bidi w:val="0"/>
                                    <w:spacing w:before="0" w:after="283"/>
                                    <w:jc w:val="left"/>
                                    <w:rPr>
                                      <w:sz w:val="16"/>
                                    </w:rPr>
                                  </w:pPr>
                                  <w:r>
                                    <w:rPr>
                                      <w:sz w:val="16"/>
                                    </w:rPr>
                                    <w:t>final index value / initial index value</w:t>
                                  </w:r>
                                </w:p>
                              </w:tc>
                            </w:tr>
                            <w:tr>
                              <w:trPr/>
                              <w:tc>
                                <w:tcPr>
                                  <w:tcW w:w="2760" w:type="dxa"/>
                                  <w:tcBorders/>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Maximum payment at maturity:</w:t>
                                  </w:r>
                                </w:p>
                              </w:tc>
                              <w:tc>
                                <w:tcPr>
                                  <w:tcW w:w="7445" w:type="dxa"/>
                                  <w:tcBorders/>
                                  <w:vAlign w:val="center"/>
                                </w:tcPr>
                                <w:p>
                                  <w:pPr>
                                    <w:pStyle w:val="TableContents"/>
                                    <w:bidi w:val="0"/>
                                    <w:spacing w:before="0" w:after="283"/>
                                    <w:jc w:val="left"/>
                                    <w:rPr>
                                      <w:sz w:val="16"/>
                                    </w:rPr>
                                  </w:pPr>
                                  <w:r>
                                    <w:rPr>
                                      <w:sz w:val="16"/>
                                    </w:rPr>
                                    <w:t>At least $1,222.00 (at least 122.20% of the stated principal amount) per PLUS</w:t>
                                  </w:r>
                                </w:p>
                              </w:tc>
                            </w:tr>
                            <w:tr>
                              <w:trPr/>
                              <w:tc>
                                <w:tcPr>
                                  <w:tcW w:w="2760" w:type="dxa"/>
                                  <w:tcBorders/>
                                  <w:shd w:fill="DCEBF4" w:val="clear"/>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Stated principal amount:</w:t>
                                  </w:r>
                                </w:p>
                              </w:tc>
                              <w:tc>
                                <w:tcPr>
                                  <w:tcW w:w="7445" w:type="dxa"/>
                                  <w:tcBorders/>
                                  <w:shd w:fill="DCEBF4" w:val="clear"/>
                                  <w:vAlign w:val="center"/>
                                </w:tcPr>
                                <w:p>
                                  <w:pPr>
                                    <w:pStyle w:val="TableContents"/>
                                    <w:bidi w:val="0"/>
                                    <w:spacing w:before="0" w:after="283"/>
                                    <w:jc w:val="left"/>
                                    <w:rPr>
                                      <w:sz w:val="16"/>
                                    </w:rPr>
                                  </w:pPr>
                                  <w:r>
                                    <w:rPr>
                                      <w:sz w:val="16"/>
                                    </w:rPr>
                                    <w:t>$1,000 per PLUS</w:t>
                                  </w:r>
                                </w:p>
                              </w:tc>
                            </w:tr>
                            <w:tr>
                              <w:trPr/>
                              <w:tc>
                                <w:tcPr>
                                  <w:tcW w:w="2760" w:type="dxa"/>
                                  <w:tcBorders/>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Issue price:</w:t>
                                  </w:r>
                                </w:p>
                              </w:tc>
                              <w:tc>
                                <w:tcPr>
                                  <w:tcW w:w="7445" w:type="dxa"/>
                                  <w:tcBorders/>
                                  <w:vAlign w:val="center"/>
                                </w:tcPr>
                                <w:p>
                                  <w:pPr>
                                    <w:pStyle w:val="TableContents"/>
                                    <w:bidi w:val="0"/>
                                    <w:spacing w:before="0" w:after="283"/>
                                    <w:jc w:val="left"/>
                                    <w:rPr>
                                      <w:sz w:val="16"/>
                                    </w:rPr>
                                  </w:pPr>
                                  <w:r>
                                    <w:rPr>
                                      <w:sz w:val="16"/>
                                    </w:rPr>
                                    <w:t>$1,000 per PLUS</w:t>
                                  </w:r>
                                </w:p>
                              </w:tc>
                            </w:tr>
                            <w:tr>
                              <w:trPr/>
                              <w:tc>
                                <w:tcPr>
                                  <w:tcW w:w="2760" w:type="dxa"/>
                                  <w:tcBorders/>
                                  <w:shd w:fill="DCEBF4" w:val="clear"/>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Pricing date:</w:t>
                                  </w:r>
                                </w:p>
                              </w:tc>
                              <w:tc>
                                <w:tcPr>
                                  <w:tcW w:w="7445" w:type="dxa"/>
                                  <w:tcBorders/>
                                  <w:shd w:fill="DCEBF4" w:val="clear"/>
                                  <w:vAlign w:val="center"/>
                                </w:tcPr>
                                <w:p>
                                  <w:pPr>
                                    <w:pStyle w:val="TableContents"/>
                                    <w:bidi w:val="0"/>
                                    <w:spacing w:before="0" w:after="283"/>
                                    <w:jc w:val="left"/>
                                    <w:rPr>
                                      <w:sz w:val="16"/>
                                    </w:rPr>
                                  </w:pPr>
                                  <w:r>
                                    <w:rPr>
                                      <w:sz w:val="16"/>
                                    </w:rPr>
                                    <w:t>Expected to be August 14, 2026</w:t>
                                  </w:r>
                                </w:p>
                              </w:tc>
                            </w:tr>
                            <w:tr>
                              <w:trPr/>
                              <w:tc>
                                <w:tcPr>
                                  <w:tcW w:w="2760" w:type="dxa"/>
                                  <w:tcBorders/>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 xml:space="preserve">Original issue date (settlement date): </w:t>
                                  </w:r>
                                </w:p>
                              </w:tc>
                              <w:tc>
                                <w:tcPr>
                                  <w:tcW w:w="7445" w:type="dxa"/>
                                  <w:tcBorders/>
                                  <w:vAlign w:val="center"/>
                                </w:tcPr>
                                <w:p>
                                  <w:pPr>
                                    <w:pStyle w:val="TableContents"/>
                                    <w:bidi w:val="0"/>
                                    <w:spacing w:before="0" w:after="283"/>
                                    <w:jc w:val="left"/>
                                    <w:rPr>
                                      <w:sz w:val="16"/>
                                    </w:rPr>
                                  </w:pPr>
                                  <w:r>
                                    <w:rPr>
                                      <w:sz w:val="16"/>
                                    </w:rPr>
                                    <w:t>3 business days after the pricing date</w:t>
                                  </w:r>
                                </w:p>
                              </w:tc>
                            </w:tr>
                            <w:tr>
                              <w:trPr/>
                              <w:tc>
                                <w:tcPr>
                                  <w:tcW w:w="2760" w:type="dxa"/>
                                  <w:tcBorders/>
                                  <w:shd w:fill="DCEBF4" w:val="clear"/>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Valuation date</w:t>
                                  </w:r>
                                  <w:r>
                                    <w:rPr>
                                      <w:rFonts w:ascii="Arial;Helvetica;Sans-Serif" w:hAnsi="Arial;Helvetica;Sans-Serif"/>
                                      <w:b/>
                                      <w:color w:val="296DC1"/>
                                      <w:position w:val="5"/>
                                      <w:sz w:val="13"/>
                                      <w:sz w:val="16"/>
                                    </w:rPr>
                                    <w:t>†</w:t>
                                  </w:r>
                                  <w:r>
                                    <w:rPr>
                                      <w:rFonts w:ascii="Arial;Helvetica;Sans-Serif" w:hAnsi="Arial;Helvetica;Sans-Serif"/>
                                      <w:b/>
                                      <w:color w:val="296DC1"/>
                                      <w:sz w:val="16"/>
                                    </w:rPr>
                                    <w:t>:</w:t>
                                  </w:r>
                                </w:p>
                              </w:tc>
                              <w:tc>
                                <w:tcPr>
                                  <w:tcW w:w="7445" w:type="dxa"/>
                                  <w:tcBorders/>
                                  <w:shd w:fill="DCEBF4" w:val="clear"/>
                                  <w:vAlign w:val="center"/>
                                </w:tcPr>
                                <w:p>
                                  <w:pPr>
                                    <w:pStyle w:val="TableContents"/>
                                    <w:bidi w:val="0"/>
                                    <w:spacing w:before="0" w:after="283"/>
                                    <w:jc w:val="left"/>
                                    <w:rPr>
                                      <w:sz w:val="16"/>
                                    </w:rPr>
                                  </w:pPr>
                                  <w:r>
                                    <w:rPr>
                                      <w:sz w:val="16"/>
                                    </w:rPr>
                                    <w:t>November 30, 2027</w:t>
                                  </w:r>
                                </w:p>
                              </w:tc>
                            </w:tr>
                            <w:tr>
                              <w:trPr/>
                              <w:tc>
                                <w:tcPr>
                                  <w:tcW w:w="2760" w:type="dxa"/>
                                  <w:tcBorders/>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Maturity date</w:t>
                                  </w:r>
                                  <w:r>
                                    <w:rPr>
                                      <w:rFonts w:ascii="Arial;Helvetica;Sans-Serif" w:hAnsi="Arial;Helvetica;Sans-Serif"/>
                                      <w:b/>
                                      <w:color w:val="296DC1"/>
                                      <w:position w:val="5"/>
                                      <w:sz w:val="13"/>
                                      <w:sz w:val="16"/>
                                    </w:rPr>
                                    <w:t>†</w:t>
                                  </w:r>
                                  <w:r>
                                    <w:rPr>
                                      <w:rFonts w:ascii="Arial;Helvetica;Sans-Serif" w:hAnsi="Arial;Helvetica;Sans-Serif"/>
                                      <w:b/>
                                      <w:color w:val="296DC1"/>
                                      <w:sz w:val="16"/>
                                    </w:rPr>
                                    <w:t xml:space="preserve">: </w:t>
                                  </w:r>
                                </w:p>
                              </w:tc>
                              <w:tc>
                                <w:tcPr>
                                  <w:tcW w:w="7445" w:type="dxa"/>
                                  <w:tcBorders/>
                                  <w:vAlign w:val="center"/>
                                </w:tcPr>
                                <w:p>
                                  <w:pPr>
                                    <w:pStyle w:val="TableContents"/>
                                    <w:bidi w:val="0"/>
                                    <w:spacing w:before="0" w:after="283"/>
                                    <w:jc w:val="left"/>
                                    <w:rPr>
                                      <w:sz w:val="16"/>
                                    </w:rPr>
                                  </w:pPr>
                                  <w:r>
                                    <w:rPr>
                                      <w:sz w:val="16"/>
                                    </w:rPr>
                                    <w:t>December 3, 2027</w:t>
                                  </w:r>
                                </w:p>
                              </w:tc>
                            </w:tr>
                            <w:tr>
                              <w:trPr/>
                              <w:tc>
                                <w:tcPr>
                                  <w:tcW w:w="2760" w:type="dxa"/>
                                  <w:tcBorders/>
                                  <w:shd w:fill="DCEBF4" w:val="clear"/>
                                  <w:vAlign w:val="center"/>
                                </w:tcPr>
                                <w:p>
                                  <w:pPr>
                                    <w:pStyle w:val="TableContents"/>
                                    <w:bidi w:val="0"/>
                                    <w:spacing w:before="0" w:after="283"/>
                                    <w:jc w:val="left"/>
                                    <w:rPr>
                                      <w:b/>
                                      <w:color w:val="296DC1"/>
                                      <w:sz w:val="16"/>
                                    </w:rPr>
                                  </w:pPr>
                                  <w:r>
                                    <w:rPr>
                                      <w:b/>
                                      <w:color w:val="296DC1"/>
                                      <w:sz w:val="16"/>
                                    </w:rPr>
                                    <w:t>CUSIP / ISIN:</w:t>
                                  </w:r>
                                </w:p>
                              </w:tc>
                              <w:tc>
                                <w:tcPr>
                                  <w:tcW w:w="7445" w:type="dxa"/>
                                  <w:tcBorders/>
                                  <w:shd w:fill="DCEBF4" w:val="clear"/>
                                  <w:vAlign w:val="center"/>
                                </w:tcPr>
                                <w:p>
                                  <w:pPr>
                                    <w:pStyle w:val="TableContents"/>
                                    <w:bidi w:val="0"/>
                                    <w:spacing w:before="0" w:after="283"/>
                                    <w:jc w:val="left"/>
                                    <w:rPr>
                                      <w:sz w:val="16"/>
                                    </w:rPr>
                                  </w:pPr>
                                  <w:r>
                                    <w:rPr>
                                      <w:sz w:val="16"/>
                                    </w:rPr>
                                    <w:t>46661K2P2 / US46661K2P20</w:t>
                                  </w:r>
                                </w:p>
                              </w:tc>
                            </w:tr>
                            <w:tr>
                              <w:trPr/>
                              <w:tc>
                                <w:tcPr>
                                  <w:tcW w:w="2760" w:type="dxa"/>
                                  <w:tcBorders/>
                                  <w:vAlign w:val="center"/>
                                </w:tcPr>
                                <w:p>
                                  <w:pPr>
                                    <w:pStyle w:val="TableContents"/>
                                    <w:bidi w:val="0"/>
                                    <w:spacing w:before="0" w:after="283"/>
                                    <w:jc w:val="left"/>
                                    <w:rPr>
                                      <w:b/>
                                      <w:color w:val="296DC1"/>
                                      <w:sz w:val="16"/>
                                    </w:rPr>
                                  </w:pPr>
                                  <w:r>
                                    <w:rPr>
                                      <w:b/>
                                      <w:color w:val="296DC1"/>
                                      <w:sz w:val="16"/>
                                    </w:rPr>
                                    <w:t xml:space="preserve">Preliminary pricing supplement: </w:t>
                                  </w:r>
                                </w:p>
                              </w:tc>
                              <w:tc>
                                <w:tcPr>
                                  <w:tcW w:w="7445" w:type="dxa"/>
                                  <w:tcBorders/>
                                  <w:vAlign w:val="center"/>
                                </w:tcPr>
                                <w:p>
                                  <w:pPr>
                                    <w:pStyle w:val="TableContents"/>
                                    <w:bidi w:val="0"/>
                                    <w:spacing w:before="0" w:after="283"/>
                                    <w:jc w:val="left"/>
                                    <w:rPr/>
                                  </w:pPr>
                                  <w:hyperlink r:id="rId2">
                                    <w:r>
                                      <w:rPr>
                                        <w:rStyle w:val="InternetLink"/>
                                        <w:sz w:val="16"/>
                                      </w:rPr>
                                      <w:t>http://www.sec.gov/Archives/edgar/data/19617/</w:t>
                                      <w:br/>
                                      <w:t>000121390026083436/ea0299950-01_424b2.htm</w:t>
                                    </w:r>
                                  </w:hyperlink>
                                </w:p>
                              </w:tc>
                            </w:tr>
                          </w:tbl>
                          <w:p>
                            <w:pPr>
                              <w:pStyle w:val="TextBody"/>
                              <w:bidi w:val="0"/>
                              <w:spacing w:before="0" w:after="40"/>
                              <w:jc w:val="left"/>
                              <w:rPr>
                                <w:caps w:val="false"/>
                                <w:smallCaps w:val="false"/>
                              </w:rPr>
                            </w:pPr>
                            <w:r>
                              <w:rPr>
                                <w:caps w:val="false"/>
                                <w:smallCaps w:val="false"/>
                                <w:position w:val="8"/>
                                <w:sz w:val="19"/>
                              </w:rPr>
                              <w:t>†</w:t>
                            </w:r>
                            <w:r>
                              <w:rPr>
                                <w:rFonts w:ascii="Arial;Helvetica;Sans-Serif" w:hAnsi="Arial;Helvetica;Sans-Serif"/>
                                <w:b w:val="false"/>
                                <w:i w:val="false"/>
                                <w:caps w:val="false"/>
                                <w:smallCaps w:val="false"/>
                                <w:sz w:val="16"/>
                              </w:rPr>
                              <w:t>Subject to postponement</w:t>
                            </w:r>
                          </w:p>
                          <w:p>
                            <w:pPr>
                              <w:pStyle w:val="TextBody"/>
                              <w:bidi w:val="0"/>
                              <w:spacing w:before="0" w:after="40"/>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The estimated value of the PLUS on the pricing date will be provided in the pricing supplement and will not be less than $950.00 per $1,000 stated principal amount PLUS. For information about the estimated value of the PLUS, which likely will be lower than the price you paid for the PLUS, please see the hyperlink above.</w:t>
                            </w:r>
                          </w:p>
                          <w:p>
                            <w:pPr>
                              <w:pStyle w:val="TextBody"/>
                              <w:bidi w:val="0"/>
                              <w:spacing w:before="0" w:after="40"/>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Any payment on the PLUS is subject to the credit risk of JPMorgan Financial, as issuer of the PLUS, and the credit risk of JPMorgan Chase &amp; Co., as guarantor of the PLUS.</w:t>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667.05pt;mso-wrap-distance-left:0pt;mso-wrap-distance-right:0pt;mso-wrap-distance-top:0pt;mso-wrap-distance-bottom:0pt;margin-top:0pt;mso-position-vertical:top;mso-position-vertical-relative:text;margin-left:0pt;mso-position-horizontal:left;mso-position-horizontal-relative:text">
                <v:textbox>
                  <w:txbxContent>
                    <w:tbl>
                      <w:tblPr>
                        <w:tblW w:w="10205" w:type="dxa"/>
                        <w:jc w:val="left"/>
                        <w:tblInd w:w="0" w:type="dxa"/>
                        <w:tblLayout w:type="fixed"/>
                        <w:tblCellMar>
                          <w:top w:w="0" w:type="dxa"/>
                          <w:left w:w="0" w:type="dxa"/>
                          <w:bottom w:w="0" w:type="dxa"/>
                          <w:right w:w="0" w:type="dxa"/>
                        </w:tblCellMar>
                      </w:tblPr>
                      <w:tblGrid>
                        <w:gridCol w:w="2760"/>
                        <w:gridCol w:w="7445"/>
                      </w:tblGrid>
                      <w:tr>
                        <w:trPr/>
                        <w:tc>
                          <w:tcPr>
                            <w:tcW w:w="10205" w:type="dxa"/>
                            <w:gridSpan w:val="2"/>
                            <w:tcBorders/>
                            <w:shd w:fill="296DC1" w:val="clear"/>
                            <w:vAlign w:val="center"/>
                          </w:tcPr>
                          <w:p>
                            <w:pPr>
                              <w:pStyle w:val="TableContents"/>
                              <w:bidi w:val="0"/>
                              <w:spacing w:before="0" w:after="283"/>
                              <w:jc w:val="left"/>
                              <w:rPr>
                                <w:rFonts w:ascii="Arial;Helvetica;Sans-Serif" w:hAnsi="Arial;Helvetica;Sans-Serif"/>
                                <w:b/>
                                <w:i w:val="false"/>
                                <w:caps w:val="false"/>
                                <w:smallCaps w:val="false"/>
                                <w:color w:val="FFFFFF"/>
                                <w:sz w:val="16"/>
                              </w:rPr>
                            </w:pPr>
                            <w:r>
                              <w:rPr>
                                <w:rFonts w:ascii="Arial;Helvetica;Sans-Serif" w:hAnsi="Arial;Helvetica;Sans-Serif"/>
                                <w:b/>
                                <w:i w:val="false"/>
                                <w:caps w:val="false"/>
                                <w:smallCaps w:val="false"/>
                                <w:color w:val="FFFFFF"/>
                                <w:sz w:val="16"/>
                              </w:rPr>
                              <w:t>SUMMARY TERMS</w:t>
                            </w:r>
                          </w:p>
                        </w:tc>
                      </w:tr>
                      <w:tr>
                        <w:trPr/>
                        <w:tc>
                          <w:tcPr>
                            <w:tcW w:w="2760" w:type="dxa"/>
                            <w:tcBorders/>
                            <w:shd w:fill="FFFFFF" w:val="clear"/>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 xml:space="preserve">Issuer: </w:t>
                            </w:r>
                          </w:p>
                        </w:tc>
                        <w:tc>
                          <w:tcPr>
                            <w:tcW w:w="7445" w:type="dxa"/>
                            <w:tcBorders/>
                            <w:shd w:fill="FFFFFF" w:val="clear"/>
                            <w:vAlign w:val="center"/>
                          </w:tcPr>
                          <w:p>
                            <w:pPr>
                              <w:pStyle w:val="TableContents"/>
                              <w:bidi w:val="0"/>
                              <w:spacing w:before="0" w:after="283"/>
                              <w:jc w:val="left"/>
                              <w:rPr>
                                <w:sz w:val="16"/>
                              </w:rPr>
                            </w:pPr>
                            <w:r>
                              <w:rPr>
                                <w:sz w:val="16"/>
                              </w:rPr>
                              <w:t>JPMorgan Chase Financial Company LLC (“JPMorgan Financial”)</w:t>
                            </w:r>
                          </w:p>
                        </w:tc>
                      </w:tr>
                      <w:tr>
                        <w:trPr/>
                        <w:tc>
                          <w:tcPr>
                            <w:tcW w:w="2760" w:type="dxa"/>
                            <w:tcBorders/>
                            <w:shd w:fill="DCEBF4" w:val="clear"/>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Guarantor:</w:t>
                            </w:r>
                          </w:p>
                        </w:tc>
                        <w:tc>
                          <w:tcPr>
                            <w:tcW w:w="7445" w:type="dxa"/>
                            <w:tcBorders/>
                            <w:shd w:fill="DCEBF4" w:val="clear"/>
                            <w:vAlign w:val="center"/>
                          </w:tcPr>
                          <w:p>
                            <w:pPr>
                              <w:pStyle w:val="TableContents"/>
                              <w:bidi w:val="0"/>
                              <w:spacing w:before="0" w:after="283"/>
                              <w:jc w:val="left"/>
                              <w:rPr>
                                <w:sz w:val="16"/>
                              </w:rPr>
                            </w:pPr>
                            <w:r>
                              <w:rPr>
                                <w:sz w:val="16"/>
                              </w:rPr>
                              <w:t>JPMorgan Chase &amp; Co.</w:t>
                            </w:r>
                          </w:p>
                        </w:tc>
                      </w:tr>
                      <w:tr>
                        <w:trPr/>
                        <w:tc>
                          <w:tcPr>
                            <w:tcW w:w="2760" w:type="dxa"/>
                            <w:tcBorders/>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 xml:space="preserve">Underlying index: </w:t>
                            </w:r>
                          </w:p>
                        </w:tc>
                        <w:tc>
                          <w:tcPr>
                            <w:tcW w:w="7445" w:type="dxa"/>
                            <w:tcBorders/>
                            <w:vAlign w:val="center"/>
                          </w:tcPr>
                          <w:p>
                            <w:pPr>
                              <w:pStyle w:val="TableContents"/>
                              <w:bidi w:val="0"/>
                              <w:spacing w:before="0" w:after="283"/>
                              <w:jc w:val="left"/>
                              <w:rPr>
                                <w:sz w:val="16"/>
                              </w:rPr>
                            </w:pPr>
                            <w:r>
                              <w:rPr>
                                <w:sz w:val="16"/>
                              </w:rPr>
                              <w:t>Russell 2000</w:t>
                            </w:r>
                            <w:r>
                              <w:rPr>
                                <w:position w:val="5"/>
                                <w:sz w:val="13"/>
                                <w:sz w:val="16"/>
                              </w:rPr>
                              <w:t>®</w:t>
                            </w:r>
                            <w:r>
                              <w:rPr>
                                <w:sz w:val="16"/>
                              </w:rPr>
                              <w:t xml:space="preserve"> Index (Bloomberg ticker: RTY Index)</w:t>
                            </w:r>
                          </w:p>
                        </w:tc>
                      </w:tr>
                      <w:tr>
                        <w:trPr/>
                        <w:tc>
                          <w:tcPr>
                            <w:tcW w:w="2760" w:type="dxa"/>
                            <w:tcBorders/>
                            <w:shd w:fill="DCEBF4" w:val="clear"/>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Payment at</w:t>
                              <w:br/>
                              <w:t xml:space="preserve">maturity: </w:t>
                            </w:r>
                          </w:p>
                        </w:tc>
                        <w:tc>
                          <w:tcPr>
                            <w:tcW w:w="7445" w:type="dxa"/>
                            <w:tcBorders/>
                            <w:shd w:fill="DCEBF4" w:val="clear"/>
                            <w:vAlign w:val="center"/>
                          </w:tcPr>
                          <w:p>
                            <w:pPr>
                              <w:pStyle w:val="TableContents"/>
                              <w:bidi w:val="0"/>
                              <w:spacing w:before="40" w:after="40"/>
                              <w:ind w:left="40" w:right="40" w:hanging="0"/>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 xml:space="preserve">If the final index value is </w:t>
                            </w:r>
                            <w:r>
                              <w:rPr>
                                <w:rFonts w:ascii="Arial;Helvetica;Sans-Serif" w:hAnsi="Arial;Helvetica;Sans-Serif"/>
                                <w:b w:val="false"/>
                                <w:i/>
                                <w:caps w:val="false"/>
                                <w:smallCaps w:val="false"/>
                                <w:sz w:val="16"/>
                              </w:rPr>
                              <w:t>greater than</w:t>
                            </w:r>
                            <w:r>
                              <w:rPr>
                                <w:rFonts w:ascii="Arial;Helvetica;Sans-Serif" w:hAnsi="Arial;Helvetica;Sans-Serif"/>
                                <w:b w:val="false"/>
                                <w:i w:val="false"/>
                                <w:caps w:val="false"/>
                                <w:smallCaps w:val="false"/>
                                <w:sz w:val="16"/>
                              </w:rPr>
                              <w:t xml:space="preserve"> the initial index value, for each $1,000 stated principal amount PLUS,</w:t>
                            </w:r>
                          </w:p>
                          <w:p>
                            <w:pPr>
                              <w:pStyle w:val="TableContents"/>
                              <w:bidi w:val="0"/>
                              <w:spacing w:before="40" w:after="40"/>
                              <w:ind w:left="40" w:right="40" w:firstLine="245"/>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$1,000 + leveraged upside payment</w:t>
                            </w:r>
                          </w:p>
                          <w:p>
                            <w:pPr>
                              <w:pStyle w:val="TableContents"/>
                              <w:bidi w:val="0"/>
                              <w:spacing w:before="40" w:after="40"/>
                              <w:ind w:left="40" w:right="40" w:hanging="0"/>
                              <w:jc w:val="left"/>
                              <w:rPr>
                                <w:rFonts w:ascii="Arial;Helvetica;Sans-Serif" w:hAnsi="Arial;Helvetica;Sans-Serif"/>
                                <w:b w:val="false"/>
                                <w:i/>
                                <w:caps w:val="false"/>
                                <w:smallCaps w:val="false"/>
                                <w:sz w:val="16"/>
                              </w:rPr>
                            </w:pPr>
                            <w:r>
                              <w:rPr>
                                <w:rFonts w:ascii="Arial;Helvetica;Sans-Serif" w:hAnsi="Arial;Helvetica;Sans-Serif"/>
                                <w:b w:val="false"/>
                                <w:i/>
                                <w:caps w:val="false"/>
                                <w:smallCaps w:val="false"/>
                                <w:sz w:val="16"/>
                              </w:rPr>
                              <w:t>In no event will the payment at maturity exceed the maximum payment at maturity.</w:t>
                            </w:r>
                          </w:p>
                          <w:p>
                            <w:pPr>
                              <w:pStyle w:val="TableContents"/>
                              <w:bidi w:val="0"/>
                              <w:spacing w:before="40" w:after="40"/>
                              <w:ind w:left="40" w:right="40" w:hanging="0"/>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 xml:space="preserve">If the final index value is </w:t>
                            </w:r>
                            <w:r>
                              <w:rPr>
                                <w:rFonts w:ascii="Arial;Helvetica;Sans-Serif" w:hAnsi="Arial;Helvetica;Sans-Serif"/>
                                <w:b w:val="false"/>
                                <w:i/>
                                <w:caps w:val="false"/>
                                <w:smallCaps w:val="false"/>
                                <w:sz w:val="16"/>
                              </w:rPr>
                              <w:t xml:space="preserve">less than or equal to </w:t>
                            </w:r>
                            <w:r>
                              <w:rPr>
                                <w:rFonts w:ascii="Arial;Helvetica;Sans-Serif" w:hAnsi="Arial;Helvetica;Sans-Serif"/>
                                <w:b w:val="false"/>
                                <w:i w:val="false"/>
                                <w:caps w:val="false"/>
                                <w:smallCaps w:val="false"/>
                                <w:sz w:val="16"/>
                              </w:rPr>
                              <w:t>the initial index value, for each $1,000 stated principal amount PLUS,</w:t>
                            </w:r>
                          </w:p>
                          <w:p>
                            <w:pPr>
                              <w:pStyle w:val="TableContents"/>
                              <w:bidi w:val="0"/>
                              <w:spacing w:before="40" w:after="40"/>
                              <w:ind w:left="40" w:right="40" w:firstLine="245"/>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$1,000 × index performance factor</w:t>
                            </w:r>
                          </w:p>
                          <w:p>
                            <w:pPr>
                              <w:pStyle w:val="TableContents"/>
                              <w:bidi w:val="0"/>
                              <w:spacing w:before="40" w:after="40"/>
                              <w:ind w:left="40" w:right="40" w:hanging="0"/>
                              <w:jc w:val="left"/>
                              <w:rPr>
                                <w:rFonts w:ascii="Arial;Helvetica;Sans-Serif" w:hAnsi="Arial;Helvetica;Sans-Serif"/>
                                <w:b w:val="false"/>
                                <w:i/>
                                <w:caps w:val="false"/>
                                <w:smallCaps w:val="false"/>
                                <w:sz w:val="16"/>
                              </w:rPr>
                            </w:pPr>
                            <w:r>
                              <w:rPr>
                                <w:rFonts w:ascii="Arial;Helvetica;Sans-Serif" w:hAnsi="Arial;Helvetica;Sans-Serif"/>
                                <w:b w:val="false"/>
                                <w:i/>
                                <w:caps w:val="false"/>
                                <w:smallCaps w:val="false"/>
                                <w:sz w:val="16"/>
                              </w:rPr>
                              <w:t>This amount will be less than or equal to the stated principal amount of $1,000 per PLUS.</w:t>
                            </w:r>
                          </w:p>
                        </w:tc>
                      </w:tr>
                      <w:tr>
                        <w:trPr/>
                        <w:tc>
                          <w:tcPr>
                            <w:tcW w:w="2760" w:type="dxa"/>
                            <w:tcBorders/>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Leveraged upside</w:t>
                              <w:br/>
                              <w:t>payment:</w:t>
                            </w:r>
                          </w:p>
                        </w:tc>
                        <w:tc>
                          <w:tcPr>
                            <w:tcW w:w="7445" w:type="dxa"/>
                            <w:tcBorders/>
                            <w:vAlign w:val="center"/>
                          </w:tcPr>
                          <w:p>
                            <w:pPr>
                              <w:pStyle w:val="TableContents"/>
                              <w:bidi w:val="0"/>
                              <w:spacing w:before="0" w:after="283"/>
                              <w:jc w:val="left"/>
                              <w:rPr>
                                <w:sz w:val="16"/>
                              </w:rPr>
                            </w:pPr>
                            <w:r>
                              <w:rPr>
                                <w:sz w:val="16"/>
                              </w:rPr>
                              <w:t>$1,000 × leverage factor × index percent increase</w:t>
                            </w:r>
                          </w:p>
                        </w:tc>
                      </w:tr>
                      <w:tr>
                        <w:trPr/>
                        <w:tc>
                          <w:tcPr>
                            <w:tcW w:w="2760" w:type="dxa"/>
                            <w:tcBorders/>
                            <w:shd w:fill="DCEBF4" w:val="clear"/>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Index percent increase:</w:t>
                            </w:r>
                          </w:p>
                        </w:tc>
                        <w:tc>
                          <w:tcPr>
                            <w:tcW w:w="7445" w:type="dxa"/>
                            <w:tcBorders/>
                            <w:shd w:fill="DCEBF4" w:val="clear"/>
                            <w:vAlign w:val="center"/>
                          </w:tcPr>
                          <w:p>
                            <w:pPr>
                              <w:pStyle w:val="TableContents"/>
                              <w:bidi w:val="0"/>
                              <w:spacing w:before="0" w:after="283"/>
                              <w:jc w:val="left"/>
                              <w:rPr>
                                <w:sz w:val="16"/>
                              </w:rPr>
                            </w:pPr>
                            <w:r>
                              <w:rPr>
                                <w:sz w:val="16"/>
                              </w:rPr>
                              <w:t>(final index value – initial index value) / initial index value</w:t>
                            </w:r>
                          </w:p>
                        </w:tc>
                      </w:tr>
                      <w:tr>
                        <w:trPr/>
                        <w:tc>
                          <w:tcPr>
                            <w:tcW w:w="2760" w:type="dxa"/>
                            <w:tcBorders/>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 xml:space="preserve">Initial index value: </w:t>
                            </w:r>
                          </w:p>
                        </w:tc>
                        <w:tc>
                          <w:tcPr>
                            <w:tcW w:w="7445" w:type="dxa"/>
                            <w:tcBorders/>
                            <w:vAlign w:val="center"/>
                          </w:tcPr>
                          <w:p>
                            <w:pPr>
                              <w:pStyle w:val="TableContents"/>
                              <w:bidi w:val="0"/>
                              <w:spacing w:before="0" w:after="283"/>
                              <w:jc w:val="left"/>
                              <w:rPr>
                                <w:sz w:val="16"/>
                              </w:rPr>
                            </w:pPr>
                            <w:r>
                              <w:rPr>
                                <w:sz w:val="16"/>
                              </w:rPr>
                              <w:t>The closing level of the underlying index on the pricing date</w:t>
                            </w:r>
                          </w:p>
                        </w:tc>
                      </w:tr>
                      <w:tr>
                        <w:trPr/>
                        <w:tc>
                          <w:tcPr>
                            <w:tcW w:w="2760" w:type="dxa"/>
                            <w:tcBorders/>
                            <w:shd w:fill="DCEBF4" w:val="clear"/>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 xml:space="preserve">Final index value: </w:t>
                            </w:r>
                          </w:p>
                        </w:tc>
                        <w:tc>
                          <w:tcPr>
                            <w:tcW w:w="7445" w:type="dxa"/>
                            <w:tcBorders/>
                            <w:shd w:fill="DCEBF4" w:val="clear"/>
                            <w:vAlign w:val="center"/>
                          </w:tcPr>
                          <w:p>
                            <w:pPr>
                              <w:pStyle w:val="TableContents"/>
                              <w:bidi w:val="0"/>
                              <w:spacing w:before="0" w:after="283"/>
                              <w:jc w:val="left"/>
                              <w:rPr>
                                <w:sz w:val="16"/>
                              </w:rPr>
                            </w:pPr>
                            <w:r>
                              <w:rPr>
                                <w:sz w:val="16"/>
                              </w:rPr>
                              <w:t>The closing level of the underlying index on the valuation date</w:t>
                            </w:r>
                          </w:p>
                        </w:tc>
                      </w:tr>
                      <w:tr>
                        <w:trPr/>
                        <w:tc>
                          <w:tcPr>
                            <w:tcW w:w="2760" w:type="dxa"/>
                            <w:tcBorders/>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 xml:space="preserve">Leverage factor: </w:t>
                            </w:r>
                          </w:p>
                        </w:tc>
                        <w:tc>
                          <w:tcPr>
                            <w:tcW w:w="7445" w:type="dxa"/>
                            <w:tcBorders/>
                            <w:vAlign w:val="center"/>
                          </w:tcPr>
                          <w:p>
                            <w:pPr>
                              <w:pStyle w:val="TableContents"/>
                              <w:bidi w:val="0"/>
                              <w:spacing w:before="0" w:after="283"/>
                              <w:jc w:val="left"/>
                              <w:rPr>
                                <w:sz w:val="16"/>
                              </w:rPr>
                            </w:pPr>
                            <w:r>
                              <w:rPr>
                                <w:sz w:val="16"/>
                              </w:rPr>
                              <w:t>300%</w:t>
                            </w:r>
                          </w:p>
                        </w:tc>
                      </w:tr>
                      <w:tr>
                        <w:trPr/>
                        <w:tc>
                          <w:tcPr>
                            <w:tcW w:w="2760" w:type="dxa"/>
                            <w:tcBorders/>
                            <w:shd w:fill="DCEBF4" w:val="clear"/>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Index performance factor:</w:t>
                            </w:r>
                          </w:p>
                        </w:tc>
                        <w:tc>
                          <w:tcPr>
                            <w:tcW w:w="7445" w:type="dxa"/>
                            <w:tcBorders/>
                            <w:shd w:fill="DCEBF4" w:val="clear"/>
                            <w:vAlign w:val="center"/>
                          </w:tcPr>
                          <w:p>
                            <w:pPr>
                              <w:pStyle w:val="TableContents"/>
                              <w:bidi w:val="0"/>
                              <w:spacing w:before="0" w:after="283"/>
                              <w:jc w:val="left"/>
                              <w:rPr>
                                <w:sz w:val="16"/>
                              </w:rPr>
                            </w:pPr>
                            <w:r>
                              <w:rPr>
                                <w:sz w:val="16"/>
                              </w:rPr>
                              <w:t>final index value / initial index value</w:t>
                            </w:r>
                          </w:p>
                        </w:tc>
                      </w:tr>
                      <w:tr>
                        <w:trPr/>
                        <w:tc>
                          <w:tcPr>
                            <w:tcW w:w="2760" w:type="dxa"/>
                            <w:tcBorders/>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Maximum payment at maturity:</w:t>
                            </w:r>
                          </w:p>
                        </w:tc>
                        <w:tc>
                          <w:tcPr>
                            <w:tcW w:w="7445" w:type="dxa"/>
                            <w:tcBorders/>
                            <w:vAlign w:val="center"/>
                          </w:tcPr>
                          <w:p>
                            <w:pPr>
                              <w:pStyle w:val="TableContents"/>
                              <w:bidi w:val="0"/>
                              <w:spacing w:before="0" w:after="283"/>
                              <w:jc w:val="left"/>
                              <w:rPr>
                                <w:sz w:val="16"/>
                              </w:rPr>
                            </w:pPr>
                            <w:r>
                              <w:rPr>
                                <w:sz w:val="16"/>
                              </w:rPr>
                              <w:t>At least $1,222.00 (at least 122.20% of the stated principal amount) per PLUS</w:t>
                            </w:r>
                          </w:p>
                        </w:tc>
                      </w:tr>
                      <w:tr>
                        <w:trPr/>
                        <w:tc>
                          <w:tcPr>
                            <w:tcW w:w="2760" w:type="dxa"/>
                            <w:tcBorders/>
                            <w:shd w:fill="DCEBF4" w:val="clear"/>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Stated principal amount:</w:t>
                            </w:r>
                          </w:p>
                        </w:tc>
                        <w:tc>
                          <w:tcPr>
                            <w:tcW w:w="7445" w:type="dxa"/>
                            <w:tcBorders/>
                            <w:shd w:fill="DCEBF4" w:val="clear"/>
                            <w:vAlign w:val="center"/>
                          </w:tcPr>
                          <w:p>
                            <w:pPr>
                              <w:pStyle w:val="TableContents"/>
                              <w:bidi w:val="0"/>
                              <w:spacing w:before="0" w:after="283"/>
                              <w:jc w:val="left"/>
                              <w:rPr>
                                <w:sz w:val="16"/>
                              </w:rPr>
                            </w:pPr>
                            <w:r>
                              <w:rPr>
                                <w:sz w:val="16"/>
                              </w:rPr>
                              <w:t>$1,000 per PLUS</w:t>
                            </w:r>
                          </w:p>
                        </w:tc>
                      </w:tr>
                      <w:tr>
                        <w:trPr/>
                        <w:tc>
                          <w:tcPr>
                            <w:tcW w:w="2760" w:type="dxa"/>
                            <w:tcBorders/>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Issue price:</w:t>
                            </w:r>
                          </w:p>
                        </w:tc>
                        <w:tc>
                          <w:tcPr>
                            <w:tcW w:w="7445" w:type="dxa"/>
                            <w:tcBorders/>
                            <w:vAlign w:val="center"/>
                          </w:tcPr>
                          <w:p>
                            <w:pPr>
                              <w:pStyle w:val="TableContents"/>
                              <w:bidi w:val="0"/>
                              <w:spacing w:before="0" w:after="283"/>
                              <w:jc w:val="left"/>
                              <w:rPr>
                                <w:sz w:val="16"/>
                              </w:rPr>
                            </w:pPr>
                            <w:r>
                              <w:rPr>
                                <w:sz w:val="16"/>
                              </w:rPr>
                              <w:t>$1,000 per PLUS</w:t>
                            </w:r>
                          </w:p>
                        </w:tc>
                      </w:tr>
                      <w:tr>
                        <w:trPr/>
                        <w:tc>
                          <w:tcPr>
                            <w:tcW w:w="2760" w:type="dxa"/>
                            <w:tcBorders/>
                            <w:shd w:fill="DCEBF4" w:val="clear"/>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Pricing date:</w:t>
                            </w:r>
                          </w:p>
                        </w:tc>
                        <w:tc>
                          <w:tcPr>
                            <w:tcW w:w="7445" w:type="dxa"/>
                            <w:tcBorders/>
                            <w:shd w:fill="DCEBF4" w:val="clear"/>
                            <w:vAlign w:val="center"/>
                          </w:tcPr>
                          <w:p>
                            <w:pPr>
                              <w:pStyle w:val="TableContents"/>
                              <w:bidi w:val="0"/>
                              <w:spacing w:before="0" w:after="283"/>
                              <w:jc w:val="left"/>
                              <w:rPr>
                                <w:sz w:val="16"/>
                              </w:rPr>
                            </w:pPr>
                            <w:r>
                              <w:rPr>
                                <w:sz w:val="16"/>
                              </w:rPr>
                              <w:t>Expected to be August 14, 2026</w:t>
                            </w:r>
                          </w:p>
                        </w:tc>
                      </w:tr>
                      <w:tr>
                        <w:trPr/>
                        <w:tc>
                          <w:tcPr>
                            <w:tcW w:w="2760" w:type="dxa"/>
                            <w:tcBorders/>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 xml:space="preserve">Original issue date (settlement date): </w:t>
                            </w:r>
                          </w:p>
                        </w:tc>
                        <w:tc>
                          <w:tcPr>
                            <w:tcW w:w="7445" w:type="dxa"/>
                            <w:tcBorders/>
                            <w:vAlign w:val="center"/>
                          </w:tcPr>
                          <w:p>
                            <w:pPr>
                              <w:pStyle w:val="TableContents"/>
                              <w:bidi w:val="0"/>
                              <w:spacing w:before="0" w:after="283"/>
                              <w:jc w:val="left"/>
                              <w:rPr>
                                <w:sz w:val="16"/>
                              </w:rPr>
                            </w:pPr>
                            <w:r>
                              <w:rPr>
                                <w:sz w:val="16"/>
                              </w:rPr>
                              <w:t>3 business days after the pricing date</w:t>
                            </w:r>
                          </w:p>
                        </w:tc>
                      </w:tr>
                      <w:tr>
                        <w:trPr/>
                        <w:tc>
                          <w:tcPr>
                            <w:tcW w:w="2760" w:type="dxa"/>
                            <w:tcBorders/>
                            <w:shd w:fill="DCEBF4" w:val="clear"/>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Valuation date</w:t>
                            </w:r>
                            <w:r>
                              <w:rPr>
                                <w:rFonts w:ascii="Arial;Helvetica;Sans-Serif" w:hAnsi="Arial;Helvetica;Sans-Serif"/>
                                <w:b/>
                                <w:color w:val="296DC1"/>
                                <w:position w:val="5"/>
                                <w:sz w:val="13"/>
                                <w:sz w:val="16"/>
                              </w:rPr>
                              <w:t>†</w:t>
                            </w:r>
                            <w:r>
                              <w:rPr>
                                <w:rFonts w:ascii="Arial;Helvetica;Sans-Serif" w:hAnsi="Arial;Helvetica;Sans-Serif"/>
                                <w:b/>
                                <w:color w:val="296DC1"/>
                                <w:sz w:val="16"/>
                              </w:rPr>
                              <w:t>:</w:t>
                            </w:r>
                          </w:p>
                        </w:tc>
                        <w:tc>
                          <w:tcPr>
                            <w:tcW w:w="7445" w:type="dxa"/>
                            <w:tcBorders/>
                            <w:shd w:fill="DCEBF4" w:val="clear"/>
                            <w:vAlign w:val="center"/>
                          </w:tcPr>
                          <w:p>
                            <w:pPr>
                              <w:pStyle w:val="TableContents"/>
                              <w:bidi w:val="0"/>
                              <w:spacing w:before="0" w:after="283"/>
                              <w:jc w:val="left"/>
                              <w:rPr>
                                <w:sz w:val="16"/>
                              </w:rPr>
                            </w:pPr>
                            <w:r>
                              <w:rPr>
                                <w:sz w:val="16"/>
                              </w:rPr>
                              <w:t>November 30, 2027</w:t>
                            </w:r>
                          </w:p>
                        </w:tc>
                      </w:tr>
                      <w:tr>
                        <w:trPr/>
                        <w:tc>
                          <w:tcPr>
                            <w:tcW w:w="2760" w:type="dxa"/>
                            <w:tcBorders/>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Maturity date</w:t>
                            </w:r>
                            <w:r>
                              <w:rPr>
                                <w:rFonts w:ascii="Arial;Helvetica;Sans-Serif" w:hAnsi="Arial;Helvetica;Sans-Serif"/>
                                <w:b/>
                                <w:color w:val="296DC1"/>
                                <w:position w:val="5"/>
                                <w:sz w:val="13"/>
                                <w:sz w:val="16"/>
                              </w:rPr>
                              <w:t>†</w:t>
                            </w:r>
                            <w:r>
                              <w:rPr>
                                <w:rFonts w:ascii="Arial;Helvetica;Sans-Serif" w:hAnsi="Arial;Helvetica;Sans-Serif"/>
                                <w:b/>
                                <w:color w:val="296DC1"/>
                                <w:sz w:val="16"/>
                              </w:rPr>
                              <w:t xml:space="preserve">: </w:t>
                            </w:r>
                          </w:p>
                        </w:tc>
                        <w:tc>
                          <w:tcPr>
                            <w:tcW w:w="7445" w:type="dxa"/>
                            <w:tcBorders/>
                            <w:vAlign w:val="center"/>
                          </w:tcPr>
                          <w:p>
                            <w:pPr>
                              <w:pStyle w:val="TableContents"/>
                              <w:bidi w:val="0"/>
                              <w:spacing w:before="0" w:after="283"/>
                              <w:jc w:val="left"/>
                              <w:rPr>
                                <w:sz w:val="16"/>
                              </w:rPr>
                            </w:pPr>
                            <w:r>
                              <w:rPr>
                                <w:sz w:val="16"/>
                              </w:rPr>
                              <w:t>December 3, 2027</w:t>
                            </w:r>
                          </w:p>
                        </w:tc>
                      </w:tr>
                      <w:tr>
                        <w:trPr/>
                        <w:tc>
                          <w:tcPr>
                            <w:tcW w:w="2760" w:type="dxa"/>
                            <w:tcBorders/>
                            <w:shd w:fill="DCEBF4" w:val="clear"/>
                            <w:vAlign w:val="center"/>
                          </w:tcPr>
                          <w:p>
                            <w:pPr>
                              <w:pStyle w:val="TableContents"/>
                              <w:bidi w:val="0"/>
                              <w:spacing w:before="0" w:after="283"/>
                              <w:jc w:val="left"/>
                              <w:rPr>
                                <w:b/>
                                <w:color w:val="296DC1"/>
                                <w:sz w:val="16"/>
                              </w:rPr>
                            </w:pPr>
                            <w:r>
                              <w:rPr>
                                <w:b/>
                                <w:color w:val="296DC1"/>
                                <w:sz w:val="16"/>
                              </w:rPr>
                              <w:t>CUSIP / ISIN:</w:t>
                            </w:r>
                          </w:p>
                        </w:tc>
                        <w:tc>
                          <w:tcPr>
                            <w:tcW w:w="7445" w:type="dxa"/>
                            <w:tcBorders/>
                            <w:shd w:fill="DCEBF4" w:val="clear"/>
                            <w:vAlign w:val="center"/>
                          </w:tcPr>
                          <w:p>
                            <w:pPr>
                              <w:pStyle w:val="TableContents"/>
                              <w:bidi w:val="0"/>
                              <w:spacing w:before="0" w:after="283"/>
                              <w:jc w:val="left"/>
                              <w:rPr>
                                <w:sz w:val="16"/>
                              </w:rPr>
                            </w:pPr>
                            <w:r>
                              <w:rPr>
                                <w:sz w:val="16"/>
                              </w:rPr>
                              <w:t>46661K2P2 / US46661K2P20</w:t>
                            </w:r>
                          </w:p>
                        </w:tc>
                      </w:tr>
                      <w:tr>
                        <w:trPr/>
                        <w:tc>
                          <w:tcPr>
                            <w:tcW w:w="2760" w:type="dxa"/>
                            <w:tcBorders/>
                            <w:vAlign w:val="center"/>
                          </w:tcPr>
                          <w:p>
                            <w:pPr>
                              <w:pStyle w:val="TableContents"/>
                              <w:bidi w:val="0"/>
                              <w:spacing w:before="0" w:after="283"/>
                              <w:jc w:val="left"/>
                              <w:rPr>
                                <w:b/>
                                <w:color w:val="296DC1"/>
                                <w:sz w:val="16"/>
                              </w:rPr>
                            </w:pPr>
                            <w:r>
                              <w:rPr>
                                <w:b/>
                                <w:color w:val="296DC1"/>
                                <w:sz w:val="16"/>
                              </w:rPr>
                              <w:t xml:space="preserve">Preliminary pricing supplement: </w:t>
                            </w:r>
                          </w:p>
                        </w:tc>
                        <w:tc>
                          <w:tcPr>
                            <w:tcW w:w="7445" w:type="dxa"/>
                            <w:tcBorders/>
                            <w:vAlign w:val="center"/>
                          </w:tcPr>
                          <w:p>
                            <w:pPr>
                              <w:pStyle w:val="TableContents"/>
                              <w:bidi w:val="0"/>
                              <w:spacing w:before="0" w:after="283"/>
                              <w:jc w:val="left"/>
                              <w:rPr/>
                            </w:pPr>
                            <w:hyperlink r:id="rId3">
                              <w:r>
                                <w:rPr>
                                  <w:rStyle w:val="InternetLink"/>
                                  <w:sz w:val="16"/>
                                </w:rPr>
                                <w:t>http://www.sec.gov/Archives/edgar/data/19617/</w:t>
                                <w:br/>
                                <w:t>000121390026083436/ea0299950-01_424b2.htm</w:t>
                              </w:r>
                            </w:hyperlink>
                          </w:p>
                        </w:tc>
                      </w:tr>
                    </w:tbl>
                    <w:p>
                      <w:pPr>
                        <w:pStyle w:val="TextBody"/>
                        <w:bidi w:val="0"/>
                        <w:spacing w:before="0" w:after="40"/>
                        <w:jc w:val="left"/>
                        <w:rPr>
                          <w:caps w:val="false"/>
                          <w:smallCaps w:val="false"/>
                        </w:rPr>
                      </w:pPr>
                      <w:r>
                        <w:rPr>
                          <w:caps w:val="false"/>
                          <w:smallCaps w:val="false"/>
                          <w:position w:val="8"/>
                          <w:sz w:val="19"/>
                        </w:rPr>
                        <w:t>†</w:t>
                      </w:r>
                      <w:r>
                        <w:rPr>
                          <w:rFonts w:ascii="Arial;Helvetica;Sans-Serif" w:hAnsi="Arial;Helvetica;Sans-Serif"/>
                          <w:b w:val="false"/>
                          <w:i w:val="false"/>
                          <w:caps w:val="false"/>
                          <w:smallCaps w:val="false"/>
                          <w:sz w:val="16"/>
                        </w:rPr>
                        <w:t>Subject to postponement</w:t>
                      </w:r>
                    </w:p>
                    <w:p>
                      <w:pPr>
                        <w:pStyle w:val="TextBody"/>
                        <w:bidi w:val="0"/>
                        <w:spacing w:before="0" w:after="40"/>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The estimated value of the PLUS on the pricing date will be provided in the pricing supplement and will not be less than $950.00 per $1,000 stated principal amount PLUS. For information about the estimated value of the PLUS, which likely will be lower than the price you paid for the PLUS, please see the hyperlink above.</w:t>
                      </w:r>
                    </w:p>
                    <w:p>
                      <w:pPr>
                        <w:pStyle w:val="TextBody"/>
                        <w:bidi w:val="0"/>
                        <w:spacing w:before="0" w:after="40"/>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Any payment on the PLUS is subject to the credit risk of JPMorgan Financial, as issuer of the PLUS, and the credit risk of JPMorgan Chase &amp; Co., as guarantor of the PLUS.</w:t>
                      </w:r>
                    </w:p>
                  </w:txbxContent>
                </v:textbox>
                <w10:wrap type="square" side="right"/>
              </v:rect>
            </w:pict>
          </mc:Fallback>
        </mc:AlternateContent>
      </w:r>
      <w:r>
        <mc:AlternateContent>
          <mc:Choice Requires="wps">
            <w:drawing>
              <wp:anchor behindDoc="0" distT="0" distB="0" distL="0" distR="0" simplePos="0" locked="0" layoutInCell="1" allowOverlap="1" relativeHeight="3">
                <wp:simplePos x="0" y="0"/>
                <wp:positionH relativeFrom="column">
                  <wp:align>right</wp:align>
                </wp:positionH>
                <wp:positionV relativeFrom="line">
                  <wp:posOffset>635</wp:posOffset>
                </wp:positionV>
                <wp:extent cx="3110230" cy="9895205"/>
                <wp:effectExtent l="0" t="0" r="0" b="0"/>
                <wp:wrapSquare wrapText="left"/>
                <wp:docPr id="2" name="Frame2"/>
                <a:graphic xmlns:a="http://schemas.openxmlformats.org/drawingml/2006/main">
                  <a:graphicData uri="http://schemas.microsoft.com/office/word/2010/wordprocessingShape">
                    <wps:wsp>
                      <wps:cNvSpPr txBox="1"/>
                      <wps:spPr>
                        <a:xfrm>
                          <a:off x="0" y="0"/>
                          <a:ext cx="3110230" cy="9895205"/>
                        </a:xfrm>
                        <a:prstGeom prst="rect"/>
                        <a:solidFill>
                          <a:srgbClr val="FFFFFF"/>
                        </a:solidFill>
                      </wps:spPr>
                      <wps:txbx>
                        <w:txbxContent>
                          <w:tbl>
                            <w:tblPr>
                              <w:tblW w:w="5730" w:type="dxa"/>
                              <w:jc w:val="center"/>
                              <w:tblInd w:w="0" w:type="dxa"/>
                              <w:tblLayout w:type="fixed"/>
                              <w:tblCellMar>
                                <w:top w:w="0" w:type="dxa"/>
                                <w:left w:w="0" w:type="dxa"/>
                                <w:bottom w:w="0" w:type="dxa"/>
                                <w:right w:w="0" w:type="dxa"/>
                              </w:tblCellMar>
                            </w:tblPr>
                            <w:tblGrid>
                              <w:gridCol w:w="5730"/>
                            </w:tblGrid>
                            <w:tr>
                              <w:trPr/>
                              <w:tc>
                                <w:tcPr>
                                  <w:tcW w:w="5730" w:type="dxa"/>
                                  <w:tcBorders/>
                                  <w:shd w:fill="DCEBF4" w:val="clear"/>
                                  <w:vAlign w:val="center"/>
                                </w:tcPr>
                                <w:p>
                                  <w:pPr>
                                    <w:pStyle w:val="TableContents"/>
                                    <w:bidi w:val="0"/>
                                    <w:spacing w:before="0" w:after="283"/>
                                    <w:jc w:val="center"/>
                                    <w:rPr>
                                      <w:rFonts w:ascii="Arial;Helvetica;Sans-Serif" w:hAnsi="Arial;Helvetica;Sans-Serif"/>
                                      <w:b/>
                                      <w:i w:val="false"/>
                                      <w:caps w:val="false"/>
                                      <w:smallCaps w:val="false"/>
                                      <w:color w:val="296DC1"/>
                                      <w:sz w:val="17"/>
                                    </w:rPr>
                                  </w:pPr>
                                  <w:r>
                                    <w:rPr>
                                      <w:rFonts w:ascii="Arial;Helvetica;Sans-Serif" w:hAnsi="Arial;Helvetica;Sans-Serif"/>
                                      <w:b/>
                                      <w:i w:val="false"/>
                                      <w:caps w:val="false"/>
                                      <w:smallCaps w:val="false"/>
                                      <w:color w:val="296DC1"/>
                                      <w:sz w:val="17"/>
                                    </w:rPr>
                                    <w:t>PLUS Payoff Diagram*</w:t>
                                  </w:r>
                                </w:p>
                              </w:tc>
                            </w:tr>
                            <w:tr>
                              <w:trPr/>
                              <w:tc>
                                <w:tcPr>
                                  <w:tcW w:w="5730" w:type="dxa"/>
                                  <w:tcBorders/>
                                  <w:vAlign w:val="center"/>
                                </w:tcPr>
                                <w:p>
                                  <w:pPr>
                                    <w:pStyle w:val="TableContents"/>
                                    <w:bidi w:val="0"/>
                                    <w:spacing w:before="0" w:after="283"/>
                                    <w:jc w:val="center"/>
                                    <w:rPr>
                                      <w:caps w:val="false"/>
                                      <w:smallCaps w:val="false"/>
                                      <w:color w:val="296DC1"/>
                                    </w:rPr>
                                  </w:pPr>
                                  <w:r>
                                    <w:rPr>
                                      <w:caps w:val="false"/>
                                      <w:smallCaps w:val="false"/>
                                      <w:color w:val="296DC1"/>
                                    </w:rPr>
                                    <w:drawing>
                                      <wp:inline distT="0" distB="0" distL="0" distR="0">
                                        <wp:extent cx="3619500" cy="2971800"/>
                                        <wp:effectExtent l="0" t="0" r="0" b="0"/>
                                        <wp:docPr id="3"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1" descr=""/>
                                                <pic:cNvPicPr>
                                                  <a:picLocks noChangeAspect="1" noChangeArrowheads="1"/>
                                                </pic:cNvPicPr>
                                              </pic:nvPicPr>
                                              <pic:blipFill>
                                                <a:blip r:embed="rId4"/>
                                                <a:stretch>
                                                  <a:fillRect/>
                                                </a:stretch>
                                              </pic:blipFill>
                                              <pic:spPr bwMode="auto">
                                                <a:xfrm>
                                                  <a:off x="0" y="0"/>
                                                  <a:ext cx="3619500" cy="2971800"/>
                                                </a:xfrm>
                                                <a:prstGeom prst="rect">
                                                  <a:avLst/>
                                                </a:prstGeom>
                                              </pic:spPr>
                                            </pic:pic>
                                          </a:graphicData>
                                        </a:graphic>
                                      </wp:inline>
                                    </w:drawing>
                                  </w:r>
                                </w:p>
                              </w:tc>
                            </w:tr>
                          </w:tbl>
                          <w:p>
                            <w:pPr>
                              <w:pStyle w:val="TextBody"/>
                              <w:bidi w:val="0"/>
                              <w:spacing w:before="240" w:after="200"/>
                              <w:ind w:left="720" w:right="240" w:hanging="0"/>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*The actual maximum payment at maturity will be provided in the pricing supplement and will not be less than $1,222.00 per PLUS.</w:t>
                            </w:r>
                          </w:p>
                          <w:tbl>
                            <w:tblPr>
                              <w:tblW w:w="3910" w:type="dxa"/>
                              <w:jc w:val="left"/>
                              <w:tblInd w:w="0" w:type="dxa"/>
                              <w:tblLayout w:type="fixed"/>
                              <w:tblCellMar>
                                <w:top w:w="0" w:type="dxa"/>
                                <w:left w:w="0" w:type="dxa"/>
                                <w:bottom w:w="0" w:type="dxa"/>
                                <w:right w:w="0" w:type="dxa"/>
                              </w:tblCellMar>
                            </w:tblPr>
                            <w:tblGrid>
                              <w:gridCol w:w="2240"/>
                              <w:gridCol w:w="1670"/>
                            </w:tblGrid>
                            <w:tr>
                              <w:trPr/>
                              <w:tc>
                                <w:tcPr>
                                  <w:tcW w:w="2240" w:type="dxa"/>
                                  <w:tcBorders/>
                                  <w:shd w:fill="296DC1" w:val="clear"/>
                                  <w:vAlign w:val="center"/>
                                </w:tcPr>
                                <w:p>
                                  <w:pPr>
                                    <w:pStyle w:val="TableContents"/>
                                    <w:bidi w:val="0"/>
                                    <w:spacing w:before="0" w:after="283"/>
                                    <w:jc w:val="center"/>
                                    <w:rPr>
                                      <w:rFonts w:ascii="Arial;Helvetica;Sans-Serif" w:hAnsi="Arial;Helvetica;Sans-Serif"/>
                                      <w:b/>
                                      <w:i w:val="false"/>
                                      <w:caps w:val="false"/>
                                      <w:smallCaps w:val="false"/>
                                      <w:color w:val="FFFFFF"/>
                                      <w:sz w:val="16"/>
                                    </w:rPr>
                                  </w:pPr>
                                  <w:r>
                                    <w:rPr>
                                      <w:rFonts w:ascii="Arial;Helvetica;Sans-Serif" w:hAnsi="Arial;Helvetica;Sans-Serif"/>
                                      <w:b/>
                                      <w:i w:val="false"/>
                                      <w:caps w:val="false"/>
                                      <w:smallCaps w:val="false"/>
                                      <w:color w:val="FFFFFF"/>
                                      <w:sz w:val="16"/>
                                    </w:rPr>
                                    <w:t>Change in Underlying Index</w:t>
                                  </w:r>
                                </w:p>
                              </w:tc>
                              <w:tc>
                                <w:tcPr>
                                  <w:tcW w:w="1670" w:type="dxa"/>
                                  <w:tcBorders/>
                                  <w:shd w:fill="296DC1" w:val="clear"/>
                                  <w:vAlign w:val="center"/>
                                </w:tcPr>
                                <w:p>
                                  <w:pPr>
                                    <w:pStyle w:val="TableContents"/>
                                    <w:bidi w:val="0"/>
                                    <w:spacing w:before="0" w:after="283"/>
                                    <w:jc w:val="center"/>
                                    <w:rPr>
                                      <w:rFonts w:ascii="Arial;Helvetica;Sans-Serif" w:hAnsi="Arial;Helvetica;Sans-Serif"/>
                                      <w:b/>
                                      <w:i w:val="false"/>
                                      <w:caps w:val="false"/>
                                      <w:smallCaps w:val="false"/>
                                      <w:color w:val="FFFFFF"/>
                                      <w:sz w:val="16"/>
                                    </w:rPr>
                                  </w:pPr>
                                  <w:r>
                                    <w:rPr>
                                      <w:rFonts w:ascii="Arial;Helvetica;Sans-Serif" w:hAnsi="Arial;Helvetica;Sans-Serif"/>
                                      <w:b/>
                                      <w:i w:val="false"/>
                                      <w:caps w:val="false"/>
                                      <w:smallCaps w:val="false"/>
                                      <w:color w:val="FFFFFF"/>
                                      <w:sz w:val="16"/>
                                    </w:rPr>
                                    <w:t>Return on the PLUS*</w:t>
                                  </w:r>
                                </w:p>
                              </w:tc>
                            </w:tr>
                            <w:tr>
                              <w:trPr/>
                              <w:tc>
                                <w:tcPr>
                                  <w:tcW w:w="2240" w:type="dxa"/>
                                  <w:tcBorders/>
                                  <w:vAlign w:val="center"/>
                                </w:tcPr>
                                <w:p>
                                  <w:pPr>
                                    <w:pStyle w:val="TableContents"/>
                                    <w:bidi w:val="0"/>
                                    <w:spacing w:before="0" w:after="283"/>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50.00%</w:t>
                                  </w:r>
                                </w:p>
                              </w:tc>
                              <w:tc>
                                <w:tcPr>
                                  <w:tcW w:w="1670" w:type="dxa"/>
                                  <w:tcBorders/>
                                  <w:vAlign w:val="center"/>
                                </w:tcPr>
                                <w:p>
                                  <w:pPr>
                                    <w:pStyle w:val="TableContents"/>
                                    <w:bidi w:val="0"/>
                                    <w:spacing w:before="0" w:after="283"/>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22.20%</w:t>
                                  </w:r>
                                </w:p>
                              </w:tc>
                            </w:tr>
                            <w:tr>
                              <w:trPr/>
                              <w:tc>
                                <w:tcPr>
                                  <w:tcW w:w="2240" w:type="dxa"/>
                                  <w:tcBorders/>
                                  <w:shd w:fill="D9D9D9" w:val="clear"/>
                                  <w:vAlign w:val="center"/>
                                </w:tcPr>
                                <w:p>
                                  <w:pPr>
                                    <w:pStyle w:val="TableContents"/>
                                    <w:bidi w:val="0"/>
                                    <w:spacing w:before="0" w:after="283"/>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40.00%</w:t>
                                  </w:r>
                                </w:p>
                              </w:tc>
                              <w:tc>
                                <w:tcPr>
                                  <w:tcW w:w="1670" w:type="dxa"/>
                                  <w:tcBorders/>
                                  <w:shd w:fill="D9D9D9" w:val="clear"/>
                                  <w:vAlign w:val="center"/>
                                </w:tcPr>
                                <w:p>
                                  <w:pPr>
                                    <w:pStyle w:val="TableContents"/>
                                    <w:bidi w:val="0"/>
                                    <w:spacing w:before="0" w:after="283"/>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22.20%</w:t>
                                  </w:r>
                                </w:p>
                              </w:tc>
                            </w:tr>
                            <w:tr>
                              <w:trPr/>
                              <w:tc>
                                <w:tcPr>
                                  <w:tcW w:w="2240" w:type="dxa"/>
                                  <w:tcBorders/>
                                  <w:vAlign w:val="center"/>
                                </w:tcPr>
                                <w:p>
                                  <w:pPr>
                                    <w:pStyle w:val="TableContents"/>
                                    <w:bidi w:val="0"/>
                                    <w:spacing w:before="0" w:after="283"/>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30.00%</w:t>
                                  </w:r>
                                </w:p>
                              </w:tc>
                              <w:tc>
                                <w:tcPr>
                                  <w:tcW w:w="1670" w:type="dxa"/>
                                  <w:tcBorders/>
                                  <w:vAlign w:val="center"/>
                                </w:tcPr>
                                <w:p>
                                  <w:pPr>
                                    <w:pStyle w:val="TableContents"/>
                                    <w:bidi w:val="0"/>
                                    <w:spacing w:before="0" w:after="283"/>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22.20%</w:t>
                                  </w:r>
                                </w:p>
                              </w:tc>
                            </w:tr>
                            <w:tr>
                              <w:trPr/>
                              <w:tc>
                                <w:tcPr>
                                  <w:tcW w:w="2240" w:type="dxa"/>
                                  <w:tcBorders/>
                                  <w:shd w:fill="D9D9D9" w:val="clear"/>
                                  <w:vAlign w:val="center"/>
                                </w:tcPr>
                                <w:p>
                                  <w:pPr>
                                    <w:pStyle w:val="TableContents"/>
                                    <w:bidi w:val="0"/>
                                    <w:spacing w:before="0" w:after="283"/>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20.00%</w:t>
                                  </w:r>
                                </w:p>
                              </w:tc>
                              <w:tc>
                                <w:tcPr>
                                  <w:tcW w:w="1670" w:type="dxa"/>
                                  <w:tcBorders/>
                                  <w:shd w:fill="D9D9D9" w:val="clear"/>
                                  <w:vAlign w:val="center"/>
                                </w:tcPr>
                                <w:p>
                                  <w:pPr>
                                    <w:pStyle w:val="TableContents"/>
                                    <w:bidi w:val="0"/>
                                    <w:spacing w:before="0" w:after="283"/>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22.20%</w:t>
                                  </w:r>
                                </w:p>
                              </w:tc>
                            </w:tr>
                            <w:tr>
                              <w:trPr/>
                              <w:tc>
                                <w:tcPr>
                                  <w:tcW w:w="2240" w:type="dxa"/>
                                  <w:tcBorders/>
                                  <w:vAlign w:val="center"/>
                                </w:tcPr>
                                <w:p>
                                  <w:pPr>
                                    <w:pStyle w:val="TableContents"/>
                                    <w:bidi w:val="0"/>
                                    <w:spacing w:before="0" w:after="283"/>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10.00%</w:t>
                                  </w:r>
                                </w:p>
                              </w:tc>
                              <w:tc>
                                <w:tcPr>
                                  <w:tcW w:w="1670" w:type="dxa"/>
                                  <w:tcBorders/>
                                  <w:vAlign w:val="center"/>
                                </w:tcPr>
                                <w:p>
                                  <w:pPr>
                                    <w:pStyle w:val="TableContents"/>
                                    <w:bidi w:val="0"/>
                                    <w:spacing w:before="0" w:after="283"/>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22.20%</w:t>
                                  </w:r>
                                </w:p>
                              </w:tc>
                            </w:tr>
                            <w:tr>
                              <w:trPr/>
                              <w:tc>
                                <w:tcPr>
                                  <w:tcW w:w="2240" w:type="dxa"/>
                                  <w:tcBorders/>
                                  <w:shd w:fill="D9D9D9" w:val="clear"/>
                                  <w:vAlign w:val="center"/>
                                </w:tcPr>
                                <w:p>
                                  <w:pPr>
                                    <w:pStyle w:val="TableContents"/>
                                    <w:bidi w:val="0"/>
                                    <w:spacing w:before="0" w:after="283"/>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7.40%</w:t>
                                  </w:r>
                                </w:p>
                              </w:tc>
                              <w:tc>
                                <w:tcPr>
                                  <w:tcW w:w="1670" w:type="dxa"/>
                                  <w:tcBorders/>
                                  <w:shd w:fill="D9D9D9" w:val="clear"/>
                                  <w:vAlign w:val="center"/>
                                </w:tcPr>
                                <w:p>
                                  <w:pPr>
                                    <w:pStyle w:val="TableContents"/>
                                    <w:bidi w:val="0"/>
                                    <w:spacing w:before="0" w:after="283"/>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22.20%</w:t>
                                  </w:r>
                                </w:p>
                              </w:tc>
                            </w:tr>
                            <w:tr>
                              <w:trPr/>
                              <w:tc>
                                <w:tcPr>
                                  <w:tcW w:w="2240" w:type="dxa"/>
                                  <w:tcBorders/>
                                  <w:vAlign w:val="center"/>
                                </w:tcPr>
                                <w:p>
                                  <w:pPr>
                                    <w:pStyle w:val="TableContents"/>
                                    <w:bidi w:val="0"/>
                                    <w:spacing w:before="0" w:after="283"/>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5.00%</w:t>
                                  </w:r>
                                </w:p>
                              </w:tc>
                              <w:tc>
                                <w:tcPr>
                                  <w:tcW w:w="1670" w:type="dxa"/>
                                  <w:tcBorders/>
                                  <w:vAlign w:val="center"/>
                                </w:tcPr>
                                <w:p>
                                  <w:pPr>
                                    <w:pStyle w:val="TableContents"/>
                                    <w:bidi w:val="0"/>
                                    <w:spacing w:before="0" w:after="283"/>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15.00%</w:t>
                                  </w:r>
                                </w:p>
                              </w:tc>
                            </w:tr>
                            <w:tr>
                              <w:trPr/>
                              <w:tc>
                                <w:tcPr>
                                  <w:tcW w:w="2240" w:type="dxa"/>
                                  <w:tcBorders/>
                                  <w:shd w:fill="D9D9D9" w:val="clear"/>
                                  <w:vAlign w:val="center"/>
                                </w:tcPr>
                                <w:p>
                                  <w:pPr>
                                    <w:pStyle w:val="TableContents"/>
                                    <w:bidi w:val="0"/>
                                    <w:spacing w:before="0" w:after="283"/>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1.00%</w:t>
                                  </w:r>
                                </w:p>
                              </w:tc>
                              <w:tc>
                                <w:tcPr>
                                  <w:tcW w:w="1670" w:type="dxa"/>
                                  <w:tcBorders/>
                                  <w:shd w:fill="D9D9D9" w:val="clear"/>
                                  <w:vAlign w:val="center"/>
                                </w:tcPr>
                                <w:p>
                                  <w:pPr>
                                    <w:pStyle w:val="TableContents"/>
                                    <w:bidi w:val="0"/>
                                    <w:spacing w:before="0" w:after="283"/>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3.00%</w:t>
                                  </w:r>
                                </w:p>
                              </w:tc>
                            </w:tr>
                            <w:tr>
                              <w:trPr/>
                              <w:tc>
                                <w:tcPr>
                                  <w:tcW w:w="2240" w:type="dxa"/>
                                  <w:tcBorders/>
                                  <w:shd w:fill="FFFFFF" w:val="clear"/>
                                  <w:vAlign w:val="center"/>
                                </w:tcPr>
                                <w:p>
                                  <w:pPr>
                                    <w:pStyle w:val="TableContents"/>
                                    <w:bidi w:val="0"/>
                                    <w:spacing w:before="0" w:after="283"/>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0.00%</w:t>
                                  </w:r>
                                </w:p>
                              </w:tc>
                              <w:tc>
                                <w:tcPr>
                                  <w:tcW w:w="1670" w:type="dxa"/>
                                  <w:tcBorders/>
                                  <w:shd w:fill="FFFFFF" w:val="clear"/>
                                  <w:vAlign w:val="center"/>
                                </w:tcPr>
                                <w:p>
                                  <w:pPr>
                                    <w:pStyle w:val="TableContents"/>
                                    <w:bidi w:val="0"/>
                                    <w:spacing w:before="0" w:after="283"/>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0.00%</w:t>
                                  </w:r>
                                </w:p>
                              </w:tc>
                            </w:tr>
                            <w:tr>
                              <w:trPr/>
                              <w:tc>
                                <w:tcPr>
                                  <w:tcW w:w="2240" w:type="dxa"/>
                                  <w:tcBorders/>
                                  <w:shd w:fill="D9D9D9" w:val="clear"/>
                                  <w:vAlign w:val="center"/>
                                </w:tcPr>
                                <w:p>
                                  <w:pPr>
                                    <w:pStyle w:val="TableContents"/>
                                    <w:bidi w:val="0"/>
                                    <w:spacing w:before="0" w:after="283"/>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-10.00%</w:t>
                                  </w:r>
                                </w:p>
                              </w:tc>
                              <w:tc>
                                <w:tcPr>
                                  <w:tcW w:w="1670" w:type="dxa"/>
                                  <w:tcBorders/>
                                  <w:shd w:fill="D9D9D9" w:val="clear"/>
                                  <w:vAlign w:val="center"/>
                                </w:tcPr>
                                <w:p>
                                  <w:pPr>
                                    <w:pStyle w:val="TableContents"/>
                                    <w:bidi w:val="0"/>
                                    <w:spacing w:before="0" w:after="283"/>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-10.00%</w:t>
                                  </w:r>
                                </w:p>
                              </w:tc>
                            </w:tr>
                            <w:tr>
                              <w:trPr/>
                              <w:tc>
                                <w:tcPr>
                                  <w:tcW w:w="2240" w:type="dxa"/>
                                  <w:tcBorders/>
                                  <w:shd w:fill="FFFFFF" w:val="clear"/>
                                  <w:vAlign w:val="center"/>
                                </w:tcPr>
                                <w:p>
                                  <w:pPr>
                                    <w:pStyle w:val="TableContents"/>
                                    <w:bidi w:val="0"/>
                                    <w:spacing w:before="0" w:after="283"/>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-20.00%</w:t>
                                  </w:r>
                                </w:p>
                              </w:tc>
                              <w:tc>
                                <w:tcPr>
                                  <w:tcW w:w="1670" w:type="dxa"/>
                                  <w:tcBorders/>
                                  <w:shd w:fill="FFFFFF" w:val="clear"/>
                                  <w:vAlign w:val="center"/>
                                </w:tcPr>
                                <w:p>
                                  <w:pPr>
                                    <w:pStyle w:val="TableContents"/>
                                    <w:bidi w:val="0"/>
                                    <w:spacing w:before="0" w:after="283"/>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-20.00%</w:t>
                                  </w:r>
                                </w:p>
                              </w:tc>
                            </w:tr>
                            <w:tr>
                              <w:trPr/>
                              <w:tc>
                                <w:tcPr>
                                  <w:tcW w:w="2240" w:type="dxa"/>
                                  <w:tcBorders/>
                                  <w:shd w:fill="D9D9D9" w:val="clear"/>
                                  <w:vAlign w:val="center"/>
                                </w:tcPr>
                                <w:p>
                                  <w:pPr>
                                    <w:pStyle w:val="TableContents"/>
                                    <w:bidi w:val="0"/>
                                    <w:spacing w:before="0" w:after="283"/>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-30.00%</w:t>
                                  </w:r>
                                </w:p>
                              </w:tc>
                              <w:tc>
                                <w:tcPr>
                                  <w:tcW w:w="1670" w:type="dxa"/>
                                  <w:tcBorders/>
                                  <w:shd w:fill="D9D9D9" w:val="clear"/>
                                  <w:vAlign w:val="center"/>
                                </w:tcPr>
                                <w:p>
                                  <w:pPr>
                                    <w:pStyle w:val="TableContents"/>
                                    <w:bidi w:val="0"/>
                                    <w:spacing w:before="0" w:after="283"/>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-30.00%</w:t>
                                  </w:r>
                                </w:p>
                              </w:tc>
                            </w:tr>
                            <w:tr>
                              <w:trPr/>
                              <w:tc>
                                <w:tcPr>
                                  <w:tcW w:w="2240" w:type="dxa"/>
                                  <w:tcBorders/>
                                  <w:shd w:fill="FFFFFF" w:val="clear"/>
                                  <w:vAlign w:val="center"/>
                                </w:tcPr>
                                <w:p>
                                  <w:pPr>
                                    <w:pStyle w:val="TableContents"/>
                                    <w:bidi w:val="0"/>
                                    <w:spacing w:before="0" w:after="283"/>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-40.00%</w:t>
                                  </w:r>
                                </w:p>
                              </w:tc>
                              <w:tc>
                                <w:tcPr>
                                  <w:tcW w:w="1670" w:type="dxa"/>
                                  <w:tcBorders/>
                                  <w:shd w:fill="FFFFFF" w:val="clear"/>
                                  <w:vAlign w:val="center"/>
                                </w:tcPr>
                                <w:p>
                                  <w:pPr>
                                    <w:pStyle w:val="TableContents"/>
                                    <w:bidi w:val="0"/>
                                    <w:spacing w:before="0" w:after="283"/>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-40.00%</w:t>
                                  </w:r>
                                </w:p>
                              </w:tc>
                            </w:tr>
                            <w:tr>
                              <w:trPr/>
                              <w:tc>
                                <w:tcPr>
                                  <w:tcW w:w="2240" w:type="dxa"/>
                                  <w:tcBorders/>
                                  <w:shd w:fill="D9D9D9" w:val="clear"/>
                                  <w:vAlign w:val="center"/>
                                </w:tcPr>
                                <w:p>
                                  <w:pPr>
                                    <w:pStyle w:val="TableContents"/>
                                    <w:bidi w:val="0"/>
                                    <w:spacing w:before="0" w:after="283"/>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-50.00%</w:t>
                                  </w:r>
                                </w:p>
                              </w:tc>
                              <w:tc>
                                <w:tcPr>
                                  <w:tcW w:w="1670" w:type="dxa"/>
                                  <w:tcBorders/>
                                  <w:shd w:fill="D9D9D9" w:val="clear"/>
                                  <w:vAlign w:val="center"/>
                                </w:tcPr>
                                <w:p>
                                  <w:pPr>
                                    <w:pStyle w:val="TableContents"/>
                                    <w:bidi w:val="0"/>
                                    <w:spacing w:before="0" w:after="283"/>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-50.00%</w:t>
                                  </w:r>
                                </w:p>
                              </w:tc>
                            </w:tr>
                            <w:tr>
                              <w:trPr/>
                              <w:tc>
                                <w:tcPr>
                                  <w:tcW w:w="2240" w:type="dxa"/>
                                  <w:tcBorders/>
                                  <w:shd w:fill="FFFFFF" w:val="clear"/>
                                  <w:vAlign w:val="center"/>
                                </w:tcPr>
                                <w:p>
                                  <w:pPr>
                                    <w:pStyle w:val="TableContents"/>
                                    <w:bidi w:val="0"/>
                                    <w:spacing w:before="0" w:after="283"/>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-60.00%</w:t>
                                  </w:r>
                                </w:p>
                              </w:tc>
                              <w:tc>
                                <w:tcPr>
                                  <w:tcW w:w="1670" w:type="dxa"/>
                                  <w:tcBorders/>
                                  <w:shd w:fill="FFFFFF" w:val="clear"/>
                                  <w:vAlign w:val="center"/>
                                </w:tcPr>
                                <w:p>
                                  <w:pPr>
                                    <w:pStyle w:val="TableContents"/>
                                    <w:bidi w:val="0"/>
                                    <w:spacing w:before="0" w:after="283"/>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-60.00%</w:t>
                                  </w:r>
                                </w:p>
                              </w:tc>
                            </w:tr>
                          </w:tbl>
                          <w:tbl>
                            <w:tblPr>
                              <w:tblW w:w="6214" w:type="dxa"/>
                              <w:jc w:val="left"/>
                              <w:tblInd w:w="0" w:type="dxa"/>
                              <w:tblLayout w:type="fixed"/>
                              <w:tblCellMar>
                                <w:top w:w="0" w:type="dxa"/>
                                <w:left w:w="0" w:type="dxa"/>
                                <w:bottom w:w="0" w:type="dxa"/>
                                <w:right w:w="0" w:type="dxa"/>
                              </w:tblCellMar>
                            </w:tblPr>
                            <w:tblGrid>
                              <w:gridCol w:w="3107"/>
                              <w:gridCol w:w="3107"/>
                            </w:tblGrid>
                            <w:tr>
                              <w:trPr/>
                              <w:tc>
                                <w:tcPr>
                                  <w:tcW w:w="3107" w:type="dxa"/>
                                  <w:tcBorders/>
                                  <w:shd w:fill="D9D9D9" w:val="clear"/>
                                  <w:vAlign w:val="center"/>
                                </w:tcPr>
                                <w:p>
                                  <w:pPr>
                                    <w:pStyle w:val="TableContents"/>
                                    <w:bidi w:val="0"/>
                                    <w:spacing w:before="0" w:after="283"/>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-80.00%</w:t>
                                  </w:r>
                                </w:p>
                              </w:tc>
                              <w:tc>
                                <w:tcPr>
                                  <w:tcW w:w="3107" w:type="dxa"/>
                                  <w:tcBorders/>
                                  <w:shd w:fill="D9D9D9" w:val="clear"/>
                                  <w:vAlign w:val="center"/>
                                </w:tcPr>
                                <w:p>
                                  <w:pPr>
                                    <w:pStyle w:val="TableContents"/>
                                    <w:bidi w:val="0"/>
                                    <w:spacing w:before="0" w:after="283"/>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-80.00%</w:t>
                                  </w:r>
                                </w:p>
                              </w:tc>
                            </w:tr>
                            <w:tr>
                              <w:trPr/>
                              <w:tc>
                                <w:tcPr>
                                  <w:tcW w:w="3107" w:type="dxa"/>
                                  <w:tcBorders/>
                                  <w:shd w:fill="FFFFFF" w:val="clear"/>
                                  <w:vAlign w:val="center"/>
                                </w:tcPr>
                                <w:p>
                                  <w:pPr>
                                    <w:pStyle w:val="TableContents"/>
                                    <w:bidi w:val="0"/>
                                    <w:spacing w:before="0" w:after="283"/>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-100.00%</w:t>
                                  </w:r>
                                </w:p>
                              </w:tc>
                              <w:tc>
                                <w:tcPr>
                                  <w:tcW w:w="3107" w:type="dxa"/>
                                  <w:tcBorders/>
                                  <w:shd w:fill="FFFFFF" w:val="clear"/>
                                  <w:vAlign w:val="center"/>
                                </w:tcPr>
                                <w:p>
                                  <w:pPr>
                                    <w:pStyle w:val="TableContents"/>
                                    <w:bidi w:val="0"/>
                                    <w:spacing w:before="0" w:after="283"/>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-100.00%</w:t>
                                  </w:r>
                                </w:p>
                              </w:tc>
                            </w:tr>
                            <w:tr>
                              <w:trPr/>
                              <w:tc>
                                <w:tcPr>
                                  <w:tcW w:w="6214" w:type="dxa"/>
                                  <w:gridSpan w:val="2"/>
                                  <w:tcBorders/>
                                  <w:vAlign w:val="center"/>
                                </w:tcPr>
                                <w:p>
                                  <w:pPr>
                                    <w:pStyle w:val="TableContents"/>
                                    <w:bidi w:val="0"/>
                                    <w:spacing w:before="0" w:after="283"/>
                                    <w:jc w:val="center"/>
                                    <w:rPr>
                                      <w:rFonts w:ascii="Arial;Helvetica;Sans-Serif" w:hAnsi="Arial;Helvetica;Sans-Serif"/>
                                      <w:b w:val="false"/>
                                      <w:i/>
                                      <w:caps w:val="false"/>
                                      <w:smallCaps w:val="false"/>
                                      <w:sz w:val="16"/>
                                    </w:rPr>
                                  </w:pPr>
                                  <w:r>
                                    <w:rPr>
                                      <w:rFonts w:ascii="Arial;Helvetica;Sans-Serif" w:hAnsi="Arial;Helvetica;Sans-Serif"/>
                                      <w:b w:val="false"/>
                                      <w:i/>
                                      <w:caps w:val="false"/>
                                      <w:smallCaps w:val="false"/>
                                      <w:sz w:val="16"/>
                                    </w:rPr>
                                    <w:t>*Assumes a maximum payment at maturity of 122.20% of the stated principal amount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779.15pt;mso-wrap-distance-left:0pt;mso-wrap-distance-right:0pt;mso-wrap-distance-top:0pt;mso-wrap-distance-bottom:0pt;margin-top:0pt;mso-position-vertical:top;mso-position-vertical-relative:text;margin-left:265.35pt;mso-position-horizontal:right;mso-position-horizontal-relative:text">
                <v:textbox>
                  <w:txbxContent>
                    <w:tbl>
                      <w:tblPr>
                        <w:tblW w:w="5730" w:type="dxa"/>
                        <w:jc w:val="center"/>
                        <w:tblInd w:w="0" w:type="dxa"/>
                        <w:tblLayout w:type="fixed"/>
                        <w:tblCellMar>
                          <w:top w:w="0" w:type="dxa"/>
                          <w:left w:w="0" w:type="dxa"/>
                          <w:bottom w:w="0" w:type="dxa"/>
                          <w:right w:w="0" w:type="dxa"/>
                        </w:tblCellMar>
                      </w:tblPr>
                      <w:tblGrid>
                        <w:gridCol w:w="5730"/>
                      </w:tblGrid>
                      <w:tr>
                        <w:trPr/>
                        <w:tc>
                          <w:tcPr>
                            <w:tcW w:w="5730" w:type="dxa"/>
                            <w:tcBorders/>
                            <w:shd w:fill="DCEBF4" w:val="clear"/>
                            <w:vAlign w:val="center"/>
                          </w:tcPr>
                          <w:p>
                            <w:pPr>
                              <w:pStyle w:val="TableContents"/>
                              <w:bidi w:val="0"/>
                              <w:spacing w:before="0" w:after="283"/>
                              <w:jc w:val="center"/>
                              <w:rPr>
                                <w:rFonts w:ascii="Arial;Helvetica;Sans-Serif" w:hAnsi="Arial;Helvetica;Sans-Serif"/>
                                <w:b/>
                                <w:i w:val="false"/>
                                <w:caps w:val="false"/>
                                <w:smallCaps w:val="false"/>
                                <w:color w:val="296DC1"/>
                                <w:sz w:val="17"/>
                              </w:rPr>
                            </w:pPr>
                            <w:r>
                              <w:rPr>
                                <w:rFonts w:ascii="Arial;Helvetica;Sans-Serif" w:hAnsi="Arial;Helvetica;Sans-Serif"/>
                                <w:b/>
                                <w:i w:val="false"/>
                                <w:caps w:val="false"/>
                                <w:smallCaps w:val="false"/>
                                <w:color w:val="296DC1"/>
                                <w:sz w:val="17"/>
                              </w:rPr>
                              <w:t>PLUS Payoff Diagram*</w:t>
                            </w:r>
                          </w:p>
                        </w:tc>
                      </w:tr>
                      <w:tr>
                        <w:trPr/>
                        <w:tc>
                          <w:tcPr>
                            <w:tcW w:w="5730" w:type="dxa"/>
                            <w:tcBorders/>
                            <w:vAlign w:val="center"/>
                          </w:tcPr>
                          <w:p>
                            <w:pPr>
                              <w:pStyle w:val="TableContents"/>
                              <w:bidi w:val="0"/>
                              <w:spacing w:before="0" w:after="283"/>
                              <w:jc w:val="center"/>
                              <w:rPr>
                                <w:caps w:val="false"/>
                                <w:smallCaps w:val="false"/>
                                <w:color w:val="296DC1"/>
                              </w:rPr>
                            </w:pPr>
                            <w:r>
                              <w:rPr>
                                <w:caps w:val="false"/>
                                <w:smallCaps w:val="false"/>
                                <w:color w:val="296DC1"/>
                              </w:rPr>
                              <w:drawing>
                                <wp:inline distT="0" distB="0" distL="0" distR="0">
                                  <wp:extent cx="3619500" cy="2971800"/>
                                  <wp:effectExtent l="0" t="0" r="0" b="0"/>
                                  <wp:docPr id="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 descr=""/>
                                          <pic:cNvPicPr>
                                            <a:picLocks noChangeAspect="1" noChangeArrowheads="1"/>
                                          </pic:cNvPicPr>
                                        </pic:nvPicPr>
                                        <pic:blipFill>
                                          <a:blip r:embed="rId5"/>
                                          <a:stretch>
                                            <a:fillRect/>
                                          </a:stretch>
                                        </pic:blipFill>
                                        <pic:spPr bwMode="auto">
                                          <a:xfrm>
                                            <a:off x="0" y="0"/>
                                            <a:ext cx="3619500" cy="2971800"/>
                                          </a:xfrm>
                                          <a:prstGeom prst="rect">
                                            <a:avLst/>
                                          </a:prstGeom>
                                        </pic:spPr>
                                      </pic:pic>
                                    </a:graphicData>
                                  </a:graphic>
                                </wp:inline>
                              </w:drawing>
                            </w:r>
                          </w:p>
                        </w:tc>
                      </w:tr>
                    </w:tbl>
                    <w:p>
                      <w:pPr>
                        <w:pStyle w:val="TextBody"/>
                        <w:bidi w:val="0"/>
                        <w:spacing w:before="240" w:after="200"/>
                        <w:ind w:left="720" w:right="240" w:hanging="0"/>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*The actual maximum payment at maturity will be provided in the pricing supplement and will not be less than $1,222.00 per PLUS.</w:t>
                      </w:r>
                    </w:p>
                    <w:tbl>
                      <w:tblPr>
                        <w:tblW w:w="3910" w:type="dxa"/>
                        <w:jc w:val="left"/>
                        <w:tblInd w:w="0" w:type="dxa"/>
                        <w:tblLayout w:type="fixed"/>
                        <w:tblCellMar>
                          <w:top w:w="0" w:type="dxa"/>
                          <w:left w:w="0" w:type="dxa"/>
                          <w:bottom w:w="0" w:type="dxa"/>
                          <w:right w:w="0" w:type="dxa"/>
                        </w:tblCellMar>
                      </w:tblPr>
                      <w:tblGrid>
                        <w:gridCol w:w="2240"/>
                        <w:gridCol w:w="1670"/>
                      </w:tblGrid>
                      <w:tr>
                        <w:trPr/>
                        <w:tc>
                          <w:tcPr>
                            <w:tcW w:w="2240" w:type="dxa"/>
                            <w:tcBorders/>
                            <w:shd w:fill="296DC1" w:val="clear"/>
                            <w:vAlign w:val="center"/>
                          </w:tcPr>
                          <w:p>
                            <w:pPr>
                              <w:pStyle w:val="TableContents"/>
                              <w:bidi w:val="0"/>
                              <w:spacing w:before="0" w:after="283"/>
                              <w:jc w:val="center"/>
                              <w:rPr>
                                <w:rFonts w:ascii="Arial;Helvetica;Sans-Serif" w:hAnsi="Arial;Helvetica;Sans-Serif"/>
                                <w:b/>
                                <w:i w:val="false"/>
                                <w:caps w:val="false"/>
                                <w:smallCaps w:val="false"/>
                                <w:color w:val="FFFFFF"/>
                                <w:sz w:val="16"/>
                              </w:rPr>
                            </w:pPr>
                            <w:r>
                              <w:rPr>
                                <w:rFonts w:ascii="Arial;Helvetica;Sans-Serif" w:hAnsi="Arial;Helvetica;Sans-Serif"/>
                                <w:b/>
                                <w:i w:val="false"/>
                                <w:caps w:val="false"/>
                                <w:smallCaps w:val="false"/>
                                <w:color w:val="FFFFFF"/>
                                <w:sz w:val="16"/>
                              </w:rPr>
                              <w:t>Change in Underlying Index</w:t>
                            </w:r>
                          </w:p>
                        </w:tc>
                        <w:tc>
                          <w:tcPr>
                            <w:tcW w:w="1670" w:type="dxa"/>
                            <w:tcBorders/>
                            <w:shd w:fill="296DC1" w:val="clear"/>
                            <w:vAlign w:val="center"/>
                          </w:tcPr>
                          <w:p>
                            <w:pPr>
                              <w:pStyle w:val="TableContents"/>
                              <w:bidi w:val="0"/>
                              <w:spacing w:before="0" w:after="283"/>
                              <w:jc w:val="center"/>
                              <w:rPr>
                                <w:rFonts w:ascii="Arial;Helvetica;Sans-Serif" w:hAnsi="Arial;Helvetica;Sans-Serif"/>
                                <w:b/>
                                <w:i w:val="false"/>
                                <w:caps w:val="false"/>
                                <w:smallCaps w:val="false"/>
                                <w:color w:val="FFFFFF"/>
                                <w:sz w:val="16"/>
                              </w:rPr>
                            </w:pPr>
                            <w:r>
                              <w:rPr>
                                <w:rFonts w:ascii="Arial;Helvetica;Sans-Serif" w:hAnsi="Arial;Helvetica;Sans-Serif"/>
                                <w:b/>
                                <w:i w:val="false"/>
                                <w:caps w:val="false"/>
                                <w:smallCaps w:val="false"/>
                                <w:color w:val="FFFFFF"/>
                                <w:sz w:val="16"/>
                              </w:rPr>
                              <w:t>Return on the PLUS*</w:t>
                            </w:r>
                          </w:p>
                        </w:tc>
                      </w:tr>
                      <w:tr>
                        <w:trPr/>
                        <w:tc>
                          <w:tcPr>
                            <w:tcW w:w="2240" w:type="dxa"/>
                            <w:tcBorders/>
                            <w:vAlign w:val="center"/>
                          </w:tcPr>
                          <w:p>
                            <w:pPr>
                              <w:pStyle w:val="TableContents"/>
                              <w:bidi w:val="0"/>
                              <w:spacing w:before="0" w:after="283"/>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50.00%</w:t>
                            </w:r>
                          </w:p>
                        </w:tc>
                        <w:tc>
                          <w:tcPr>
                            <w:tcW w:w="1670" w:type="dxa"/>
                            <w:tcBorders/>
                            <w:vAlign w:val="center"/>
                          </w:tcPr>
                          <w:p>
                            <w:pPr>
                              <w:pStyle w:val="TableContents"/>
                              <w:bidi w:val="0"/>
                              <w:spacing w:before="0" w:after="283"/>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22.20%</w:t>
                            </w:r>
                          </w:p>
                        </w:tc>
                      </w:tr>
                      <w:tr>
                        <w:trPr/>
                        <w:tc>
                          <w:tcPr>
                            <w:tcW w:w="2240" w:type="dxa"/>
                            <w:tcBorders/>
                            <w:shd w:fill="D9D9D9" w:val="clear"/>
                            <w:vAlign w:val="center"/>
                          </w:tcPr>
                          <w:p>
                            <w:pPr>
                              <w:pStyle w:val="TableContents"/>
                              <w:bidi w:val="0"/>
                              <w:spacing w:before="0" w:after="283"/>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40.00%</w:t>
                            </w:r>
                          </w:p>
                        </w:tc>
                        <w:tc>
                          <w:tcPr>
                            <w:tcW w:w="1670" w:type="dxa"/>
                            <w:tcBorders/>
                            <w:shd w:fill="D9D9D9" w:val="clear"/>
                            <w:vAlign w:val="center"/>
                          </w:tcPr>
                          <w:p>
                            <w:pPr>
                              <w:pStyle w:val="TableContents"/>
                              <w:bidi w:val="0"/>
                              <w:spacing w:before="0" w:after="283"/>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22.20%</w:t>
                            </w:r>
                          </w:p>
                        </w:tc>
                      </w:tr>
                      <w:tr>
                        <w:trPr/>
                        <w:tc>
                          <w:tcPr>
                            <w:tcW w:w="2240" w:type="dxa"/>
                            <w:tcBorders/>
                            <w:vAlign w:val="center"/>
                          </w:tcPr>
                          <w:p>
                            <w:pPr>
                              <w:pStyle w:val="TableContents"/>
                              <w:bidi w:val="0"/>
                              <w:spacing w:before="0" w:after="283"/>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30.00%</w:t>
                            </w:r>
                          </w:p>
                        </w:tc>
                        <w:tc>
                          <w:tcPr>
                            <w:tcW w:w="1670" w:type="dxa"/>
                            <w:tcBorders/>
                            <w:vAlign w:val="center"/>
                          </w:tcPr>
                          <w:p>
                            <w:pPr>
                              <w:pStyle w:val="TableContents"/>
                              <w:bidi w:val="0"/>
                              <w:spacing w:before="0" w:after="283"/>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22.20%</w:t>
                            </w:r>
                          </w:p>
                        </w:tc>
                      </w:tr>
                      <w:tr>
                        <w:trPr/>
                        <w:tc>
                          <w:tcPr>
                            <w:tcW w:w="2240" w:type="dxa"/>
                            <w:tcBorders/>
                            <w:shd w:fill="D9D9D9" w:val="clear"/>
                            <w:vAlign w:val="center"/>
                          </w:tcPr>
                          <w:p>
                            <w:pPr>
                              <w:pStyle w:val="TableContents"/>
                              <w:bidi w:val="0"/>
                              <w:spacing w:before="0" w:after="283"/>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20.00%</w:t>
                            </w:r>
                          </w:p>
                        </w:tc>
                        <w:tc>
                          <w:tcPr>
                            <w:tcW w:w="1670" w:type="dxa"/>
                            <w:tcBorders/>
                            <w:shd w:fill="D9D9D9" w:val="clear"/>
                            <w:vAlign w:val="center"/>
                          </w:tcPr>
                          <w:p>
                            <w:pPr>
                              <w:pStyle w:val="TableContents"/>
                              <w:bidi w:val="0"/>
                              <w:spacing w:before="0" w:after="283"/>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22.20%</w:t>
                            </w:r>
                          </w:p>
                        </w:tc>
                      </w:tr>
                      <w:tr>
                        <w:trPr/>
                        <w:tc>
                          <w:tcPr>
                            <w:tcW w:w="2240" w:type="dxa"/>
                            <w:tcBorders/>
                            <w:vAlign w:val="center"/>
                          </w:tcPr>
                          <w:p>
                            <w:pPr>
                              <w:pStyle w:val="TableContents"/>
                              <w:bidi w:val="0"/>
                              <w:spacing w:before="0" w:after="283"/>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10.00%</w:t>
                            </w:r>
                          </w:p>
                        </w:tc>
                        <w:tc>
                          <w:tcPr>
                            <w:tcW w:w="1670" w:type="dxa"/>
                            <w:tcBorders/>
                            <w:vAlign w:val="center"/>
                          </w:tcPr>
                          <w:p>
                            <w:pPr>
                              <w:pStyle w:val="TableContents"/>
                              <w:bidi w:val="0"/>
                              <w:spacing w:before="0" w:after="283"/>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22.20%</w:t>
                            </w:r>
                          </w:p>
                        </w:tc>
                      </w:tr>
                      <w:tr>
                        <w:trPr/>
                        <w:tc>
                          <w:tcPr>
                            <w:tcW w:w="2240" w:type="dxa"/>
                            <w:tcBorders/>
                            <w:shd w:fill="D9D9D9" w:val="clear"/>
                            <w:vAlign w:val="center"/>
                          </w:tcPr>
                          <w:p>
                            <w:pPr>
                              <w:pStyle w:val="TableContents"/>
                              <w:bidi w:val="0"/>
                              <w:spacing w:before="0" w:after="283"/>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7.40%</w:t>
                            </w:r>
                          </w:p>
                        </w:tc>
                        <w:tc>
                          <w:tcPr>
                            <w:tcW w:w="1670" w:type="dxa"/>
                            <w:tcBorders/>
                            <w:shd w:fill="D9D9D9" w:val="clear"/>
                            <w:vAlign w:val="center"/>
                          </w:tcPr>
                          <w:p>
                            <w:pPr>
                              <w:pStyle w:val="TableContents"/>
                              <w:bidi w:val="0"/>
                              <w:spacing w:before="0" w:after="283"/>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22.20%</w:t>
                            </w:r>
                          </w:p>
                        </w:tc>
                      </w:tr>
                      <w:tr>
                        <w:trPr/>
                        <w:tc>
                          <w:tcPr>
                            <w:tcW w:w="2240" w:type="dxa"/>
                            <w:tcBorders/>
                            <w:vAlign w:val="center"/>
                          </w:tcPr>
                          <w:p>
                            <w:pPr>
                              <w:pStyle w:val="TableContents"/>
                              <w:bidi w:val="0"/>
                              <w:spacing w:before="0" w:after="283"/>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5.00%</w:t>
                            </w:r>
                          </w:p>
                        </w:tc>
                        <w:tc>
                          <w:tcPr>
                            <w:tcW w:w="1670" w:type="dxa"/>
                            <w:tcBorders/>
                            <w:vAlign w:val="center"/>
                          </w:tcPr>
                          <w:p>
                            <w:pPr>
                              <w:pStyle w:val="TableContents"/>
                              <w:bidi w:val="0"/>
                              <w:spacing w:before="0" w:after="283"/>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15.00%</w:t>
                            </w:r>
                          </w:p>
                        </w:tc>
                      </w:tr>
                      <w:tr>
                        <w:trPr/>
                        <w:tc>
                          <w:tcPr>
                            <w:tcW w:w="2240" w:type="dxa"/>
                            <w:tcBorders/>
                            <w:shd w:fill="D9D9D9" w:val="clear"/>
                            <w:vAlign w:val="center"/>
                          </w:tcPr>
                          <w:p>
                            <w:pPr>
                              <w:pStyle w:val="TableContents"/>
                              <w:bidi w:val="0"/>
                              <w:spacing w:before="0" w:after="283"/>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1.00%</w:t>
                            </w:r>
                          </w:p>
                        </w:tc>
                        <w:tc>
                          <w:tcPr>
                            <w:tcW w:w="1670" w:type="dxa"/>
                            <w:tcBorders/>
                            <w:shd w:fill="D9D9D9" w:val="clear"/>
                            <w:vAlign w:val="center"/>
                          </w:tcPr>
                          <w:p>
                            <w:pPr>
                              <w:pStyle w:val="TableContents"/>
                              <w:bidi w:val="0"/>
                              <w:spacing w:before="0" w:after="283"/>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3.00%</w:t>
                            </w:r>
                          </w:p>
                        </w:tc>
                      </w:tr>
                      <w:tr>
                        <w:trPr/>
                        <w:tc>
                          <w:tcPr>
                            <w:tcW w:w="2240" w:type="dxa"/>
                            <w:tcBorders/>
                            <w:shd w:fill="FFFFFF" w:val="clear"/>
                            <w:vAlign w:val="center"/>
                          </w:tcPr>
                          <w:p>
                            <w:pPr>
                              <w:pStyle w:val="TableContents"/>
                              <w:bidi w:val="0"/>
                              <w:spacing w:before="0" w:after="283"/>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0.00%</w:t>
                            </w:r>
                          </w:p>
                        </w:tc>
                        <w:tc>
                          <w:tcPr>
                            <w:tcW w:w="1670" w:type="dxa"/>
                            <w:tcBorders/>
                            <w:shd w:fill="FFFFFF" w:val="clear"/>
                            <w:vAlign w:val="center"/>
                          </w:tcPr>
                          <w:p>
                            <w:pPr>
                              <w:pStyle w:val="TableContents"/>
                              <w:bidi w:val="0"/>
                              <w:spacing w:before="0" w:after="283"/>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0.00%</w:t>
                            </w:r>
                          </w:p>
                        </w:tc>
                      </w:tr>
                      <w:tr>
                        <w:trPr/>
                        <w:tc>
                          <w:tcPr>
                            <w:tcW w:w="2240" w:type="dxa"/>
                            <w:tcBorders/>
                            <w:shd w:fill="D9D9D9" w:val="clear"/>
                            <w:vAlign w:val="center"/>
                          </w:tcPr>
                          <w:p>
                            <w:pPr>
                              <w:pStyle w:val="TableContents"/>
                              <w:bidi w:val="0"/>
                              <w:spacing w:before="0" w:after="283"/>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-10.00%</w:t>
                            </w:r>
                          </w:p>
                        </w:tc>
                        <w:tc>
                          <w:tcPr>
                            <w:tcW w:w="1670" w:type="dxa"/>
                            <w:tcBorders/>
                            <w:shd w:fill="D9D9D9" w:val="clear"/>
                            <w:vAlign w:val="center"/>
                          </w:tcPr>
                          <w:p>
                            <w:pPr>
                              <w:pStyle w:val="TableContents"/>
                              <w:bidi w:val="0"/>
                              <w:spacing w:before="0" w:after="283"/>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-10.00%</w:t>
                            </w:r>
                          </w:p>
                        </w:tc>
                      </w:tr>
                      <w:tr>
                        <w:trPr/>
                        <w:tc>
                          <w:tcPr>
                            <w:tcW w:w="2240" w:type="dxa"/>
                            <w:tcBorders/>
                            <w:shd w:fill="FFFFFF" w:val="clear"/>
                            <w:vAlign w:val="center"/>
                          </w:tcPr>
                          <w:p>
                            <w:pPr>
                              <w:pStyle w:val="TableContents"/>
                              <w:bidi w:val="0"/>
                              <w:spacing w:before="0" w:after="283"/>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-20.00%</w:t>
                            </w:r>
                          </w:p>
                        </w:tc>
                        <w:tc>
                          <w:tcPr>
                            <w:tcW w:w="1670" w:type="dxa"/>
                            <w:tcBorders/>
                            <w:shd w:fill="FFFFFF" w:val="clear"/>
                            <w:vAlign w:val="center"/>
                          </w:tcPr>
                          <w:p>
                            <w:pPr>
                              <w:pStyle w:val="TableContents"/>
                              <w:bidi w:val="0"/>
                              <w:spacing w:before="0" w:after="283"/>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-20.00%</w:t>
                            </w:r>
                          </w:p>
                        </w:tc>
                      </w:tr>
                      <w:tr>
                        <w:trPr/>
                        <w:tc>
                          <w:tcPr>
                            <w:tcW w:w="2240" w:type="dxa"/>
                            <w:tcBorders/>
                            <w:shd w:fill="D9D9D9" w:val="clear"/>
                            <w:vAlign w:val="center"/>
                          </w:tcPr>
                          <w:p>
                            <w:pPr>
                              <w:pStyle w:val="TableContents"/>
                              <w:bidi w:val="0"/>
                              <w:spacing w:before="0" w:after="283"/>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-30.00%</w:t>
                            </w:r>
                          </w:p>
                        </w:tc>
                        <w:tc>
                          <w:tcPr>
                            <w:tcW w:w="1670" w:type="dxa"/>
                            <w:tcBorders/>
                            <w:shd w:fill="D9D9D9" w:val="clear"/>
                            <w:vAlign w:val="center"/>
                          </w:tcPr>
                          <w:p>
                            <w:pPr>
                              <w:pStyle w:val="TableContents"/>
                              <w:bidi w:val="0"/>
                              <w:spacing w:before="0" w:after="283"/>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-30.00%</w:t>
                            </w:r>
                          </w:p>
                        </w:tc>
                      </w:tr>
                      <w:tr>
                        <w:trPr/>
                        <w:tc>
                          <w:tcPr>
                            <w:tcW w:w="2240" w:type="dxa"/>
                            <w:tcBorders/>
                            <w:shd w:fill="FFFFFF" w:val="clear"/>
                            <w:vAlign w:val="center"/>
                          </w:tcPr>
                          <w:p>
                            <w:pPr>
                              <w:pStyle w:val="TableContents"/>
                              <w:bidi w:val="0"/>
                              <w:spacing w:before="0" w:after="283"/>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-40.00%</w:t>
                            </w:r>
                          </w:p>
                        </w:tc>
                        <w:tc>
                          <w:tcPr>
                            <w:tcW w:w="1670" w:type="dxa"/>
                            <w:tcBorders/>
                            <w:shd w:fill="FFFFFF" w:val="clear"/>
                            <w:vAlign w:val="center"/>
                          </w:tcPr>
                          <w:p>
                            <w:pPr>
                              <w:pStyle w:val="TableContents"/>
                              <w:bidi w:val="0"/>
                              <w:spacing w:before="0" w:after="283"/>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-40.00%</w:t>
                            </w:r>
                          </w:p>
                        </w:tc>
                      </w:tr>
                      <w:tr>
                        <w:trPr/>
                        <w:tc>
                          <w:tcPr>
                            <w:tcW w:w="2240" w:type="dxa"/>
                            <w:tcBorders/>
                            <w:shd w:fill="D9D9D9" w:val="clear"/>
                            <w:vAlign w:val="center"/>
                          </w:tcPr>
                          <w:p>
                            <w:pPr>
                              <w:pStyle w:val="TableContents"/>
                              <w:bidi w:val="0"/>
                              <w:spacing w:before="0" w:after="283"/>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-50.00%</w:t>
                            </w:r>
                          </w:p>
                        </w:tc>
                        <w:tc>
                          <w:tcPr>
                            <w:tcW w:w="1670" w:type="dxa"/>
                            <w:tcBorders/>
                            <w:shd w:fill="D9D9D9" w:val="clear"/>
                            <w:vAlign w:val="center"/>
                          </w:tcPr>
                          <w:p>
                            <w:pPr>
                              <w:pStyle w:val="TableContents"/>
                              <w:bidi w:val="0"/>
                              <w:spacing w:before="0" w:after="283"/>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-50.00%</w:t>
                            </w:r>
                          </w:p>
                        </w:tc>
                      </w:tr>
                      <w:tr>
                        <w:trPr/>
                        <w:tc>
                          <w:tcPr>
                            <w:tcW w:w="2240" w:type="dxa"/>
                            <w:tcBorders/>
                            <w:shd w:fill="FFFFFF" w:val="clear"/>
                            <w:vAlign w:val="center"/>
                          </w:tcPr>
                          <w:p>
                            <w:pPr>
                              <w:pStyle w:val="TableContents"/>
                              <w:bidi w:val="0"/>
                              <w:spacing w:before="0" w:after="283"/>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-60.00%</w:t>
                            </w:r>
                          </w:p>
                        </w:tc>
                        <w:tc>
                          <w:tcPr>
                            <w:tcW w:w="1670" w:type="dxa"/>
                            <w:tcBorders/>
                            <w:shd w:fill="FFFFFF" w:val="clear"/>
                            <w:vAlign w:val="center"/>
                          </w:tcPr>
                          <w:p>
                            <w:pPr>
                              <w:pStyle w:val="TableContents"/>
                              <w:bidi w:val="0"/>
                              <w:spacing w:before="0" w:after="283"/>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-60.00%</w:t>
                            </w:r>
                          </w:p>
                        </w:tc>
                      </w:tr>
                    </w:tbl>
                    <w:tbl>
                      <w:tblPr>
                        <w:tblW w:w="6214" w:type="dxa"/>
                        <w:jc w:val="left"/>
                        <w:tblInd w:w="0" w:type="dxa"/>
                        <w:tblLayout w:type="fixed"/>
                        <w:tblCellMar>
                          <w:top w:w="0" w:type="dxa"/>
                          <w:left w:w="0" w:type="dxa"/>
                          <w:bottom w:w="0" w:type="dxa"/>
                          <w:right w:w="0" w:type="dxa"/>
                        </w:tblCellMar>
                      </w:tblPr>
                      <w:tblGrid>
                        <w:gridCol w:w="3107"/>
                        <w:gridCol w:w="3107"/>
                      </w:tblGrid>
                      <w:tr>
                        <w:trPr/>
                        <w:tc>
                          <w:tcPr>
                            <w:tcW w:w="3107" w:type="dxa"/>
                            <w:tcBorders/>
                            <w:shd w:fill="D9D9D9" w:val="clear"/>
                            <w:vAlign w:val="center"/>
                          </w:tcPr>
                          <w:p>
                            <w:pPr>
                              <w:pStyle w:val="TableContents"/>
                              <w:bidi w:val="0"/>
                              <w:spacing w:before="0" w:after="283"/>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-80.00%</w:t>
                            </w:r>
                          </w:p>
                        </w:tc>
                        <w:tc>
                          <w:tcPr>
                            <w:tcW w:w="3107" w:type="dxa"/>
                            <w:tcBorders/>
                            <w:shd w:fill="D9D9D9" w:val="clear"/>
                            <w:vAlign w:val="center"/>
                          </w:tcPr>
                          <w:p>
                            <w:pPr>
                              <w:pStyle w:val="TableContents"/>
                              <w:bidi w:val="0"/>
                              <w:spacing w:before="0" w:after="283"/>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-80.00%</w:t>
                            </w:r>
                          </w:p>
                        </w:tc>
                      </w:tr>
                      <w:tr>
                        <w:trPr/>
                        <w:tc>
                          <w:tcPr>
                            <w:tcW w:w="3107" w:type="dxa"/>
                            <w:tcBorders/>
                            <w:shd w:fill="FFFFFF" w:val="clear"/>
                            <w:vAlign w:val="center"/>
                          </w:tcPr>
                          <w:p>
                            <w:pPr>
                              <w:pStyle w:val="TableContents"/>
                              <w:bidi w:val="0"/>
                              <w:spacing w:before="0" w:after="283"/>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-100.00%</w:t>
                            </w:r>
                          </w:p>
                        </w:tc>
                        <w:tc>
                          <w:tcPr>
                            <w:tcW w:w="3107" w:type="dxa"/>
                            <w:tcBorders/>
                            <w:shd w:fill="FFFFFF" w:val="clear"/>
                            <w:vAlign w:val="center"/>
                          </w:tcPr>
                          <w:p>
                            <w:pPr>
                              <w:pStyle w:val="TableContents"/>
                              <w:bidi w:val="0"/>
                              <w:spacing w:before="0" w:after="283"/>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-100.00%</w:t>
                            </w:r>
                          </w:p>
                        </w:tc>
                      </w:tr>
                      <w:tr>
                        <w:trPr/>
                        <w:tc>
                          <w:tcPr>
                            <w:tcW w:w="6214" w:type="dxa"/>
                            <w:gridSpan w:val="2"/>
                            <w:tcBorders/>
                            <w:vAlign w:val="center"/>
                          </w:tcPr>
                          <w:p>
                            <w:pPr>
                              <w:pStyle w:val="TableContents"/>
                              <w:bidi w:val="0"/>
                              <w:spacing w:before="0" w:after="283"/>
                              <w:jc w:val="center"/>
                              <w:rPr>
                                <w:rFonts w:ascii="Arial;Helvetica;Sans-Serif" w:hAnsi="Arial;Helvetica;Sans-Serif"/>
                                <w:b w:val="false"/>
                                <w:i/>
                                <w:caps w:val="false"/>
                                <w:smallCaps w:val="false"/>
                                <w:sz w:val="16"/>
                              </w:rPr>
                            </w:pPr>
                            <w:r>
                              <w:rPr>
                                <w:rFonts w:ascii="Arial;Helvetica;Sans-Serif" w:hAnsi="Arial;Helvetica;Sans-Serif"/>
                                <w:b w:val="false"/>
                                <w:i/>
                                <w:caps w:val="false"/>
                                <w:smallCaps w:val="false"/>
                                <w:sz w:val="16"/>
                              </w:rPr>
                              <w:t>*Assumes a maximum payment at maturity of 122.20% of the stated principal amount</w:t>
                            </w:r>
                          </w:p>
                        </w:tc>
                      </w:tr>
                    </w:tbl>
                    <w:p>
                      <w:pPr>
                        <w:pStyle w:val="TextBody"/>
                        <w:bidi w:val="0"/>
                        <w:spacing w:before="0" w:after="283"/>
                        <w:jc w:val="left"/>
                        <w:rPr/>
                      </w:pPr>
                      <w:r>
                        <w:rPr/>
                      </w:r>
                    </w:p>
                  </w:txbxContent>
                </v:textbox>
                <w10:wrap type="square" side="left"/>
              </v:rect>
            </w:pict>
          </mc:Fallback>
        </mc:AlternateConten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jc w:val="left"/>
        <w:rPr>
          <w:rFonts w:ascii="Arial;Helvetica;Sans-Serif" w:hAnsi="Arial;Helvetica;Sans-Serif"/>
          <w:b/>
          <w:i w:val="false"/>
          <w:caps w:val="false"/>
          <w:smallCaps w:val="false"/>
          <w:color w:val="808080"/>
          <w:sz w:val="24"/>
        </w:rPr>
      </w:pPr>
      <w:r>
        <w:rPr>
          <w:rFonts w:ascii="Arial;Helvetica;Sans-Serif" w:hAnsi="Arial;Helvetica;Sans-Serif"/>
          <w:b/>
          <w:i w:val="false"/>
          <w:caps w:val="false"/>
          <w:smallCaps w:val="false"/>
          <w:color w:val="808080"/>
          <w:sz w:val="24"/>
        </w:rPr>
        <w:t>JPMorgan Chase Financial Company LLC</w:t>
      </w:r>
    </w:p>
    <w:p>
      <w:pPr>
        <w:pStyle w:val="TextBody"/>
        <w:pBdr>
          <w:bottom w:val="single" w:sz="4" w:space="1" w:color="296DC1"/>
        </w:pBdr>
        <w:bidi w:val="0"/>
        <w:jc w:val="left"/>
        <w:rPr>
          <w:rFonts w:ascii="Arial;Helvetica;Sans-Serif" w:hAnsi="Arial;Helvetica;Sans-Serif"/>
          <w:b w:val="false"/>
          <w:i w:val="false"/>
          <w:caps w:val="false"/>
          <w:smallCaps w:val="false"/>
          <w:color w:val="296DC1"/>
          <w:sz w:val="32"/>
        </w:rPr>
      </w:pPr>
      <w:r>
        <w:rPr>
          <w:rFonts w:ascii="Arial;Helvetica;Sans-Serif" w:hAnsi="Arial;Helvetica;Sans-Serif"/>
          <w:b w:val="false"/>
          <w:i w:val="false"/>
          <w:caps w:val="false"/>
          <w:smallCaps w:val="false"/>
          <w:color w:val="296DC1"/>
          <w:sz w:val="32"/>
        </w:rPr>
        <w:t>15.5-Month RTY PLUS</w:t>
      </w:r>
    </w:p>
    <w:p>
      <w:pPr>
        <w:pStyle w:val="TextBody"/>
        <w:bidi w:val="0"/>
        <w:spacing w:before="120" w:after="60"/>
        <w:ind w:left="120" w:right="120" w:hanging="0"/>
        <w:jc w:val="left"/>
        <w:rPr>
          <w:rFonts w:ascii="Arial;Helvetica;Sans-Serif" w:hAnsi="Arial;Helvetica;Sans-Serif"/>
          <w:b w:val="false"/>
          <w:i w:val="false"/>
          <w:caps w:val="false"/>
          <w:smallCaps w:val="false"/>
          <w:color w:val="296DC1"/>
          <w:sz w:val="28"/>
        </w:rPr>
      </w:pPr>
      <w:r>
        <w:rPr>
          <w:rFonts w:ascii="Arial;Helvetica;Sans-Serif" w:hAnsi="Arial;Helvetica;Sans-Serif"/>
          <w:b w:val="false"/>
          <w:i w:val="false"/>
          <w:caps w:val="false"/>
          <w:smallCaps w:val="false"/>
          <w:color w:val="296DC1"/>
          <w:sz w:val="28"/>
        </w:rPr>
        <w:t>Underlying Index</w:t>
      </w:r>
    </w:p>
    <w:p>
      <w:pPr>
        <w:pStyle w:val="TextBody"/>
        <w:bidi w:val="0"/>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For more information about the underlying index, including historical performance information, see the accompanying preliminary pricing supplement.</w:t>
      </w:r>
    </w:p>
    <w:p>
      <w:pPr>
        <w:pStyle w:val="TextBody"/>
        <w:bidi w:val="0"/>
        <w:spacing w:before="120" w:after="60"/>
        <w:ind w:left="120" w:right="120" w:hanging="0"/>
        <w:jc w:val="left"/>
        <w:rPr>
          <w:rFonts w:ascii="Arial;Helvetica;Sans-Serif" w:hAnsi="Arial;Helvetica;Sans-Serif"/>
          <w:b w:val="false"/>
          <w:i w:val="false"/>
          <w:caps w:val="false"/>
          <w:smallCaps w:val="false"/>
          <w:color w:val="296DC1"/>
          <w:sz w:val="28"/>
        </w:rPr>
      </w:pPr>
      <w:r>
        <w:rPr>
          <w:rFonts w:ascii="Arial;Helvetica;Sans-Serif" w:hAnsi="Arial;Helvetica;Sans-Serif"/>
          <w:b w:val="false"/>
          <w:i w:val="false"/>
          <w:caps w:val="false"/>
          <w:smallCaps w:val="false"/>
          <w:color w:val="296DC1"/>
          <w:sz w:val="28"/>
        </w:rPr>
        <w:t>Risk Considerations</w:t>
      </w:r>
    </w:p>
    <w:p>
      <w:pPr>
        <w:pStyle w:val="TextBody"/>
        <w:bidi w:val="0"/>
        <w:spacing w:before="0" w:after="60"/>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The risks identified below are not exhaustive. Please see “Risk Factors” in the accompanying prospectus supplement, product supplement and preliminary pricing supplement for additional information.</w:t>
      </w:r>
    </w:p>
    <w:p>
      <w:pPr>
        <w:pStyle w:val="TextBody"/>
        <w:bidi w:val="0"/>
        <w:ind w:left="360" w:right="0" w:hanging="360"/>
        <w:jc w:val="left"/>
        <w:rPr>
          <w:rFonts w:ascii="Arial;Helvetica;Sans-Serif" w:hAnsi="Arial;Helvetica;Sans-Serif"/>
          <w:b w:val="false"/>
          <w:i w:val="false"/>
          <w:caps w:val="false"/>
          <w:smallCaps w:val="false"/>
          <w:color w:val="296DC1"/>
          <w:sz w:val="20"/>
        </w:rPr>
      </w:pPr>
      <w:r>
        <w:rPr>
          <w:rFonts w:ascii="Arial;Helvetica;Sans-Serif" w:hAnsi="Arial;Helvetica;Sans-Serif"/>
          <w:b w:val="false"/>
          <w:i w:val="false"/>
          <w:caps w:val="false"/>
          <w:smallCaps w:val="false"/>
          <w:color w:val="296DC1"/>
          <w:sz w:val="20"/>
        </w:rPr>
        <w:t>Risks Relating to the PLUS Generally</w:t>
      </w:r>
    </w:p>
    <w:tbl>
      <w:tblPr>
        <w:tblW w:w="5000" w:type="pct"/>
        <w:jc w:val="left"/>
        <w:tblInd w:w="0" w:type="dxa"/>
        <w:tblLayout w:type="fixed"/>
        <w:tblCellMar>
          <w:top w:w="0" w:type="dxa"/>
          <w:left w:w="0" w:type="dxa"/>
          <w:bottom w:w="0" w:type="dxa"/>
          <w:right w:w="0" w:type="dxa"/>
        </w:tblCellMar>
      </w:tblPr>
      <w:tblGrid>
        <w:gridCol w:w="43"/>
        <w:gridCol w:w="142"/>
        <w:gridCol w:w="10020"/>
      </w:tblGrid>
      <w:tr>
        <w:trPr/>
        <w:tc>
          <w:tcPr>
            <w:tcW w:w="43"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rFonts w:ascii="Wingdings" w:hAnsi="Wingdings"/>
                <w:color w:val="A3C4EB"/>
                <w:sz w:val="24"/>
              </w:rPr>
            </w:pPr>
            <w:r>
              <w:rPr>
                <w:rFonts w:ascii="Wingdings" w:hAnsi="Wingdings"/>
                <w:color w:val="A3C4EB"/>
                <w:sz w:val="24"/>
              </w:rPr>
              <w:t>§</w:t>
            </w:r>
          </w:p>
        </w:tc>
        <w:tc>
          <w:tcPr>
            <w:tcW w:w="10020" w:type="dxa"/>
            <w:tcBorders/>
            <w:vAlign w:val="center"/>
          </w:tcPr>
          <w:p>
            <w:pPr>
              <w:pStyle w:val="TableContents"/>
              <w:bidi w:val="0"/>
              <w:spacing w:before="0" w:after="283"/>
              <w:jc w:val="left"/>
              <w:rPr>
                <w:sz w:val="18"/>
              </w:rPr>
            </w:pPr>
            <w:r>
              <w:rPr>
                <w:sz w:val="18"/>
              </w:rPr>
              <w:t>The PLUS do not pay interest or guarantee the return of any principal and your investment in the PLUS may result in a loss.</w:t>
            </w:r>
          </w:p>
        </w:tc>
      </w:tr>
    </w:tbl>
    <w:tbl>
      <w:tblPr>
        <w:tblW w:w="5000" w:type="pct"/>
        <w:jc w:val="left"/>
        <w:tblInd w:w="0" w:type="dxa"/>
        <w:tblLayout w:type="fixed"/>
        <w:tblCellMar>
          <w:top w:w="0" w:type="dxa"/>
          <w:left w:w="0" w:type="dxa"/>
          <w:bottom w:w="0" w:type="dxa"/>
          <w:right w:w="0" w:type="dxa"/>
        </w:tblCellMar>
      </w:tblPr>
      <w:tblGrid>
        <w:gridCol w:w="60"/>
        <w:gridCol w:w="201"/>
        <w:gridCol w:w="9944"/>
      </w:tblGrid>
      <w:tr>
        <w:trPr/>
        <w:tc>
          <w:tcPr>
            <w:tcW w:w="60"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rFonts w:ascii="Wingdings" w:hAnsi="Wingdings"/>
                <w:color w:val="A3C4EB"/>
                <w:sz w:val="24"/>
              </w:rPr>
            </w:pPr>
            <w:r>
              <w:rPr>
                <w:rFonts w:ascii="Wingdings" w:hAnsi="Wingdings"/>
                <w:color w:val="A3C4EB"/>
                <w:sz w:val="24"/>
              </w:rPr>
              <w:t>§</w:t>
            </w:r>
          </w:p>
        </w:tc>
        <w:tc>
          <w:tcPr>
            <w:tcW w:w="9944" w:type="dxa"/>
            <w:tcBorders/>
            <w:vAlign w:val="center"/>
          </w:tcPr>
          <w:p>
            <w:pPr>
              <w:pStyle w:val="TableContents"/>
              <w:bidi w:val="0"/>
              <w:spacing w:before="0" w:after="283"/>
              <w:jc w:val="left"/>
              <w:rPr>
                <w:sz w:val="18"/>
              </w:rPr>
            </w:pPr>
            <w:r>
              <w:rPr>
                <w:sz w:val="18"/>
              </w:rPr>
              <w:t>The appreciation potential of the PLUS is limited by the maximum payment at maturity.</w:t>
            </w:r>
          </w:p>
        </w:tc>
      </w:tr>
    </w:tbl>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Wingdings" w:hAnsi="Wingdings"/>
                <w:color w:val="A3C4EB"/>
                <w:sz w:val="24"/>
              </w:rPr>
            </w:pPr>
            <w:r>
              <w:rPr>
                <w:rFonts w:ascii="Wingdings" w:hAnsi="Wingdings"/>
                <w:color w:val="A3C4EB"/>
                <w:sz w:val="24"/>
              </w:rPr>
              <w:t>§</w:t>
            </w:r>
          </w:p>
        </w:tc>
        <w:tc>
          <w:tcPr>
            <w:tcW w:w="10043" w:type="dxa"/>
            <w:tcBorders/>
            <w:vAlign w:val="center"/>
          </w:tcPr>
          <w:p>
            <w:pPr>
              <w:pStyle w:val="TableContents"/>
              <w:bidi w:val="0"/>
              <w:spacing w:before="0" w:after="283"/>
              <w:jc w:val="left"/>
              <w:rPr>
                <w:sz w:val="18"/>
              </w:rPr>
            </w:pPr>
            <w:r>
              <w:rPr>
                <w:sz w:val="18"/>
              </w:rPr>
              <w:t>The PLUS are subject to the credit risks of JPMorgan Financial and JPMorgan Chase &amp; Co., and any actual or anticipated changes to our or JPMorgan Chase &amp; Co.’s credit ratings or credit spreads may adversely affect the market value of the PLUS.</w:t>
            </w:r>
          </w:p>
        </w:tc>
      </w:tr>
    </w:tbl>
    <w:tbl>
      <w:tblPr>
        <w:tblW w:w="5000" w:type="pct"/>
        <w:jc w:val="left"/>
        <w:tblInd w:w="0" w:type="dxa"/>
        <w:tblLayout w:type="fixed"/>
        <w:tblCellMar>
          <w:top w:w="0" w:type="dxa"/>
          <w:left w:w="0" w:type="dxa"/>
          <w:bottom w:w="0" w:type="dxa"/>
          <w:right w:w="0" w:type="dxa"/>
        </w:tblCellMar>
      </w:tblPr>
      <w:tblGrid>
        <w:gridCol w:w="54"/>
        <w:gridCol w:w="180"/>
        <w:gridCol w:w="9971"/>
      </w:tblGrid>
      <w:tr>
        <w:trPr/>
        <w:tc>
          <w:tcPr>
            <w:tcW w:w="54"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rFonts w:ascii="Wingdings" w:hAnsi="Wingdings"/>
                <w:color w:val="A3C4EB"/>
                <w:sz w:val="24"/>
              </w:rPr>
            </w:pPr>
            <w:r>
              <w:rPr>
                <w:rFonts w:ascii="Wingdings" w:hAnsi="Wingdings"/>
                <w:color w:val="A3C4EB"/>
                <w:sz w:val="24"/>
              </w:rPr>
              <w:t>§</w:t>
            </w:r>
          </w:p>
        </w:tc>
        <w:tc>
          <w:tcPr>
            <w:tcW w:w="9971" w:type="dxa"/>
            <w:tcBorders/>
            <w:vAlign w:val="center"/>
          </w:tcPr>
          <w:p>
            <w:pPr>
              <w:pStyle w:val="TableContents"/>
              <w:bidi w:val="0"/>
              <w:spacing w:before="0" w:after="283"/>
              <w:jc w:val="left"/>
              <w:rPr>
                <w:sz w:val="18"/>
              </w:rPr>
            </w:pPr>
            <w:r>
              <w:rPr>
                <w:sz w:val="18"/>
              </w:rPr>
              <w:t>As a finance subsidiary, JPMorgan Financial has no independent activities and has limited assets.</w:t>
            </w:r>
          </w:p>
        </w:tc>
      </w:tr>
    </w:tbl>
    <w:tbl>
      <w:tblPr>
        <w:tblW w:w="5000" w:type="pct"/>
        <w:jc w:val="left"/>
        <w:tblInd w:w="0" w:type="dxa"/>
        <w:tblLayout w:type="fixed"/>
        <w:tblCellMar>
          <w:top w:w="0" w:type="dxa"/>
          <w:left w:w="0" w:type="dxa"/>
          <w:bottom w:w="0" w:type="dxa"/>
          <w:right w:w="0" w:type="dxa"/>
        </w:tblCellMar>
      </w:tblPr>
      <w:tblGrid>
        <w:gridCol w:w="148"/>
        <w:gridCol w:w="488"/>
        <w:gridCol w:w="9569"/>
      </w:tblGrid>
      <w:tr>
        <w:trPr/>
        <w:tc>
          <w:tcPr>
            <w:tcW w:w="14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rFonts w:ascii="Wingdings" w:hAnsi="Wingdings"/>
                <w:color w:val="A3C4EB"/>
                <w:sz w:val="24"/>
              </w:rPr>
            </w:pPr>
            <w:r>
              <w:rPr>
                <w:rFonts w:ascii="Wingdings" w:hAnsi="Wingdings"/>
                <w:color w:val="A3C4EB"/>
                <w:sz w:val="24"/>
              </w:rPr>
              <w:t>§</w:t>
            </w:r>
          </w:p>
        </w:tc>
        <w:tc>
          <w:tcPr>
            <w:tcW w:w="9569" w:type="dxa"/>
            <w:tcBorders/>
            <w:vAlign w:val="center"/>
          </w:tcPr>
          <w:p>
            <w:pPr>
              <w:pStyle w:val="TableContents"/>
              <w:bidi w:val="0"/>
              <w:spacing w:before="0" w:after="283"/>
              <w:jc w:val="left"/>
              <w:rPr>
                <w:sz w:val="18"/>
              </w:rPr>
            </w:pPr>
            <w:r>
              <w:rPr>
                <w:sz w:val="18"/>
              </w:rPr>
              <w:t>Secondary trading may be limited.</w:t>
            </w:r>
          </w:p>
        </w:tc>
      </w:tr>
    </w:tbl>
    <w:tbl>
      <w:tblPr>
        <w:tblW w:w="5000" w:type="pct"/>
        <w:jc w:val="left"/>
        <w:tblInd w:w="0" w:type="dxa"/>
        <w:tblLayout w:type="fixed"/>
        <w:tblCellMar>
          <w:top w:w="0" w:type="dxa"/>
          <w:left w:w="0" w:type="dxa"/>
          <w:bottom w:w="0" w:type="dxa"/>
          <w:right w:w="0" w:type="dxa"/>
        </w:tblCellMar>
      </w:tblPr>
      <w:tblGrid>
        <w:gridCol w:w="55"/>
        <w:gridCol w:w="183"/>
        <w:gridCol w:w="9967"/>
      </w:tblGrid>
      <w:tr>
        <w:trPr/>
        <w:tc>
          <w:tcPr>
            <w:tcW w:w="55"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rFonts w:ascii="Wingdings" w:hAnsi="Wingdings"/>
                <w:color w:val="A3C4EB"/>
                <w:sz w:val="24"/>
              </w:rPr>
            </w:pPr>
            <w:r>
              <w:rPr>
                <w:rFonts w:ascii="Wingdings" w:hAnsi="Wingdings"/>
                <w:color w:val="A3C4EB"/>
                <w:sz w:val="24"/>
              </w:rPr>
              <w:t>§</w:t>
            </w:r>
          </w:p>
        </w:tc>
        <w:tc>
          <w:tcPr>
            <w:tcW w:w="9967" w:type="dxa"/>
            <w:tcBorders/>
            <w:vAlign w:val="center"/>
          </w:tcPr>
          <w:p>
            <w:pPr>
              <w:pStyle w:val="TableContents"/>
              <w:bidi w:val="0"/>
              <w:spacing w:before="0" w:after="283"/>
              <w:jc w:val="left"/>
              <w:rPr>
                <w:sz w:val="18"/>
              </w:rPr>
            </w:pPr>
            <w:r>
              <w:rPr>
                <w:sz w:val="18"/>
              </w:rPr>
              <w:t>The final terms and estimated valuation of the PLUS will be provided in the pricing supplement.</w:t>
            </w:r>
          </w:p>
        </w:tc>
      </w:tr>
    </w:tbl>
    <w:tbl>
      <w:tblPr>
        <w:tblW w:w="5000" w:type="pct"/>
        <w:jc w:val="left"/>
        <w:tblInd w:w="0" w:type="dxa"/>
        <w:tblLayout w:type="fixed"/>
        <w:tblCellMar>
          <w:top w:w="0" w:type="dxa"/>
          <w:left w:w="0" w:type="dxa"/>
          <w:bottom w:w="0" w:type="dxa"/>
          <w:right w:w="0" w:type="dxa"/>
        </w:tblCellMar>
      </w:tblPr>
      <w:tblGrid>
        <w:gridCol w:w="79"/>
        <w:gridCol w:w="261"/>
        <w:gridCol w:w="9865"/>
      </w:tblGrid>
      <w:tr>
        <w:trPr/>
        <w:tc>
          <w:tcPr>
            <w:tcW w:w="79"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rFonts w:ascii="Wingdings" w:hAnsi="Wingdings"/>
                <w:color w:val="A3C4EB"/>
                <w:sz w:val="24"/>
              </w:rPr>
            </w:pPr>
            <w:r>
              <w:rPr>
                <w:rFonts w:ascii="Wingdings" w:hAnsi="Wingdings"/>
                <w:color w:val="A3C4EB"/>
                <w:sz w:val="24"/>
              </w:rPr>
              <w:t>§</w:t>
            </w:r>
          </w:p>
        </w:tc>
        <w:tc>
          <w:tcPr>
            <w:tcW w:w="9865" w:type="dxa"/>
            <w:tcBorders/>
            <w:vAlign w:val="center"/>
          </w:tcPr>
          <w:p>
            <w:pPr>
              <w:pStyle w:val="TableContents"/>
              <w:bidi w:val="0"/>
              <w:spacing w:before="0" w:after="283"/>
              <w:jc w:val="left"/>
              <w:rPr>
                <w:sz w:val="18"/>
              </w:rPr>
            </w:pPr>
            <w:r>
              <w:rPr>
                <w:sz w:val="18"/>
              </w:rPr>
              <w:t>The tax consequences of an investment in the PLUS are uncertain.</w:t>
            </w:r>
          </w:p>
        </w:tc>
      </w:tr>
    </w:tbl>
    <w:p>
      <w:pPr>
        <w:pStyle w:val="TextBody"/>
        <w:bidi w:val="0"/>
        <w:ind w:left="360" w:right="0" w:hanging="360"/>
        <w:jc w:val="left"/>
        <w:rPr>
          <w:rFonts w:ascii="Arial;Helvetica;Sans-Serif" w:hAnsi="Arial;Helvetica;Sans-Serif"/>
          <w:b w:val="false"/>
          <w:i w:val="false"/>
          <w:caps w:val="false"/>
          <w:smallCaps w:val="false"/>
          <w:color w:val="296DC1"/>
          <w:sz w:val="20"/>
        </w:rPr>
      </w:pPr>
      <w:r>
        <w:rPr>
          <w:rFonts w:ascii="Arial;Helvetica;Sans-Serif" w:hAnsi="Arial;Helvetica;Sans-Serif"/>
          <w:b w:val="false"/>
          <w:i w:val="false"/>
          <w:caps w:val="false"/>
          <w:smallCaps w:val="false"/>
          <w:color w:val="296DC1"/>
          <w:sz w:val="20"/>
        </w:rPr>
        <w:t>Risks Relating to Conflicts of Interest</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Wingdings" w:hAnsi="Wingdings"/>
                <w:color w:val="A3C4EB"/>
                <w:sz w:val="24"/>
              </w:rPr>
            </w:pPr>
            <w:r>
              <w:rPr>
                <w:rFonts w:ascii="Wingdings" w:hAnsi="Wingdings"/>
                <w:color w:val="A3C4EB"/>
                <w:sz w:val="24"/>
              </w:rPr>
              <w:t>§</w:t>
            </w:r>
          </w:p>
        </w:tc>
        <w:tc>
          <w:tcPr>
            <w:tcW w:w="10043" w:type="dxa"/>
            <w:tcBorders/>
            <w:vAlign w:val="center"/>
          </w:tcPr>
          <w:p>
            <w:pPr>
              <w:pStyle w:val="TableContents"/>
              <w:bidi w:val="0"/>
              <w:spacing w:before="0" w:after="283"/>
              <w:jc w:val="left"/>
              <w:rPr>
                <w:sz w:val="18"/>
              </w:rPr>
            </w:pPr>
            <w:r>
              <w:rPr>
                <w:sz w:val="18"/>
              </w:rPr>
              <w:t>Economic interests of the issuer, the guarantor, the calculation agent, the agent of the offering of the PLUS and other affiliates of the issuer may be different from those of investors.</w:t>
            </w:r>
          </w:p>
        </w:tc>
      </w:tr>
    </w:tbl>
    <w:tbl>
      <w:tblPr>
        <w:tblW w:w="5000" w:type="pct"/>
        <w:jc w:val="left"/>
        <w:tblInd w:w="0" w:type="dxa"/>
        <w:tblLayout w:type="fixed"/>
        <w:tblCellMar>
          <w:top w:w="0" w:type="dxa"/>
          <w:left w:w="0" w:type="dxa"/>
          <w:bottom w:w="0" w:type="dxa"/>
          <w:right w:w="0" w:type="dxa"/>
        </w:tblCellMar>
      </w:tblPr>
      <w:tblGrid>
        <w:gridCol w:w="50"/>
        <w:gridCol w:w="165"/>
        <w:gridCol w:w="9990"/>
      </w:tblGrid>
      <w:tr>
        <w:trPr/>
        <w:tc>
          <w:tcPr>
            <w:tcW w:w="50"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rFonts w:ascii="Wingdings" w:hAnsi="Wingdings"/>
                <w:color w:val="A3C4EB"/>
                <w:sz w:val="24"/>
              </w:rPr>
            </w:pPr>
            <w:r>
              <w:rPr>
                <w:rFonts w:ascii="Wingdings" w:hAnsi="Wingdings"/>
                <w:color w:val="A3C4EB"/>
                <w:sz w:val="24"/>
              </w:rPr>
              <w:t>§</w:t>
            </w:r>
          </w:p>
        </w:tc>
        <w:tc>
          <w:tcPr>
            <w:tcW w:w="9990" w:type="dxa"/>
            <w:tcBorders/>
            <w:vAlign w:val="center"/>
          </w:tcPr>
          <w:p>
            <w:pPr>
              <w:pStyle w:val="TableContents"/>
              <w:bidi w:val="0"/>
              <w:spacing w:before="0" w:after="283"/>
              <w:jc w:val="left"/>
              <w:rPr>
                <w:sz w:val="18"/>
              </w:rPr>
            </w:pPr>
            <w:r>
              <w:rPr>
                <w:sz w:val="18"/>
              </w:rPr>
              <w:t>Hedging and trading activities by the issuer and its affiliates could potentially affect the value of the PLUS.</w:t>
            </w:r>
          </w:p>
        </w:tc>
      </w:tr>
    </w:tbl>
    <w:p>
      <w:pPr>
        <w:pStyle w:val="TextBody"/>
        <w:bidi w:val="0"/>
        <w:ind w:left="360" w:right="0" w:hanging="360"/>
        <w:jc w:val="left"/>
        <w:rPr>
          <w:rFonts w:ascii="Arial;Helvetica;Sans-Serif" w:hAnsi="Arial;Helvetica;Sans-Serif"/>
          <w:b w:val="false"/>
          <w:i w:val="false"/>
          <w:caps w:val="false"/>
          <w:smallCaps w:val="false"/>
          <w:color w:val="296DC1"/>
          <w:sz w:val="20"/>
        </w:rPr>
      </w:pPr>
      <w:r>
        <w:rPr>
          <w:rFonts w:ascii="Arial;Helvetica;Sans-Serif" w:hAnsi="Arial;Helvetica;Sans-Serif"/>
          <w:b w:val="false"/>
          <w:i w:val="false"/>
          <w:caps w:val="false"/>
          <w:smallCaps w:val="false"/>
          <w:color w:val="296DC1"/>
          <w:sz w:val="20"/>
        </w:rPr>
        <w:t>Risks Relating to the Estimated Value and Secondary Market Prices of the PLUS</w:t>
      </w:r>
    </w:p>
    <w:tbl>
      <w:tblPr>
        <w:tblW w:w="5000" w:type="pct"/>
        <w:jc w:val="left"/>
        <w:tblInd w:w="0" w:type="dxa"/>
        <w:tblLayout w:type="fixed"/>
        <w:tblCellMar>
          <w:top w:w="0" w:type="dxa"/>
          <w:left w:w="0" w:type="dxa"/>
          <w:bottom w:w="0" w:type="dxa"/>
          <w:right w:w="0" w:type="dxa"/>
        </w:tblCellMar>
      </w:tblPr>
      <w:tblGrid>
        <w:gridCol w:w="50"/>
        <w:gridCol w:w="167"/>
        <w:gridCol w:w="9988"/>
      </w:tblGrid>
      <w:tr>
        <w:trPr/>
        <w:tc>
          <w:tcPr>
            <w:tcW w:w="50"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rFonts w:ascii="Wingdings" w:hAnsi="Wingdings"/>
                <w:b w:val="false"/>
                <w:color w:val="A3C4EB"/>
                <w:sz w:val="24"/>
              </w:rPr>
            </w:pPr>
            <w:r>
              <w:rPr>
                <w:rFonts w:ascii="Wingdings" w:hAnsi="Wingdings"/>
                <w:b w:val="false"/>
                <w:color w:val="A3C4EB"/>
                <w:sz w:val="24"/>
              </w:rPr>
              <w:t>§</w:t>
            </w:r>
          </w:p>
        </w:tc>
        <w:tc>
          <w:tcPr>
            <w:tcW w:w="9988" w:type="dxa"/>
            <w:tcBorders/>
            <w:vAlign w:val="center"/>
          </w:tcPr>
          <w:p>
            <w:pPr>
              <w:pStyle w:val="TableContents"/>
              <w:bidi w:val="0"/>
              <w:spacing w:before="0" w:after="283"/>
              <w:jc w:val="left"/>
              <w:rPr>
                <w:sz w:val="18"/>
              </w:rPr>
            </w:pPr>
            <w:r>
              <w:rPr>
                <w:sz w:val="18"/>
              </w:rPr>
              <w:t>The estimated value of the PLUS will be lower than the original issue price (price to public) of the PLUS</w:t>
            </w:r>
            <w:r>
              <w:rPr>
                <w:rFonts w:ascii="Arial;Helvetica;Sans-Serif" w:hAnsi="Arial;Helvetica;Sans-Serif"/>
                <w:b w:val="false"/>
                <w:sz w:val="18"/>
              </w:rPr>
              <w:t>.</w:t>
            </w:r>
          </w:p>
        </w:tc>
      </w:tr>
    </w:tbl>
    <w:tbl>
      <w:tblPr>
        <w:tblW w:w="5000" w:type="pct"/>
        <w:jc w:val="left"/>
        <w:tblInd w:w="0" w:type="dxa"/>
        <w:tblLayout w:type="fixed"/>
        <w:tblCellMar>
          <w:top w:w="0" w:type="dxa"/>
          <w:left w:w="0" w:type="dxa"/>
          <w:bottom w:w="0" w:type="dxa"/>
          <w:right w:w="0" w:type="dxa"/>
        </w:tblCellMar>
      </w:tblPr>
      <w:tblGrid>
        <w:gridCol w:w="45"/>
        <w:gridCol w:w="150"/>
        <w:gridCol w:w="10010"/>
      </w:tblGrid>
      <w:tr>
        <w:trPr/>
        <w:tc>
          <w:tcPr>
            <w:tcW w:w="45"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rFonts w:ascii="Wingdings" w:hAnsi="Wingdings"/>
                <w:b w:val="false"/>
                <w:color w:val="A3C4EB"/>
                <w:sz w:val="24"/>
              </w:rPr>
            </w:pPr>
            <w:r>
              <w:rPr>
                <w:rFonts w:ascii="Wingdings" w:hAnsi="Wingdings"/>
                <w:b w:val="false"/>
                <w:color w:val="A3C4EB"/>
                <w:sz w:val="24"/>
              </w:rPr>
              <w:t>§</w:t>
            </w:r>
          </w:p>
        </w:tc>
        <w:tc>
          <w:tcPr>
            <w:tcW w:w="10010" w:type="dxa"/>
            <w:tcBorders/>
            <w:vAlign w:val="center"/>
          </w:tcPr>
          <w:p>
            <w:pPr>
              <w:pStyle w:val="TableContents"/>
              <w:bidi w:val="0"/>
              <w:spacing w:before="0" w:after="283"/>
              <w:jc w:val="left"/>
              <w:rPr>
                <w:sz w:val="18"/>
              </w:rPr>
            </w:pPr>
            <w:r>
              <w:rPr>
                <w:sz w:val="18"/>
              </w:rPr>
              <w:t>The estimated value of the PLUS does not represent future values of the PLUS and may differ from others’ estimates</w:t>
            </w:r>
            <w:r>
              <w:rPr>
                <w:rFonts w:ascii="Arial;Helvetica;Sans-Serif" w:hAnsi="Arial;Helvetica;Sans-Serif"/>
                <w:b w:val="false"/>
                <w:sz w:val="18"/>
              </w:rPr>
              <w:t>.</w:t>
            </w:r>
          </w:p>
        </w:tc>
      </w:tr>
    </w:tbl>
    <w:tbl>
      <w:tblPr>
        <w:tblW w:w="5000" w:type="pct"/>
        <w:jc w:val="left"/>
        <w:tblInd w:w="0" w:type="dxa"/>
        <w:tblLayout w:type="fixed"/>
        <w:tblCellMar>
          <w:top w:w="0" w:type="dxa"/>
          <w:left w:w="0" w:type="dxa"/>
          <w:bottom w:w="0" w:type="dxa"/>
          <w:right w:w="0" w:type="dxa"/>
        </w:tblCellMar>
      </w:tblPr>
      <w:tblGrid>
        <w:gridCol w:w="55"/>
        <w:gridCol w:w="184"/>
        <w:gridCol w:w="9966"/>
      </w:tblGrid>
      <w:tr>
        <w:trPr/>
        <w:tc>
          <w:tcPr>
            <w:tcW w:w="55"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rFonts w:ascii="Wingdings" w:hAnsi="Wingdings"/>
                <w:b w:val="false"/>
                <w:color w:val="A3C4EB"/>
                <w:sz w:val="24"/>
              </w:rPr>
            </w:pPr>
            <w:r>
              <w:rPr>
                <w:rFonts w:ascii="Wingdings" w:hAnsi="Wingdings"/>
                <w:b w:val="false"/>
                <w:color w:val="A3C4EB"/>
                <w:sz w:val="24"/>
              </w:rPr>
              <w:t>§</w:t>
            </w:r>
          </w:p>
        </w:tc>
        <w:tc>
          <w:tcPr>
            <w:tcW w:w="9966" w:type="dxa"/>
            <w:tcBorders/>
            <w:vAlign w:val="center"/>
          </w:tcPr>
          <w:p>
            <w:pPr>
              <w:pStyle w:val="TableContents"/>
              <w:bidi w:val="0"/>
              <w:spacing w:before="0" w:after="283"/>
              <w:jc w:val="left"/>
              <w:rPr>
                <w:rFonts w:ascii="Arial;Helvetica;Sans-Serif" w:hAnsi="Arial;Helvetica;Sans-Serif"/>
                <w:b w:val="false"/>
                <w:sz w:val="18"/>
              </w:rPr>
            </w:pPr>
            <w:r>
              <w:rPr>
                <w:rFonts w:ascii="Arial;Helvetica;Sans-Serif" w:hAnsi="Arial;Helvetica;Sans-Serif"/>
                <w:b w:val="false"/>
                <w:sz w:val="18"/>
              </w:rPr>
              <w:t>The estimated value of the PLUS is derived by reference to an internal funding rate.</w:t>
            </w:r>
          </w:p>
        </w:tc>
      </w:tr>
    </w:tbl>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Wingdings" w:hAnsi="Wingdings"/>
                <w:b w:val="false"/>
                <w:color w:val="A3C4EB"/>
                <w:sz w:val="24"/>
              </w:rPr>
            </w:pPr>
            <w:r>
              <w:rPr>
                <w:rFonts w:ascii="Wingdings" w:hAnsi="Wingdings"/>
                <w:b w:val="false"/>
                <w:color w:val="A3C4EB"/>
                <w:sz w:val="24"/>
              </w:rPr>
              <w:t>§</w:t>
            </w:r>
          </w:p>
        </w:tc>
        <w:tc>
          <w:tcPr>
            <w:tcW w:w="10043" w:type="dxa"/>
            <w:tcBorders/>
            <w:vAlign w:val="center"/>
          </w:tcPr>
          <w:p>
            <w:pPr>
              <w:pStyle w:val="TableContents"/>
              <w:bidi w:val="0"/>
              <w:spacing w:before="0" w:after="283"/>
              <w:jc w:val="left"/>
              <w:rPr>
                <w:rFonts w:ascii="Arial;Helvetica;Sans-Serif" w:hAnsi="Arial;Helvetica;Sans-Serif"/>
                <w:b w:val="false"/>
                <w:sz w:val="18"/>
              </w:rPr>
            </w:pPr>
            <w:r>
              <w:rPr>
                <w:rFonts w:ascii="Arial;Helvetica;Sans-Serif" w:hAnsi="Arial;Helvetica;Sans-Serif"/>
                <w:b w:val="false"/>
                <w:sz w:val="18"/>
              </w:rPr>
              <w:t>The value of the PLUS as published by J.P. Morgan Securities LLC (and which may be reflected on customer account statements) may be higher than the then-current estimated value of the PLUS for a limited time period.</w:t>
            </w:r>
          </w:p>
        </w:tc>
      </w:tr>
    </w:tbl>
    <w:tbl>
      <w:tblPr>
        <w:tblW w:w="5000" w:type="pct"/>
        <w:jc w:val="left"/>
        <w:tblInd w:w="0" w:type="dxa"/>
        <w:tblLayout w:type="fixed"/>
        <w:tblCellMar>
          <w:top w:w="0" w:type="dxa"/>
          <w:left w:w="0" w:type="dxa"/>
          <w:bottom w:w="0" w:type="dxa"/>
          <w:right w:w="0" w:type="dxa"/>
        </w:tblCellMar>
      </w:tblPr>
      <w:tblGrid>
        <w:gridCol w:w="52"/>
        <w:gridCol w:w="175"/>
        <w:gridCol w:w="9978"/>
      </w:tblGrid>
      <w:tr>
        <w:trPr/>
        <w:tc>
          <w:tcPr>
            <w:tcW w:w="52"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rFonts w:ascii="Wingdings" w:hAnsi="Wingdings"/>
                <w:b w:val="false"/>
                <w:color w:val="A3C4EB"/>
                <w:sz w:val="24"/>
              </w:rPr>
            </w:pPr>
            <w:r>
              <w:rPr>
                <w:rFonts w:ascii="Wingdings" w:hAnsi="Wingdings"/>
                <w:b w:val="false"/>
                <w:color w:val="A3C4EB"/>
                <w:sz w:val="24"/>
              </w:rPr>
              <w:t>§</w:t>
            </w:r>
          </w:p>
        </w:tc>
        <w:tc>
          <w:tcPr>
            <w:tcW w:w="9978" w:type="dxa"/>
            <w:tcBorders/>
            <w:vAlign w:val="center"/>
          </w:tcPr>
          <w:p>
            <w:pPr>
              <w:pStyle w:val="TableContents"/>
              <w:bidi w:val="0"/>
              <w:spacing w:before="0" w:after="283"/>
              <w:jc w:val="left"/>
              <w:rPr>
                <w:sz w:val="18"/>
              </w:rPr>
            </w:pPr>
            <w:r>
              <w:rPr>
                <w:sz w:val="18"/>
              </w:rPr>
              <w:t>Secondary market prices of the PLUS will likely be lower than the original issue price of the PLUS</w:t>
            </w:r>
            <w:r>
              <w:rPr>
                <w:rFonts w:ascii="Arial;Helvetica;Sans-Serif" w:hAnsi="Arial;Helvetica;Sans-Serif"/>
                <w:b w:val="false"/>
                <w:sz w:val="18"/>
              </w:rPr>
              <w:t xml:space="preserve">. </w:t>
            </w:r>
          </w:p>
        </w:tc>
      </w:tr>
    </w:tbl>
    <w:tbl>
      <w:tblPr>
        <w:tblW w:w="5000" w:type="pct"/>
        <w:jc w:val="left"/>
        <w:tblInd w:w="0" w:type="dxa"/>
        <w:tblLayout w:type="fixed"/>
        <w:tblCellMar>
          <w:top w:w="0" w:type="dxa"/>
          <w:left w:w="0" w:type="dxa"/>
          <w:bottom w:w="0" w:type="dxa"/>
          <w:right w:w="0" w:type="dxa"/>
        </w:tblCellMar>
      </w:tblPr>
      <w:tblGrid>
        <w:gridCol w:w="49"/>
        <w:gridCol w:w="164"/>
        <w:gridCol w:w="9992"/>
      </w:tblGrid>
      <w:tr>
        <w:trPr/>
        <w:tc>
          <w:tcPr>
            <w:tcW w:w="4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rFonts w:ascii="Wingdings" w:hAnsi="Wingdings"/>
                <w:b w:val="false"/>
                <w:color w:val="A3C4EB"/>
                <w:sz w:val="24"/>
              </w:rPr>
            </w:pPr>
            <w:r>
              <w:rPr>
                <w:rFonts w:ascii="Wingdings" w:hAnsi="Wingdings"/>
                <w:b w:val="false"/>
                <w:color w:val="A3C4EB"/>
                <w:sz w:val="24"/>
              </w:rPr>
              <w:t>§</w:t>
            </w:r>
          </w:p>
        </w:tc>
        <w:tc>
          <w:tcPr>
            <w:tcW w:w="9992" w:type="dxa"/>
            <w:tcBorders/>
            <w:vAlign w:val="center"/>
          </w:tcPr>
          <w:p>
            <w:pPr>
              <w:pStyle w:val="TableContents"/>
              <w:bidi w:val="0"/>
              <w:spacing w:before="0" w:after="283"/>
              <w:jc w:val="left"/>
              <w:rPr>
                <w:rFonts w:ascii="Arial;Helvetica;Sans-Serif" w:hAnsi="Arial;Helvetica;Sans-Serif"/>
                <w:b w:val="false"/>
                <w:sz w:val="18"/>
              </w:rPr>
            </w:pPr>
            <w:r>
              <w:rPr>
                <w:rFonts w:ascii="Arial;Helvetica;Sans-Serif" w:hAnsi="Arial;Helvetica;Sans-Serif"/>
                <w:b w:val="false"/>
                <w:sz w:val="18"/>
              </w:rPr>
              <w:t>Secondary market prices of the PLUS will be impacted by many economic and market factors.</w:t>
            </w:r>
          </w:p>
        </w:tc>
      </w:tr>
    </w:tbl>
    <w:p>
      <w:pPr>
        <w:pStyle w:val="TextBody"/>
        <w:bidi w:val="0"/>
        <w:ind w:left="360" w:right="0" w:hanging="360"/>
        <w:jc w:val="left"/>
        <w:rPr>
          <w:rFonts w:ascii="Arial;Helvetica;Sans-Serif" w:hAnsi="Arial;Helvetica;Sans-Serif"/>
          <w:b w:val="false"/>
          <w:i w:val="false"/>
          <w:caps w:val="false"/>
          <w:smallCaps w:val="false"/>
          <w:color w:val="296DC1"/>
          <w:sz w:val="20"/>
        </w:rPr>
      </w:pPr>
      <w:r>
        <w:rPr>
          <w:rFonts w:ascii="Arial;Helvetica;Sans-Serif" w:hAnsi="Arial;Helvetica;Sans-Serif"/>
          <w:b w:val="false"/>
          <w:i w:val="false"/>
          <w:caps w:val="false"/>
          <w:smallCaps w:val="false"/>
          <w:color w:val="296DC1"/>
          <w:sz w:val="20"/>
        </w:rPr>
        <w:t>Risks Relating to the Underlying Index</w:t>
      </w:r>
    </w:p>
    <w:tbl>
      <w:tblPr>
        <w:tblW w:w="5000" w:type="pct"/>
        <w:jc w:val="left"/>
        <w:tblInd w:w="0" w:type="dxa"/>
        <w:tblLayout w:type="fixed"/>
        <w:tblCellMar>
          <w:top w:w="0" w:type="dxa"/>
          <w:left w:w="0" w:type="dxa"/>
          <w:bottom w:w="0" w:type="dxa"/>
          <w:right w:w="0" w:type="dxa"/>
        </w:tblCellMar>
      </w:tblPr>
      <w:tblGrid>
        <w:gridCol w:w="52"/>
        <w:gridCol w:w="175"/>
        <w:gridCol w:w="9978"/>
      </w:tblGrid>
      <w:tr>
        <w:trPr/>
        <w:tc>
          <w:tcPr>
            <w:tcW w:w="52"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rFonts w:ascii="Wingdings" w:hAnsi="Wingdings"/>
                <w:b w:val="false"/>
                <w:color w:val="A3C4EB"/>
                <w:sz w:val="24"/>
              </w:rPr>
            </w:pPr>
            <w:r>
              <w:rPr>
                <w:rFonts w:ascii="Wingdings" w:hAnsi="Wingdings"/>
                <w:b w:val="false"/>
                <w:color w:val="A3C4EB"/>
                <w:sz w:val="24"/>
              </w:rPr>
              <w:t>§</w:t>
            </w:r>
          </w:p>
        </w:tc>
        <w:tc>
          <w:tcPr>
            <w:tcW w:w="9978" w:type="dxa"/>
            <w:tcBorders/>
            <w:vAlign w:val="center"/>
          </w:tcPr>
          <w:p>
            <w:pPr>
              <w:pStyle w:val="TableContents"/>
              <w:bidi w:val="0"/>
              <w:spacing w:before="0" w:after="283"/>
              <w:jc w:val="left"/>
              <w:rPr>
                <w:rFonts w:ascii="Arial;Helvetica;Sans-Serif" w:hAnsi="Arial;Helvetica;Sans-Serif"/>
                <w:b w:val="false"/>
                <w:sz w:val="18"/>
              </w:rPr>
            </w:pPr>
            <w:r>
              <w:rPr>
                <w:rFonts w:ascii="Arial;Helvetica;Sans-Serif" w:hAnsi="Arial;Helvetica;Sans-Serif"/>
                <w:b w:val="false"/>
                <w:sz w:val="18"/>
              </w:rPr>
              <w:t>An investment in the PLUS is subject to risks associated with small capitalization stocks.</w:t>
            </w:r>
          </w:p>
        </w:tc>
      </w:tr>
    </w:tbl>
    <w:tbl>
      <w:tblPr>
        <w:tblW w:w="5000" w:type="pct"/>
        <w:jc w:val="left"/>
        <w:tblInd w:w="0" w:type="dxa"/>
        <w:tblLayout w:type="fixed"/>
        <w:tblCellMar>
          <w:top w:w="0" w:type="dxa"/>
          <w:left w:w="0" w:type="dxa"/>
          <w:bottom w:w="0" w:type="dxa"/>
          <w:right w:w="0" w:type="dxa"/>
        </w:tblCellMar>
      </w:tblPr>
      <w:tblGrid>
        <w:gridCol w:w="61"/>
        <w:gridCol w:w="204"/>
        <w:gridCol w:w="9940"/>
      </w:tblGrid>
      <w:tr>
        <w:trPr/>
        <w:tc>
          <w:tcPr>
            <w:tcW w:w="61"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rFonts w:ascii="Wingdings" w:hAnsi="Wingdings"/>
                <w:b w:val="false"/>
                <w:color w:val="A3C4EB"/>
                <w:sz w:val="24"/>
              </w:rPr>
            </w:pPr>
            <w:r>
              <w:rPr>
                <w:rFonts w:ascii="Wingdings" w:hAnsi="Wingdings"/>
                <w:b w:val="false"/>
                <w:color w:val="A3C4EB"/>
                <w:sz w:val="24"/>
              </w:rPr>
              <w:t>§</w:t>
            </w:r>
          </w:p>
        </w:tc>
        <w:tc>
          <w:tcPr>
            <w:tcW w:w="9940" w:type="dxa"/>
            <w:tcBorders/>
            <w:vAlign w:val="center"/>
          </w:tcPr>
          <w:p>
            <w:pPr>
              <w:pStyle w:val="TableContents"/>
              <w:bidi w:val="0"/>
              <w:spacing w:before="0" w:after="283"/>
              <w:jc w:val="left"/>
              <w:rPr>
                <w:rFonts w:ascii="Arial;Helvetica;Sans-Serif" w:hAnsi="Arial;Helvetica;Sans-Serif"/>
                <w:b w:val="false"/>
                <w:sz w:val="18"/>
              </w:rPr>
            </w:pPr>
            <w:r>
              <w:rPr>
                <w:rFonts w:ascii="Arial;Helvetica;Sans-Serif" w:hAnsi="Arial;Helvetica;Sans-Serif"/>
                <w:b w:val="false"/>
                <w:sz w:val="18"/>
              </w:rPr>
              <w:t>Investing in the PLUS is not equivalent to investing in the underlying index.</w:t>
            </w:r>
          </w:p>
        </w:tc>
      </w:tr>
    </w:tbl>
    <w:tbl>
      <w:tblPr>
        <w:tblW w:w="5000" w:type="pct"/>
        <w:jc w:val="left"/>
        <w:tblInd w:w="0" w:type="dxa"/>
        <w:tblLayout w:type="fixed"/>
        <w:tblCellMar>
          <w:top w:w="0" w:type="dxa"/>
          <w:left w:w="0" w:type="dxa"/>
          <w:bottom w:w="0" w:type="dxa"/>
          <w:right w:w="0" w:type="dxa"/>
        </w:tblCellMar>
      </w:tblPr>
      <w:tblGrid>
        <w:gridCol w:w="57"/>
        <w:gridCol w:w="188"/>
        <w:gridCol w:w="9960"/>
      </w:tblGrid>
      <w:tr>
        <w:trPr/>
        <w:tc>
          <w:tcPr>
            <w:tcW w:w="57"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rFonts w:ascii="Wingdings" w:hAnsi="Wingdings"/>
                <w:color w:val="A3C4EB"/>
                <w:sz w:val="24"/>
              </w:rPr>
            </w:pPr>
            <w:r>
              <w:rPr>
                <w:rFonts w:ascii="Wingdings" w:hAnsi="Wingdings"/>
                <w:color w:val="A3C4EB"/>
                <w:sz w:val="24"/>
              </w:rPr>
              <w:t>§</w:t>
            </w:r>
          </w:p>
        </w:tc>
        <w:tc>
          <w:tcPr>
            <w:tcW w:w="9960" w:type="dxa"/>
            <w:tcBorders/>
            <w:vAlign w:val="center"/>
          </w:tcPr>
          <w:p>
            <w:pPr>
              <w:pStyle w:val="TableContents"/>
              <w:bidi w:val="0"/>
              <w:spacing w:before="0" w:after="283"/>
              <w:jc w:val="left"/>
              <w:rPr>
                <w:rFonts w:ascii="Arial;Helvetica;Sans-Serif" w:hAnsi="Arial;Helvetica;Sans-Serif"/>
                <w:b w:val="false"/>
                <w:sz w:val="18"/>
              </w:rPr>
            </w:pPr>
            <w:r>
              <w:rPr>
                <w:rFonts w:ascii="Arial;Helvetica;Sans-Serif" w:hAnsi="Arial;Helvetica;Sans-Serif"/>
                <w:b w:val="false"/>
                <w:sz w:val="18"/>
              </w:rPr>
              <w:t>Adjustments to the underlying index could adversely affect the value of the PLUS.</w:t>
            </w:r>
          </w:p>
        </w:tc>
      </w:tr>
    </w:tbl>
    <w:p>
      <w:pPr>
        <w:pStyle w:val="TextBody"/>
        <w:bidi w:val="0"/>
        <w:spacing w:before="120" w:after="60"/>
        <w:ind w:left="120" w:right="120" w:hanging="0"/>
        <w:jc w:val="left"/>
        <w:rPr>
          <w:rFonts w:ascii="Arial;Helvetica;Sans-Serif" w:hAnsi="Arial;Helvetica;Sans-Serif"/>
          <w:b w:val="false"/>
          <w:i w:val="false"/>
          <w:caps w:val="false"/>
          <w:smallCaps w:val="false"/>
          <w:color w:val="296DC1"/>
          <w:sz w:val="28"/>
        </w:rPr>
      </w:pPr>
      <w:r>
        <w:rPr>
          <w:rFonts w:ascii="Arial;Helvetica;Sans-Serif" w:hAnsi="Arial;Helvetica;Sans-Serif"/>
          <w:b w:val="false"/>
          <w:i w:val="false"/>
          <w:caps w:val="false"/>
          <w:smallCaps w:val="false"/>
          <w:color w:val="296DC1"/>
          <w:sz w:val="28"/>
        </w:rPr>
        <w:t>Tax Considerations</w:t>
      </w:r>
    </w:p>
    <w:p>
      <w:pPr>
        <w:pStyle w:val="TextBody"/>
        <w:bidi w:val="0"/>
        <w:spacing w:before="0" w:after="60"/>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You should review carefully the discussion in the accompanying preliminary pricing supplement under “Additional Information about the PLUS — Tax considerations” concerning the U.S. federal income tax consequences of an investment in the PLUS, and you should consult your tax adviser.</w:t>
      </w:r>
    </w:p>
    <w:p>
      <w:pPr>
        <w:pStyle w:val="TextBody"/>
        <w:bidi w:val="0"/>
        <w:spacing w:before="0" w:after="60"/>
        <w:jc w:val="left"/>
        <w:rPr>
          <w:caps w:val="false"/>
          <w:smallCaps w:val="false"/>
        </w:rPr>
      </w:pPr>
      <w:r>
        <w:rPr>
          <w:caps w:val="false"/>
          <w:smallCaps w:val="false"/>
        </w:rPr>
        <w:t> </w:t>
      </w:r>
    </w:p>
    <w:p>
      <w:pPr>
        <w:pStyle w:val="TextBody"/>
        <w:bidi w:val="0"/>
        <w:spacing w:before="0" w:after="60"/>
        <w:jc w:val="left"/>
        <w:rPr>
          <w:caps w:val="false"/>
          <w:smallCaps w:val="false"/>
        </w:rPr>
      </w:pPr>
      <w:r>
        <w:rPr>
          <w:caps w:val="false"/>
          <w:smallCaps w:val="false"/>
        </w:rPr>
        <w:t> </w:t>
      </w:r>
    </w:p>
    <w:p>
      <w:pPr>
        <w:pStyle w:val="TextBody"/>
        <w:bidi w:val="0"/>
        <w:spacing w:before="0" w:after="60"/>
        <w:jc w:val="left"/>
        <w:rPr>
          <w:caps w:val="false"/>
          <w:smallCaps w:val="false"/>
        </w:rPr>
      </w:pPr>
      <w:r>
        <w:rPr>
          <w:caps w:val="false"/>
          <w:smallCaps w:val="false"/>
        </w:rPr>
        <w:t> </w:t>
      </w:r>
    </w:p>
    <w:p>
      <w:pPr>
        <w:pStyle w:val="TextBody"/>
        <w:pBdr>
          <w:top w:val="single" w:sz="4" w:space="1" w:color="000000"/>
        </w:pBdr>
        <w:bidi w:val="0"/>
        <w:spacing w:before="120" w:after="120"/>
        <w:ind w:left="120" w:right="120" w:hanging="0"/>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SEC Legend: JPMorgan Chase Financial Company LLC and JPMorgan Chase &amp; Co. have filed a registration statement (including a prospectus) with the SEC for any offerings to which these materials relate. Before you invest, you should read the prospectus in that registration statement and the other documents relating to this offering that JPMorgan Chase Financial Company LLC and JPMorgan Chase &amp; Co. has filed with the SEC for more complete information about JPMorgan Chase Financial Company LLC and JPMorgan Chase &amp; Co. and this offering. You may get these documents without cost by visiting EDGAR on the SEC web site at www.sec.gov. Alternatively, JPMorgan Chase Financial Company LLC and JPMorgan Chase &amp; Co., any agent or any dealer participating in this offering will arrange to send you the prospectus and each prospectus supplement as well as any product supplement, underlying supplement and preliminary pricing supplement if you so request by calling toll-free 1-866-535-9248.</w:t>
      </w:r>
    </w:p>
    <w:p>
      <w:pPr>
        <w:pStyle w:val="TextBody"/>
        <w:bidi w:val="0"/>
        <w:spacing w:before="0" w:after="0"/>
        <w:ind w:left="36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200"/>
        <w:ind w:left="36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Wingdings">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Archives/edgar/data/19617/000121390026083436/ea0299950-01_424b2.htm" TargetMode="External"/><Relationship Id="rId3" Type="http://schemas.openxmlformats.org/officeDocument/2006/relationships/hyperlink" Target="http://www.sec.gov/Archives/edgar/data/19617/000121390026083436/ea0299950-01_424b2.htm" TargetMode="External"/><Relationship Id="rId4" Type="http://schemas.openxmlformats.org/officeDocument/2006/relationships/image" Target="media/image1.jpeg"/><Relationship Id="rId5" Type="http://schemas.openxmlformats.org/officeDocument/2006/relationships/image" Target="media/image1.jpeg"/><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1125</Words>
  <Characters>6021</Characters>
  <CharactersWithSpaces>7025</CharactersWithSpaces>
  <Paragraphs>150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