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color w:val="FFFFFF"/>
          <w:sz w:val="2"/>
        </w:rPr>
      </w:pPr>
      <w:bookmarkStart w:id="0" w:name="ea0289351-01_fwp.htm"/>
      <w:bookmarkStart w:id="1" w:name="ksea028935101_fwp"/>
      <w:bookmarkEnd w:id="0"/>
      <w:bookmarkEnd w:id="1"/>
      <w:r>
        <w:rPr>
          <w:color w:val="FFFFFF"/>
          <w:sz w:val="2"/>
        </w:rPr>
        <w:t>North America Structured Investments 2yr EFA Capped Buffered Return Enhanced Notes The following is a summary of the terms of the notes offered by the preliminary pricing supplement highlighted below. Summary of Terms JPMorgan Chase Financial Company LLC JPMorgan Chase &amp; Co. $1,000 iShares ® MSCI EAFE ETF 2.00 [23.50% - 27.50%]* 10.00% (Final Value – Initial Value) / Initial Value The closing price of the Underlying on the Pricing Date The closing price of the Underlying on the Observation Date May 29, 2026 May 30, 2028 June 2, 2028 46660TNZ9 Issuer: Guarantor: Minimum Denomination: Underlying: Upside Leverage Factor: Maximum Return: Buffer Amount: Underlying Return: Initial Value: Final Value: Pricing Date: Observation Date: Maturity Date: CUSIP: Preliminary Pricing Supplement: http://sp.jpmorgan.com/document/cusip/46660TNZ9/doctype/Product_Termsheet/document.pdf Estimated Value : The estimated value of the notes, when the terms of the notes are set, will not be less than $900.00 per $1,000 principal amount note. For information about the estimated value of the notes, which likely will be lower than the price you paid for the notes, see the hyperlink above. Payment at Maturity If the Final Value of the Underlying is greater than its Initial Value, you will receive a cash payment that provides you with a return per $1,000 principal amount note equal to the Underlying Return multiplied by the Upside Leverage Factor, subject to the Maximum Return on the notes. If the Final Value of the Underlying is equal to or less than its Initial Value by up to the Buffer Amount, you will receive the principal amount of your notes at maturity. If the Underlying declines from its Initial Value by greater than the Buffer Amount, you will lose 1% of the principal amount of your notes for every 1% that the Underlying has declined beyond the Buffer Amount. Any payment on the notes is subject to the credit risk of JPMorgan Chase Financial Company LLC, as issuer of the notes and the credit risk of JPMorgan Chase &amp; Co., as guarantor of the notes. * To be determined on the Pricing Date, but not less than 23.50% or greater than 27.50%. ** Reflects a Maximum Return of 23.50% for illustrative purposes. The hypothetical returns and hypothetical payments on the notes shown above apply only at maturity. These hypotheticals do not reflect fees or expenses that would be associated with any sale in the secondary market. If these fees and expenses were included, the hypothetical returns and hypothetical payments shown above would likely be lower. Hypothetical Returns on the Notes at Maturity** Underlying Performance Note Payoff at Maturity Payment at Maturity Underlying Return Hypothetical Payment at Maturity Hypothetical Note Return Hypothetical Underlying Return $1,235.00 23.50% 100.00% $1,235.00 23.50% 80.00% $1,235.00 23.50% 60.00% $1,235.00 23.50% 40.00% $1,235.00 23.50% 30.00% $1,235.00 23.50% 20.00% $1,235.00 23.50% 11.75% $1,200.00 20.00% 10.00% $1,100.00 10.00% 5.00% $1,000.00 0.00% 0.00% $1,000.00 0.00% - 5.00% $1,000.00 0.00% - 10.00% $950.00 - 5.00% - 15.00% $800.00 - 20.00% - 30.00% $500.00 - 50.00% - 60.00% $100.00 - 90.00% - 100.00% J.P. Morgan Structured Investments | 1 800 576 3529 | jpm_structured_investments@jpmorgan.com</w:t>
      </w:r>
    </w:p>
    <w:p>
      <w:pPr>
        <w:pStyle w:val="TextBody"/>
        <w:bidi w:val="0"/>
        <w:jc w:val="center"/>
        <w:rPr/>
      </w:pPr>
      <w:r>
        <w:rPr/>
        <w:drawing>
          <wp:inline distT="0" distB="0" distL="0" distR="0">
            <wp:extent cx="9525000" cy="7143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0" cy="7143750"/>
                    </a:xfrm>
                    <a:prstGeom prst="rect">
                      <a:avLst/>
                    </a:prstGeom>
                  </pic:spPr>
                </pic:pic>
              </a:graphicData>
            </a:graphic>
          </wp:inline>
        </w:drawing>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olor w:val="FFFFFF"/>
          <w:sz w:val="2"/>
        </w:rPr>
      </w:pPr>
      <w:r>
        <w:rPr>
          <w:color w:val="FFFFFF"/>
          <w:sz w:val="2"/>
        </w:rPr>
        <w:t>North America Structured Investments 2yr EFA Capped Buffered Return Enhanced Notes Ɣ Ɣ Ɣ Ɣ Your investment in the notes may result in a loss. Your maximum gain on the notes is limited by the Maximum Return. Your payment at maturity will be determined by the Underlying. If the Underlying declines from its initial price by more than 10.00%, you could lose up to $900 for each $1,000 note. Any payment on the notes at maturity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No interest payments, dividend payments or voting rights. The notes are subject to risks associated with non - U.S. securities. The notes are subject to currency exchange risk. The Fund is subject to management risk with respect to the iShares ® MSCI EAFE ETF. The anti - dilution protection for the Fund is limited. The performance and market value of the Fund, particularly during periods of market volatility, may not correlate with the performance of the Fund's underlying index as well as the net asset value per share. As a finance subsidiary, JPMorgan Chase Financial Company LLC has no independent activities and has limited assets. Selected Risks Selected Risks (continued) Ɣ Ɣ Ɣ Ɣ Ɣ Ɣ Ɣ Ɣ Ɣ The estimated value of the notes will be lower than the original issue price (price to public) of the notes. The estimated value of the notes is determined by reference to an internal funding rate. The estimated value of the notes does not represent future values and may differ from others’ estimates. The value of the notes, which may be reflected in customer account statements, may be higher than the then current estimated value of the notes for a limited time period. Lack of liquidity : J . P . Morgan Securities LLC (who we refer to as JPMS), intends to offer to purchase the notes in the secondary market but is not required to do so . The price, if any, at which JPMS will be willing to purchase notes from you in the secondary market, if at all, may result in a significant loss of your principal . Potential conflicts: We and our affiliates play a variety of roles in connection with the issuance of the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The tax consequences of the notes may be uncertain. You should consult your tax adviser regarding the U.S. federal income tax consequences of an investment in the notes. Ɣ Ɣ Ɣ Ɣ Ɣ Ɣ The risks identified above are not exhaustive. Please see “Risk Factors” in the prospectus supplement and the applicable product supplement and underlying supplement and “Selected Risk Considerations” in the applicable preliminary pricing supplement for additional information. Additional Information 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 - free 1 - 866 - 535 - 9248. IRS Circular 230 Disclosure: JPMorgan Chase &amp; Co. and its affiliates do not provide tax advice. Accordingly, any discussion of U.S. tax matters contained herein (including any attachments) is not intended or written to be used, and cannot be used, in connection with the promotion, marketing or recommendation by anyone unaffiliated with JPMorgan Chase &amp; Co. of any of the matters addressed herein or for the purpose of avoiding U.S. tax - 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these matters. This material is not a product of J.P. Morgan Research Departments. Free Writing Prospectus Filed Pursuant to Rule 433, Registration Statement Nos. 333 - 293684 and 333 - 293684 - 01 J.P. Morgan Structured Investments | 1 800 576 3529 | jpm_structured_investments@jpmorgan.com</w:t>
      </w:r>
    </w:p>
    <w:p>
      <w:pPr>
        <w:pStyle w:val="TextBody"/>
        <w:bidi w:val="0"/>
        <w:jc w:val="center"/>
        <w:rPr/>
      </w:pPr>
      <w:r>
        <w:rPr/>
        <w:drawing>
          <wp:inline distT="0" distB="0" distL="0" distR="0">
            <wp:extent cx="9525000" cy="7143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0" cy="7143750"/>
                    </a:xfrm>
                    <a:prstGeom prst="rect">
                      <a:avLst/>
                    </a:prstGeom>
                  </pic:spPr>
                </pic:pic>
              </a:graphicData>
            </a:graphic>
          </wp:inline>
        </w:drawing>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1397</Words>
  <Characters>7203</Characters>
  <CharactersWithSpaces>8602</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