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rFonts w:ascii="Arial;Helvetica;Sans-Serif" w:hAnsi="Arial;Helvetica;Sans-Serif"/>
          <w:b/>
          <w:i w:val="false"/>
          <w:caps w:val="false"/>
          <w:smallCaps w:val="false"/>
          <w:color w:val="808080"/>
          <w:sz w:val="24"/>
        </w:rPr>
      </w:pPr>
      <w:bookmarkStart w:id="0" w:name="ea0309009-01_fwp.htm"/>
      <w:bookmarkStart w:id="1" w:name="ksea030900901_fwp"/>
      <w:bookmarkEnd w:id="0"/>
      <w:bookmarkEnd w:id="1"/>
      <w:r>
        <w:rPr>
          <w:rFonts w:ascii="Arial;Helvetica;Sans-Serif" w:hAnsi="Arial;Helvetica;Sans-Serif"/>
          <w:b/>
          <w:i w:val="false"/>
          <w:caps w:val="false"/>
          <w:smallCaps w:val="false"/>
          <w:color w:val="808080"/>
          <w:sz w:val="24"/>
        </w:rPr>
        <w:t>JPMorgan Chase Financial Company LLC</w:t>
      </w:r>
    </w:p>
    <w:p>
      <w:pPr>
        <w:pStyle w:val="TextBody"/>
        <w:bidi w:val="0"/>
        <w:jc w:val="right"/>
        <w:rPr>
          <w:rFonts w:ascii="Arial;Helvetica;Sans-Serif" w:hAnsi="Arial;Helvetica;Sans-Serif"/>
          <w:b w:val="false"/>
          <w:i w:val="false"/>
          <w:caps w:val="false"/>
          <w:smallCaps w:val="false"/>
          <w:color w:val="808080"/>
          <w:sz w:val="16"/>
        </w:rPr>
      </w:pPr>
      <w:r>
        <w:rPr>
          <w:rFonts w:ascii="Arial;Helvetica;Sans-Serif" w:hAnsi="Arial;Helvetica;Sans-Serif"/>
          <w:b w:val="false"/>
          <w:i w:val="false"/>
          <w:caps w:val="false"/>
          <w:smallCaps w:val="false"/>
          <w:color w:val="808080"/>
          <w:sz w:val="16"/>
        </w:rPr>
        <w:t>Free Writing Prospectus Filed Pursuant to Rule 433</w:t>
      </w:r>
    </w:p>
    <w:p>
      <w:pPr>
        <w:pStyle w:val="TextBody"/>
        <w:bidi w:val="0"/>
        <w:jc w:val="right"/>
        <w:rPr>
          <w:rFonts w:ascii="Arial;Helvetica;Sans-Serif" w:hAnsi="Arial;Helvetica;Sans-Serif"/>
          <w:b w:val="false"/>
          <w:i w:val="false"/>
          <w:caps w:val="false"/>
          <w:smallCaps w:val="false"/>
          <w:color w:val="808080"/>
          <w:sz w:val="16"/>
        </w:rPr>
      </w:pPr>
      <w:r>
        <w:rPr>
          <w:rFonts w:ascii="Arial;Helvetica;Sans-Serif" w:hAnsi="Arial;Helvetica;Sans-Serif"/>
          <w:b w:val="false"/>
          <w:i w:val="false"/>
          <w:caps w:val="false"/>
          <w:smallCaps w:val="false"/>
          <w:color w:val="808080"/>
          <w:sz w:val="16"/>
        </w:rPr>
        <w:t>Registration Statement Nos. 333-293684 and 333-293684-01</w:t>
      </w:r>
    </w:p>
    <w:p>
      <w:pPr>
        <w:pStyle w:val="TextBody"/>
        <w:bidi w:val="0"/>
        <w:jc w:val="right"/>
        <w:rPr>
          <w:rFonts w:ascii="Arial;Helvetica;Sans-Serif" w:hAnsi="Arial;Helvetica;Sans-Serif"/>
          <w:b w:val="false"/>
          <w:i w:val="false"/>
          <w:caps w:val="false"/>
          <w:smallCaps w:val="false"/>
          <w:color w:val="808080"/>
          <w:sz w:val="16"/>
        </w:rPr>
      </w:pPr>
      <w:r>
        <w:rPr>
          <w:rFonts w:ascii="Arial;Helvetica;Sans-Serif" w:hAnsi="Arial;Helvetica;Sans-Serif"/>
          <w:b w:val="false"/>
          <w:i w:val="false"/>
          <w:caps w:val="false"/>
          <w:smallCaps w:val="false"/>
          <w:color w:val="808080"/>
          <w:sz w:val="16"/>
        </w:rPr>
        <w:t>Dated October 19, 2026</w:t>
      </w:r>
    </w:p>
    <w:p>
      <w:pPr>
        <w:pStyle w:val="TextBody"/>
        <w:pBdr>
          <w:bottom w:val="single" w:sz="4" w:space="1" w:color="296DC1"/>
        </w:pBdr>
        <w:bidi w:val="0"/>
        <w:jc w:val="left"/>
        <w:rPr>
          <w:rFonts w:ascii="Arial;Helvetica;Sans-Serif" w:hAnsi="Arial;Helvetica;Sans-Serif"/>
          <w:b w:val="false"/>
          <w:i w:val="false"/>
          <w:caps w:val="false"/>
          <w:smallCaps w:val="false"/>
          <w:color w:val="296DC1"/>
          <w:sz w:val="30"/>
        </w:rPr>
      </w:pPr>
      <w:r>
        <w:rPr>
          <w:rFonts w:ascii="Arial;Helvetica;Sans-Serif" w:hAnsi="Arial;Helvetica;Sans-Serif"/>
          <w:b w:val="false"/>
          <w:i w:val="false"/>
          <w:caps w:val="false"/>
          <w:smallCaps w:val="false"/>
          <w:color w:val="296DC1"/>
          <w:sz w:val="30"/>
        </w:rPr>
        <w:t>5-Year SX5E/TPX/UKX/SMI/AS51 Basket Trigger PLUS</w:t>
      </w:r>
    </w:p>
    <w:p>
      <w:pPr>
        <w:pStyle w:val="TextBody"/>
        <w:bidi w:val="0"/>
        <w:spacing w:before="40" w:after="40"/>
        <w:ind w:left="86" w:right="40" w:hanging="0"/>
        <w:jc w:val="left"/>
        <w:rPr>
          <w:rFonts w:ascii="Arial;Helvetica;Sans-Serif" w:hAnsi="Arial;Helvetica;Sans-Serif"/>
          <w:b/>
          <w:i/>
          <w:caps w:val="false"/>
          <w:smallCaps w:val="false"/>
          <w:sz w:val="16"/>
        </w:rPr>
      </w:pPr>
      <w:r>
        <w:rPr>
          <w:rFonts w:ascii="Arial;Helvetica;Sans-Serif" w:hAnsi="Arial;Helvetica;Sans-Serif"/>
          <w:b/>
          <w:i/>
          <w:caps w:val="false"/>
          <w:smallCaps w:val="false"/>
          <w:sz w:val="16"/>
        </w:rPr>
        <w:t>This document provides a summary of the terms of the Trigger PLUS. Investors must carefully review the accompanying preliminary pricing supplement referenced below, product supplement, underlying supplement, prospectus supplement and prospectus and the “Risk Considerations” on the following page, prior to making an investment decision.</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3175000" cy="9972040"/>
                <wp:effectExtent l="0" t="0" r="0" b="0"/>
                <wp:wrapSquare wrapText="right"/>
                <wp:docPr id="1" name="Frame1"/>
                <a:graphic xmlns:a="http://schemas.openxmlformats.org/drawingml/2006/main">
                  <a:graphicData uri="http://schemas.microsoft.com/office/word/2010/wordprocessingShape">
                    <wps:wsp>
                      <wps:cNvSpPr txBox="1"/>
                      <wps:spPr>
                        <a:xfrm>
                          <a:off x="0" y="0"/>
                          <a:ext cx="3175000" cy="9972040"/>
                        </a:xfrm>
                        <a:prstGeom prst="rect"/>
                        <a:solidFill>
                          <a:srgbClr val="FFFFFF"/>
                        </a:solidFill>
                      </wps:spPr>
                      <wps:txbx>
                        <w:txbxContent>
                          <w:tbl>
                            <w:tblPr>
                              <w:tblW w:w="4540" w:type="dxa"/>
                              <w:jc w:val="left"/>
                              <w:tblInd w:w="0" w:type="dxa"/>
                              <w:tblLayout w:type="fixed"/>
                              <w:tblCellMar>
                                <w:top w:w="0" w:type="dxa"/>
                                <w:left w:w="0" w:type="dxa"/>
                                <w:bottom w:w="0" w:type="dxa"/>
                                <w:right w:w="0" w:type="dxa"/>
                              </w:tblCellMar>
                            </w:tblPr>
                            <w:tblGrid>
                              <w:gridCol w:w="725"/>
                              <w:gridCol w:w="3815"/>
                            </w:tblGrid>
                            <w:tr>
                              <w:trPr/>
                              <w:tc>
                                <w:tcPr>
                                  <w:tcW w:w="4540" w:type="dxa"/>
                                  <w:gridSpan w:val="2"/>
                                  <w:tcBorders/>
                                  <w:shd w:fill="296DC1" w:val="clear"/>
                                  <w:vAlign w:val="center"/>
                                </w:tcPr>
                                <w:p>
                                  <w:pPr>
                                    <w:pStyle w:val="TableContents"/>
                                    <w:bidi w:val="0"/>
                                    <w:spacing w:before="0" w:after="283"/>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SUMMARY TERMS</w:t>
                                  </w:r>
                                </w:p>
                              </w:tc>
                            </w:tr>
                            <w:tr>
                              <w:trPr/>
                              <w:tc>
                                <w:tcPr>
                                  <w:tcW w:w="725" w:type="dxa"/>
                                  <w:tcBorders/>
                                  <w:shd w:fill="FFFFFF" w:val="clear"/>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 xml:space="preserve">Issuer: </w:t>
                                  </w:r>
                                </w:p>
                              </w:tc>
                              <w:tc>
                                <w:tcPr>
                                  <w:tcW w:w="3815" w:type="dxa"/>
                                  <w:tcBorders/>
                                  <w:shd w:fill="FFFFFF" w:val="clear"/>
                                  <w:vAlign w:val="center"/>
                                </w:tcPr>
                                <w:p>
                                  <w:pPr>
                                    <w:pStyle w:val="TableContents"/>
                                    <w:bidi w:val="0"/>
                                    <w:spacing w:before="0" w:after="283"/>
                                    <w:jc w:val="left"/>
                                    <w:rPr>
                                      <w:sz w:val="14"/>
                                    </w:rPr>
                                  </w:pPr>
                                  <w:r>
                                    <w:rPr>
                                      <w:sz w:val="14"/>
                                    </w:rPr>
                                    <w:t>JPMorgan Chase Financial Company LLC (“JPMorgan Financial”)</w:t>
                                  </w:r>
                                </w:p>
                              </w:tc>
                            </w:tr>
                            <w:tr>
                              <w:trPr/>
                              <w:tc>
                                <w:tcPr>
                                  <w:tcW w:w="725" w:type="dxa"/>
                                  <w:tcBorders/>
                                  <w:shd w:fill="DCEBF4" w:val="clear"/>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Guarantor:</w:t>
                                  </w:r>
                                </w:p>
                              </w:tc>
                              <w:tc>
                                <w:tcPr>
                                  <w:tcW w:w="3815" w:type="dxa"/>
                                  <w:tcBorders/>
                                  <w:shd w:fill="DCEBF4" w:val="clear"/>
                                  <w:vAlign w:val="center"/>
                                </w:tcPr>
                                <w:p>
                                  <w:pPr>
                                    <w:pStyle w:val="TableContents"/>
                                    <w:bidi w:val="0"/>
                                    <w:spacing w:before="0" w:after="283"/>
                                    <w:jc w:val="left"/>
                                    <w:rPr>
                                      <w:sz w:val="14"/>
                                    </w:rPr>
                                  </w:pPr>
                                  <w:r>
                                    <w:rPr>
                                      <w:sz w:val="14"/>
                                    </w:rPr>
                                    <w:t>JPMorgan Chase &amp; Co.</w:t>
                                  </w:r>
                                </w:p>
                              </w:tc>
                            </w:tr>
                          </w:tbl>
                          <w:tbl>
                            <w:tblPr>
                              <w:tblW w:w="4850" w:type="dxa"/>
                              <w:jc w:val="left"/>
                              <w:tblInd w:w="0" w:type="dxa"/>
                              <w:tblLayout w:type="fixed"/>
                              <w:tblCellMar>
                                <w:top w:w="0" w:type="dxa"/>
                                <w:left w:w="0" w:type="dxa"/>
                                <w:bottom w:w="0" w:type="dxa"/>
                                <w:right w:w="0" w:type="dxa"/>
                              </w:tblCellMar>
                            </w:tblPr>
                            <w:tblGrid>
                              <w:gridCol w:w="515"/>
                              <w:gridCol w:w="2555"/>
                              <w:gridCol w:w="1130"/>
                              <w:gridCol w:w="650"/>
                            </w:tblGrid>
                            <w:tr>
                              <w:trPr/>
                              <w:tc>
                                <w:tcPr>
                                  <w:tcW w:w="515" w:type="dxa"/>
                                  <w:tcBorders/>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Basket:</w:t>
                                  </w:r>
                                </w:p>
                              </w:tc>
                              <w:tc>
                                <w:tcPr>
                                  <w:tcW w:w="2555" w:type="dxa"/>
                                  <w:tcBorders/>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Underlying indices</w:t>
                                  </w:r>
                                </w:p>
                              </w:tc>
                              <w:tc>
                                <w:tcPr>
                                  <w:tcW w:w="1130" w:type="dxa"/>
                                  <w:tcBorders/>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Bloomberg ticker</w:t>
                                    <w:br/>
                                    <w:t>symbol</w:t>
                                  </w:r>
                                </w:p>
                              </w:tc>
                              <w:tc>
                                <w:tcPr>
                                  <w:tcW w:w="650" w:type="dxa"/>
                                  <w:tcBorders/>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Basket</w:t>
                                    <w:br/>
                                    <w:t>weighting</w:t>
                                  </w:r>
                                </w:p>
                              </w:tc>
                            </w:tr>
                            <w:tr>
                              <w:trPr/>
                              <w:tc>
                                <w:tcPr>
                                  <w:tcW w:w="515" w:type="dxa"/>
                                  <w:tcBorders/>
                                  <w:vAlign w:val="center"/>
                                </w:tcPr>
                                <w:p>
                                  <w:pPr>
                                    <w:pStyle w:val="TableContents"/>
                                    <w:bidi w:val="0"/>
                                    <w:spacing w:before="0" w:after="283"/>
                                    <w:jc w:val="left"/>
                                    <w:rPr/>
                                  </w:pPr>
                                  <w:r>
                                    <w:rPr/>
                                    <w:t> </w:t>
                                  </w:r>
                                </w:p>
                              </w:tc>
                              <w:tc>
                                <w:tcPr>
                                  <w:tcW w:w="2555" w:type="dxa"/>
                                  <w:tcBorders/>
                                  <w:vAlign w:val="center"/>
                                </w:tcPr>
                                <w:p>
                                  <w:pPr>
                                    <w:pStyle w:val="TableContents"/>
                                    <w:bidi w:val="0"/>
                                    <w:spacing w:before="0" w:after="283"/>
                                    <w:jc w:val="left"/>
                                    <w:rPr>
                                      <w:sz w:val="14"/>
                                    </w:rPr>
                                  </w:pPr>
                                  <w:r>
                                    <w:rPr>
                                      <w:sz w:val="14"/>
                                    </w:rPr>
                                    <w:t>EURO STOXX 50</w:t>
                                  </w:r>
                                  <w:r>
                                    <w:rPr>
                                      <w:position w:val="5"/>
                                      <w:sz w:val="11"/>
                                      <w:sz w:val="14"/>
                                    </w:rPr>
                                    <w:t>®</w:t>
                                  </w:r>
                                  <w:r>
                                    <w:rPr>
                                      <w:sz w:val="14"/>
                                    </w:rPr>
                                    <w:t xml:space="preserve"> Index (the “SX5E Index”)</w:t>
                                  </w:r>
                                </w:p>
                              </w:tc>
                              <w:tc>
                                <w:tcPr>
                                  <w:tcW w:w="1130" w:type="dxa"/>
                                  <w:tcBorders/>
                                  <w:vAlign w:val="center"/>
                                </w:tcPr>
                                <w:p>
                                  <w:pPr>
                                    <w:pStyle w:val="TableContents"/>
                                    <w:bidi w:val="0"/>
                                    <w:spacing w:before="0" w:after="283"/>
                                    <w:jc w:val="left"/>
                                    <w:rPr>
                                      <w:sz w:val="14"/>
                                    </w:rPr>
                                  </w:pPr>
                                  <w:r>
                                    <w:rPr>
                                      <w:sz w:val="14"/>
                                    </w:rPr>
                                    <w:t>SX5E</w:t>
                                  </w:r>
                                </w:p>
                              </w:tc>
                              <w:tc>
                                <w:tcPr>
                                  <w:tcW w:w="650" w:type="dxa"/>
                                  <w:tcBorders/>
                                  <w:vAlign w:val="center"/>
                                </w:tcPr>
                                <w:p>
                                  <w:pPr>
                                    <w:pStyle w:val="TableContents"/>
                                    <w:bidi w:val="0"/>
                                    <w:spacing w:before="0" w:after="283"/>
                                    <w:jc w:val="left"/>
                                    <w:rPr>
                                      <w:sz w:val="14"/>
                                    </w:rPr>
                                  </w:pPr>
                                  <w:r>
                                    <w:rPr>
                                      <w:sz w:val="14"/>
                                    </w:rPr>
                                    <w:t>40.00%</w:t>
                                  </w:r>
                                </w:p>
                              </w:tc>
                            </w:tr>
                            <w:tr>
                              <w:trPr/>
                              <w:tc>
                                <w:tcPr>
                                  <w:tcW w:w="515" w:type="dxa"/>
                                  <w:tcBorders/>
                                  <w:vAlign w:val="center"/>
                                </w:tcPr>
                                <w:p>
                                  <w:pPr>
                                    <w:pStyle w:val="TableContents"/>
                                    <w:bidi w:val="0"/>
                                    <w:spacing w:before="0" w:after="283"/>
                                    <w:jc w:val="left"/>
                                    <w:rPr/>
                                  </w:pPr>
                                  <w:r>
                                    <w:rPr/>
                                    <w:t> </w:t>
                                  </w:r>
                                </w:p>
                              </w:tc>
                              <w:tc>
                                <w:tcPr>
                                  <w:tcW w:w="2555" w:type="dxa"/>
                                  <w:tcBorders/>
                                  <w:vAlign w:val="center"/>
                                </w:tcPr>
                                <w:p>
                                  <w:pPr>
                                    <w:pStyle w:val="TableContents"/>
                                    <w:bidi w:val="0"/>
                                    <w:spacing w:before="0" w:after="283"/>
                                    <w:jc w:val="left"/>
                                    <w:rPr>
                                      <w:sz w:val="14"/>
                                    </w:rPr>
                                  </w:pPr>
                                  <w:r>
                                    <w:rPr>
                                      <w:sz w:val="14"/>
                                    </w:rPr>
                                    <w:t>TOPIX</w:t>
                                  </w:r>
                                  <w:r>
                                    <w:rPr>
                                      <w:position w:val="5"/>
                                      <w:sz w:val="11"/>
                                      <w:sz w:val="14"/>
                                    </w:rPr>
                                    <w:t>®</w:t>
                                  </w:r>
                                  <w:r>
                                    <w:rPr>
                                      <w:sz w:val="14"/>
                                    </w:rPr>
                                    <w:t xml:space="preserve"> Index (the “TPX Index”)</w:t>
                                  </w:r>
                                </w:p>
                              </w:tc>
                              <w:tc>
                                <w:tcPr>
                                  <w:tcW w:w="1130" w:type="dxa"/>
                                  <w:tcBorders/>
                                  <w:vAlign w:val="center"/>
                                </w:tcPr>
                                <w:p>
                                  <w:pPr>
                                    <w:pStyle w:val="TableContents"/>
                                    <w:bidi w:val="0"/>
                                    <w:spacing w:before="0" w:after="283"/>
                                    <w:jc w:val="left"/>
                                    <w:rPr>
                                      <w:sz w:val="14"/>
                                    </w:rPr>
                                  </w:pPr>
                                  <w:r>
                                    <w:rPr>
                                      <w:sz w:val="14"/>
                                    </w:rPr>
                                    <w:t>TPX</w:t>
                                  </w:r>
                                </w:p>
                              </w:tc>
                              <w:tc>
                                <w:tcPr>
                                  <w:tcW w:w="650" w:type="dxa"/>
                                  <w:tcBorders/>
                                  <w:vAlign w:val="center"/>
                                </w:tcPr>
                                <w:p>
                                  <w:pPr>
                                    <w:pStyle w:val="TableContents"/>
                                    <w:bidi w:val="0"/>
                                    <w:spacing w:before="0" w:after="283"/>
                                    <w:jc w:val="left"/>
                                    <w:rPr>
                                      <w:sz w:val="14"/>
                                    </w:rPr>
                                  </w:pPr>
                                  <w:r>
                                    <w:rPr>
                                      <w:sz w:val="14"/>
                                    </w:rPr>
                                    <w:t>25.00%</w:t>
                                  </w:r>
                                </w:p>
                              </w:tc>
                            </w:tr>
                            <w:tr>
                              <w:trPr/>
                              <w:tc>
                                <w:tcPr>
                                  <w:tcW w:w="515" w:type="dxa"/>
                                  <w:tcBorders/>
                                  <w:vAlign w:val="center"/>
                                </w:tcPr>
                                <w:p>
                                  <w:pPr>
                                    <w:pStyle w:val="TableContents"/>
                                    <w:bidi w:val="0"/>
                                    <w:spacing w:before="0" w:after="283"/>
                                    <w:jc w:val="left"/>
                                    <w:rPr/>
                                  </w:pPr>
                                  <w:r>
                                    <w:rPr/>
                                    <w:t> </w:t>
                                  </w:r>
                                </w:p>
                              </w:tc>
                              <w:tc>
                                <w:tcPr>
                                  <w:tcW w:w="2555" w:type="dxa"/>
                                  <w:tcBorders/>
                                  <w:vAlign w:val="center"/>
                                </w:tcPr>
                                <w:p>
                                  <w:pPr>
                                    <w:pStyle w:val="TableContents"/>
                                    <w:bidi w:val="0"/>
                                    <w:spacing w:before="0" w:after="283"/>
                                    <w:jc w:val="left"/>
                                    <w:rPr>
                                      <w:sz w:val="14"/>
                                    </w:rPr>
                                  </w:pPr>
                                  <w:r>
                                    <w:rPr>
                                      <w:sz w:val="14"/>
                                    </w:rPr>
                                    <w:t>FTSE</w:t>
                                  </w:r>
                                  <w:r>
                                    <w:rPr>
                                      <w:position w:val="5"/>
                                      <w:sz w:val="11"/>
                                      <w:sz w:val="14"/>
                                    </w:rPr>
                                    <w:t xml:space="preserve">® </w:t>
                                  </w:r>
                                  <w:r>
                                    <w:rPr>
                                      <w:sz w:val="14"/>
                                    </w:rPr>
                                    <w:t>100 Index (the “UKX Index”)</w:t>
                                  </w:r>
                                </w:p>
                              </w:tc>
                              <w:tc>
                                <w:tcPr>
                                  <w:tcW w:w="1130" w:type="dxa"/>
                                  <w:tcBorders/>
                                  <w:vAlign w:val="center"/>
                                </w:tcPr>
                                <w:p>
                                  <w:pPr>
                                    <w:pStyle w:val="TableContents"/>
                                    <w:bidi w:val="0"/>
                                    <w:spacing w:before="0" w:after="283"/>
                                    <w:jc w:val="left"/>
                                    <w:rPr>
                                      <w:sz w:val="14"/>
                                    </w:rPr>
                                  </w:pPr>
                                  <w:r>
                                    <w:rPr>
                                      <w:sz w:val="14"/>
                                    </w:rPr>
                                    <w:t>UKX</w:t>
                                  </w:r>
                                </w:p>
                              </w:tc>
                              <w:tc>
                                <w:tcPr>
                                  <w:tcW w:w="650" w:type="dxa"/>
                                  <w:tcBorders/>
                                  <w:vAlign w:val="center"/>
                                </w:tcPr>
                                <w:p>
                                  <w:pPr>
                                    <w:pStyle w:val="TableContents"/>
                                    <w:bidi w:val="0"/>
                                    <w:spacing w:before="0" w:after="283"/>
                                    <w:jc w:val="left"/>
                                    <w:rPr>
                                      <w:sz w:val="14"/>
                                    </w:rPr>
                                  </w:pPr>
                                  <w:r>
                                    <w:rPr>
                                      <w:sz w:val="14"/>
                                    </w:rPr>
                                    <w:t>17.50%</w:t>
                                  </w:r>
                                </w:p>
                              </w:tc>
                            </w:tr>
                            <w:tr>
                              <w:trPr/>
                              <w:tc>
                                <w:tcPr>
                                  <w:tcW w:w="515" w:type="dxa"/>
                                  <w:tcBorders/>
                                  <w:vAlign w:val="center"/>
                                </w:tcPr>
                                <w:p>
                                  <w:pPr>
                                    <w:pStyle w:val="TableContents"/>
                                    <w:bidi w:val="0"/>
                                    <w:spacing w:before="0" w:after="283"/>
                                    <w:jc w:val="left"/>
                                    <w:rPr/>
                                  </w:pPr>
                                  <w:r>
                                    <w:rPr/>
                                    <w:t> </w:t>
                                  </w:r>
                                </w:p>
                              </w:tc>
                              <w:tc>
                                <w:tcPr>
                                  <w:tcW w:w="2555" w:type="dxa"/>
                                  <w:tcBorders/>
                                  <w:vAlign w:val="center"/>
                                </w:tcPr>
                                <w:p>
                                  <w:pPr>
                                    <w:pStyle w:val="TableContents"/>
                                    <w:bidi w:val="0"/>
                                    <w:spacing w:before="0" w:after="283"/>
                                    <w:jc w:val="left"/>
                                    <w:rPr>
                                      <w:sz w:val="14"/>
                                    </w:rPr>
                                  </w:pPr>
                                  <w:r>
                                    <w:rPr>
                                      <w:sz w:val="14"/>
                                    </w:rPr>
                                    <w:t>Swiss Market Index (the “SMI Index”)</w:t>
                                  </w:r>
                                </w:p>
                              </w:tc>
                              <w:tc>
                                <w:tcPr>
                                  <w:tcW w:w="1130" w:type="dxa"/>
                                  <w:tcBorders/>
                                  <w:vAlign w:val="center"/>
                                </w:tcPr>
                                <w:p>
                                  <w:pPr>
                                    <w:pStyle w:val="TableContents"/>
                                    <w:bidi w:val="0"/>
                                    <w:spacing w:before="0" w:after="283"/>
                                    <w:jc w:val="left"/>
                                    <w:rPr>
                                      <w:sz w:val="14"/>
                                    </w:rPr>
                                  </w:pPr>
                                  <w:r>
                                    <w:rPr>
                                      <w:sz w:val="14"/>
                                    </w:rPr>
                                    <w:t>SMI</w:t>
                                  </w:r>
                                </w:p>
                              </w:tc>
                              <w:tc>
                                <w:tcPr>
                                  <w:tcW w:w="650" w:type="dxa"/>
                                  <w:tcBorders/>
                                  <w:vAlign w:val="center"/>
                                </w:tcPr>
                                <w:p>
                                  <w:pPr>
                                    <w:pStyle w:val="TableContents"/>
                                    <w:bidi w:val="0"/>
                                    <w:spacing w:before="0" w:after="283"/>
                                    <w:jc w:val="left"/>
                                    <w:rPr>
                                      <w:sz w:val="14"/>
                                    </w:rPr>
                                  </w:pPr>
                                  <w:r>
                                    <w:rPr>
                                      <w:sz w:val="14"/>
                                    </w:rPr>
                                    <w:t>10.00%</w:t>
                                  </w:r>
                                </w:p>
                              </w:tc>
                            </w:tr>
                            <w:tr>
                              <w:trPr/>
                              <w:tc>
                                <w:tcPr>
                                  <w:tcW w:w="515" w:type="dxa"/>
                                  <w:tcBorders/>
                                  <w:vAlign w:val="center"/>
                                </w:tcPr>
                                <w:p>
                                  <w:pPr>
                                    <w:pStyle w:val="TableContents"/>
                                    <w:bidi w:val="0"/>
                                    <w:spacing w:before="0" w:after="283"/>
                                    <w:jc w:val="left"/>
                                    <w:rPr/>
                                  </w:pPr>
                                  <w:r>
                                    <w:rPr/>
                                    <w:t> </w:t>
                                  </w:r>
                                </w:p>
                              </w:tc>
                              <w:tc>
                                <w:tcPr>
                                  <w:tcW w:w="2555" w:type="dxa"/>
                                  <w:tcBorders/>
                                  <w:vAlign w:val="center"/>
                                </w:tcPr>
                                <w:p>
                                  <w:pPr>
                                    <w:pStyle w:val="TableContents"/>
                                    <w:bidi w:val="0"/>
                                    <w:spacing w:before="0" w:after="283"/>
                                    <w:jc w:val="left"/>
                                    <w:rPr>
                                      <w:sz w:val="14"/>
                                    </w:rPr>
                                  </w:pPr>
                                  <w:r>
                                    <w:rPr>
                                      <w:sz w:val="14"/>
                                    </w:rPr>
                                    <w:t>S&amp;P/ASX 200 Index (the “AS51 Index”)</w:t>
                                  </w:r>
                                </w:p>
                              </w:tc>
                              <w:tc>
                                <w:tcPr>
                                  <w:tcW w:w="1130" w:type="dxa"/>
                                  <w:tcBorders/>
                                  <w:vAlign w:val="center"/>
                                </w:tcPr>
                                <w:p>
                                  <w:pPr>
                                    <w:pStyle w:val="TableContents"/>
                                    <w:bidi w:val="0"/>
                                    <w:spacing w:before="0" w:after="283"/>
                                    <w:jc w:val="left"/>
                                    <w:rPr>
                                      <w:sz w:val="14"/>
                                    </w:rPr>
                                  </w:pPr>
                                  <w:r>
                                    <w:rPr>
                                      <w:sz w:val="14"/>
                                    </w:rPr>
                                    <w:t>AS51</w:t>
                                  </w:r>
                                </w:p>
                              </w:tc>
                              <w:tc>
                                <w:tcPr>
                                  <w:tcW w:w="650" w:type="dxa"/>
                                  <w:tcBorders/>
                                  <w:vAlign w:val="center"/>
                                </w:tcPr>
                                <w:p>
                                  <w:pPr>
                                    <w:pStyle w:val="TableContents"/>
                                    <w:bidi w:val="0"/>
                                    <w:spacing w:before="0" w:after="283"/>
                                    <w:jc w:val="left"/>
                                    <w:rPr>
                                      <w:sz w:val="14"/>
                                    </w:rPr>
                                  </w:pPr>
                                  <w:r>
                                    <w:rPr>
                                      <w:sz w:val="14"/>
                                    </w:rPr>
                                    <w:t>7.50%</w:t>
                                  </w:r>
                                </w:p>
                              </w:tc>
                            </w:tr>
                          </w:tbl>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sz w:val="14"/>
                                    </w:rPr>
                                  </w:pPr>
                                  <w:r>
                                    <w:rPr>
                                      <w:sz w:val="14"/>
                                    </w:rPr>
                                    <w:t>We refer to the SX5E Index, the TPX Index, the UKX Index, the SMI Index and the AS51 Index as the underlying indices.  Because the SX5E Index makes up 40% of the basket, we expect that generally the market value of your Trigger PLUS and your payment at maturity will depend significantly on the performance of the SX5E Index.</w:t>
                                  </w:r>
                                </w:p>
                              </w:tc>
                            </w:tr>
                          </w:tbl>
                          <w:tbl>
                            <w:tblPr>
                              <w:tblW w:w="10205" w:type="dxa"/>
                              <w:jc w:val="left"/>
                              <w:tblInd w:w="0" w:type="dxa"/>
                              <w:tblLayout w:type="fixed"/>
                              <w:tblCellMar>
                                <w:top w:w="0" w:type="dxa"/>
                                <w:left w:w="0" w:type="dxa"/>
                                <w:bottom w:w="0" w:type="dxa"/>
                                <w:right w:w="0" w:type="dxa"/>
                              </w:tblCellMar>
                            </w:tblPr>
                            <w:tblGrid>
                              <w:gridCol w:w="2001"/>
                              <w:gridCol w:w="8204"/>
                            </w:tblGrid>
                            <w:tr>
                              <w:trPr/>
                              <w:tc>
                                <w:tcPr>
                                  <w:tcW w:w="2001" w:type="dxa"/>
                                  <w:tcBorders/>
                                  <w:shd w:fill="DCEBF4" w:val="clear"/>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 xml:space="preserve">Payment at maturity: </w:t>
                                  </w:r>
                                </w:p>
                              </w:tc>
                              <w:tc>
                                <w:tcPr>
                                  <w:tcW w:w="8204" w:type="dxa"/>
                                  <w:tcBorders/>
                                  <w:shd w:fill="DCEBF4" w:val="clear"/>
                                  <w:vAlign w:val="center"/>
                                </w:tcPr>
                                <w:p>
                                  <w:pPr>
                                    <w:pStyle w:val="TableContents"/>
                                    <w:bidi w:val="0"/>
                                    <w:ind w:left="249" w:right="249" w:hanging="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 xml:space="preserve">If the final basket value is </w:t>
                                  </w:r>
                                  <w:r>
                                    <w:rPr>
                                      <w:rFonts w:ascii="Arial;Helvetica;Sans-Serif" w:hAnsi="Arial;Helvetica;Sans-Serif"/>
                                      <w:b w:val="false"/>
                                      <w:i/>
                                      <w:caps w:val="false"/>
                                      <w:smallCaps w:val="false"/>
                                      <w:sz w:val="14"/>
                                    </w:rPr>
                                    <w:t>greater than</w:t>
                                  </w:r>
                                  <w:r>
                                    <w:rPr>
                                      <w:rFonts w:ascii="Arial;Helvetica;Sans-Serif" w:hAnsi="Arial;Helvetica;Sans-Serif"/>
                                      <w:b w:val="false"/>
                                      <w:i w:val="false"/>
                                      <w:caps w:val="false"/>
                                      <w:smallCaps w:val="false"/>
                                      <w:sz w:val="14"/>
                                    </w:rPr>
                                    <w:t xml:space="preserve"> the initial basket value, for each $1,000 stated principal amount Trigger PLUS:</w:t>
                                  </w:r>
                                </w:p>
                                <w:p>
                                  <w:pPr>
                                    <w:pStyle w:val="TableContents"/>
                                    <w:bidi w:val="0"/>
                                    <w:ind w:left="249" w:right="249" w:firstLine="245"/>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$1,000 + leveraged upside payment</w:t>
                                  </w:r>
                                </w:p>
                                <w:p>
                                  <w:pPr>
                                    <w:pStyle w:val="TableContents"/>
                                    <w:bidi w:val="0"/>
                                    <w:ind w:left="249" w:right="249" w:hanging="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 xml:space="preserve">If the final basket value is </w:t>
                                  </w:r>
                                  <w:r>
                                    <w:rPr>
                                      <w:rFonts w:ascii="Arial;Helvetica;Sans-Serif" w:hAnsi="Arial;Helvetica;Sans-Serif"/>
                                      <w:b w:val="false"/>
                                      <w:i/>
                                      <w:caps w:val="false"/>
                                      <w:smallCaps w:val="false"/>
                                      <w:sz w:val="14"/>
                                    </w:rPr>
                                    <w:t xml:space="preserve">less than or equal to </w:t>
                                  </w:r>
                                  <w:r>
                                    <w:rPr>
                                      <w:rFonts w:ascii="Arial;Helvetica;Sans-Serif" w:hAnsi="Arial;Helvetica;Sans-Serif"/>
                                      <w:b w:val="false"/>
                                      <w:i w:val="false"/>
                                      <w:caps w:val="false"/>
                                      <w:smallCaps w:val="false"/>
                                      <w:sz w:val="14"/>
                                    </w:rPr>
                                    <w:t xml:space="preserve">the initial basket value but is </w:t>
                                  </w:r>
                                  <w:r>
                                    <w:rPr>
                                      <w:rFonts w:ascii="Arial;Helvetica;Sans-Serif" w:hAnsi="Arial;Helvetica;Sans-Serif"/>
                                      <w:b w:val="false"/>
                                      <w:i/>
                                      <w:caps w:val="false"/>
                                      <w:smallCaps w:val="false"/>
                                      <w:sz w:val="14"/>
                                    </w:rPr>
                                    <w:t>greater than or equal to</w:t>
                                  </w:r>
                                  <w:r>
                                    <w:rPr>
                                      <w:rFonts w:ascii="Arial;Helvetica;Sans-Serif" w:hAnsi="Arial;Helvetica;Sans-Serif"/>
                                      <w:b w:val="false"/>
                                      <w:i w:val="false"/>
                                      <w:caps w:val="false"/>
                                      <w:smallCaps w:val="false"/>
                                      <w:sz w:val="14"/>
                                    </w:rPr>
                                    <w:t xml:space="preserve"> the trigger level, for each $1,000 stated principal amount Trigger PLUS:</w:t>
                                  </w:r>
                                </w:p>
                                <w:p>
                                  <w:pPr>
                                    <w:pStyle w:val="TableContents"/>
                                    <w:bidi w:val="0"/>
                                    <w:ind w:left="249" w:right="249" w:firstLine="245"/>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$1,000</w:t>
                                  </w:r>
                                </w:p>
                                <w:p>
                                  <w:pPr>
                                    <w:pStyle w:val="TableContents"/>
                                    <w:bidi w:val="0"/>
                                    <w:ind w:left="249" w:right="249" w:hanging="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 xml:space="preserve">If the final basket value is </w:t>
                                  </w:r>
                                  <w:r>
                                    <w:rPr>
                                      <w:rFonts w:ascii="Arial;Helvetica;Sans-Serif" w:hAnsi="Arial;Helvetica;Sans-Serif"/>
                                      <w:b w:val="false"/>
                                      <w:i/>
                                      <w:caps w:val="false"/>
                                      <w:smallCaps w:val="false"/>
                                      <w:sz w:val="14"/>
                                    </w:rPr>
                                    <w:t xml:space="preserve">less than </w:t>
                                  </w:r>
                                  <w:r>
                                    <w:rPr>
                                      <w:rFonts w:ascii="Arial;Helvetica;Sans-Serif" w:hAnsi="Arial;Helvetica;Sans-Serif"/>
                                      <w:b w:val="false"/>
                                      <w:i w:val="false"/>
                                      <w:caps w:val="false"/>
                                      <w:smallCaps w:val="false"/>
                                      <w:sz w:val="14"/>
                                    </w:rPr>
                                    <w:t>the trigger level, for each $1,000 stated principal amount Trigger PLUS:</w:t>
                                  </w:r>
                                </w:p>
                                <w:p>
                                  <w:pPr>
                                    <w:pStyle w:val="TableContents"/>
                                    <w:bidi w:val="0"/>
                                    <w:ind w:left="249" w:right="249" w:firstLine="245"/>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$1,000 × basket performance factor</w:t>
                                  </w:r>
                                </w:p>
                                <w:p>
                                  <w:pPr>
                                    <w:pStyle w:val="TableContents"/>
                                    <w:bidi w:val="0"/>
                                    <w:spacing w:before="0" w:after="283"/>
                                    <w:ind w:left="249" w:right="249" w:hanging="0"/>
                                    <w:jc w:val="left"/>
                                    <w:rPr>
                                      <w:rFonts w:ascii="Arial;Helvetica;Sans-Serif" w:hAnsi="Arial;Helvetica;Sans-Serif"/>
                                      <w:b w:val="false"/>
                                      <w:i/>
                                      <w:caps w:val="false"/>
                                      <w:smallCaps w:val="false"/>
                                      <w:sz w:val="14"/>
                                    </w:rPr>
                                  </w:pPr>
                                  <w:r>
                                    <w:rPr>
                                      <w:rFonts w:ascii="Arial;Helvetica;Sans-Serif" w:hAnsi="Arial;Helvetica;Sans-Serif"/>
                                      <w:b w:val="false"/>
                                      <w:i/>
                                      <w:caps w:val="false"/>
                                      <w:smallCaps w:val="false"/>
                                      <w:sz w:val="14"/>
                                    </w:rPr>
                                    <w:t>This amount will be less than the stated principal amount of $1,000 per Trigger PLUS and will represent a loss of more than 20%, and possibly all, of your investment.</w:t>
                                  </w:r>
                                </w:p>
                              </w:tc>
                            </w:tr>
                            <w:tr>
                              <w:trPr/>
                              <w:tc>
                                <w:tcPr>
                                  <w:tcW w:w="2001" w:type="dxa"/>
                                  <w:tcBorders/>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Leveraged upside payment:</w:t>
                                  </w:r>
                                </w:p>
                              </w:tc>
                              <w:tc>
                                <w:tcPr>
                                  <w:tcW w:w="8204" w:type="dxa"/>
                                  <w:tcBorders/>
                                  <w:vAlign w:val="center"/>
                                </w:tcPr>
                                <w:p>
                                  <w:pPr>
                                    <w:pStyle w:val="TableContents"/>
                                    <w:bidi w:val="0"/>
                                    <w:spacing w:before="0" w:after="283"/>
                                    <w:jc w:val="left"/>
                                    <w:rPr>
                                      <w:sz w:val="14"/>
                                    </w:rPr>
                                  </w:pPr>
                                  <w:r>
                                    <w:rPr>
                                      <w:sz w:val="14"/>
                                    </w:rPr>
                                    <w:t>$1,000 × leverage factor × basket percent increase</w:t>
                                  </w:r>
                                </w:p>
                              </w:tc>
                            </w:tr>
                            <w:tr>
                              <w:trPr/>
                              <w:tc>
                                <w:tcPr>
                                  <w:tcW w:w="2001" w:type="dxa"/>
                                  <w:tcBorders/>
                                  <w:shd w:fill="DCEBF4" w:val="clear"/>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Basket percent increase:</w:t>
                                  </w:r>
                                </w:p>
                              </w:tc>
                              <w:tc>
                                <w:tcPr>
                                  <w:tcW w:w="8204" w:type="dxa"/>
                                  <w:tcBorders/>
                                  <w:shd w:fill="DCEBF4" w:val="clear"/>
                                  <w:vAlign w:val="center"/>
                                </w:tcPr>
                                <w:p>
                                  <w:pPr>
                                    <w:pStyle w:val="TableContents"/>
                                    <w:bidi w:val="0"/>
                                    <w:spacing w:before="0" w:after="283"/>
                                    <w:jc w:val="left"/>
                                    <w:rPr>
                                      <w:sz w:val="14"/>
                                    </w:rPr>
                                  </w:pPr>
                                  <w:r>
                                    <w:rPr>
                                      <w:sz w:val="14"/>
                                    </w:rPr>
                                    <w:t>(final basket value – initial basket value) / initial basket value</w:t>
                                  </w:r>
                                </w:p>
                              </w:tc>
                            </w:tr>
                            <w:tr>
                              <w:trPr/>
                              <w:tc>
                                <w:tcPr>
                                  <w:tcW w:w="2001" w:type="dxa"/>
                                  <w:tcBorders/>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 xml:space="preserve">Initial basket value: </w:t>
                                  </w:r>
                                </w:p>
                              </w:tc>
                              <w:tc>
                                <w:tcPr>
                                  <w:tcW w:w="8204" w:type="dxa"/>
                                  <w:tcBorders/>
                                  <w:vAlign w:val="center"/>
                                </w:tcPr>
                                <w:p>
                                  <w:pPr>
                                    <w:pStyle w:val="TableContents"/>
                                    <w:bidi w:val="0"/>
                                    <w:spacing w:before="0" w:after="283"/>
                                    <w:jc w:val="left"/>
                                    <w:rPr>
                                      <w:sz w:val="14"/>
                                    </w:rPr>
                                  </w:pPr>
                                  <w:r>
                                    <w:rPr>
                                      <w:sz w:val="14"/>
                                    </w:rPr>
                                    <w:t>Set equal to 100 on the pricing date</w:t>
                                  </w:r>
                                </w:p>
                              </w:tc>
                            </w:tr>
                            <w:tr>
                              <w:trPr/>
                              <w:tc>
                                <w:tcPr>
                                  <w:tcW w:w="2001" w:type="dxa"/>
                                  <w:tcBorders/>
                                  <w:shd w:fill="DEEAF6" w:val="clear"/>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 xml:space="preserve">Final basket value: </w:t>
                                  </w:r>
                                </w:p>
                              </w:tc>
                              <w:tc>
                                <w:tcPr>
                                  <w:tcW w:w="8204" w:type="dxa"/>
                                  <w:tcBorders/>
                                  <w:shd w:fill="DCEBF4" w:val="clear"/>
                                  <w:vAlign w:val="center"/>
                                </w:tcPr>
                                <w:p>
                                  <w:pPr>
                                    <w:pStyle w:val="TableContents"/>
                                    <w:bidi w:val="0"/>
                                    <w:spacing w:before="0" w:after="283"/>
                                    <w:jc w:val="left"/>
                                    <w:rPr>
                                      <w:sz w:val="14"/>
                                    </w:rPr>
                                  </w:pPr>
                                  <w:r>
                                    <w:rPr>
                                      <w:sz w:val="14"/>
                                    </w:rPr>
                                    <w:t>The basket closing value on the valuation date</w:t>
                                  </w:r>
                                </w:p>
                              </w:tc>
                            </w:tr>
                            <w:tr>
                              <w:trPr/>
                              <w:tc>
                                <w:tcPr>
                                  <w:tcW w:w="2001" w:type="dxa"/>
                                  <w:tcBorders/>
                                  <w:vAlign w:val="center"/>
                                </w:tcPr>
                                <w:p>
                                  <w:pPr>
                                    <w:pStyle w:val="TableContents"/>
                                    <w:bidi w:val="0"/>
                                    <w:spacing w:before="0" w:after="283"/>
                                    <w:jc w:val="left"/>
                                    <w:rPr>
                                      <w:b/>
                                      <w:color w:val="296DC1"/>
                                      <w:sz w:val="14"/>
                                    </w:rPr>
                                  </w:pPr>
                                  <w:r>
                                    <w:rPr>
                                      <w:b/>
                                      <w:color w:val="296DC1"/>
                                      <w:sz w:val="14"/>
                                    </w:rPr>
                                    <w:t xml:space="preserve">Initial index value: </w:t>
                                  </w:r>
                                </w:p>
                              </w:tc>
                              <w:tc>
                                <w:tcPr>
                                  <w:tcW w:w="8204" w:type="dxa"/>
                                  <w:tcBorders/>
                                  <w:vAlign w:val="center"/>
                                </w:tcPr>
                                <w:p>
                                  <w:pPr>
                                    <w:pStyle w:val="TableContents"/>
                                    <w:bidi w:val="0"/>
                                    <w:spacing w:before="0" w:after="283"/>
                                    <w:jc w:val="left"/>
                                    <w:rPr>
                                      <w:sz w:val="14"/>
                                    </w:rPr>
                                  </w:pPr>
                                  <w:r>
                                    <w:rPr>
                                      <w:sz w:val="14"/>
                                    </w:rPr>
                                    <w:t>With respect to each underlying index, the closing level of that underlying index on the pricing date</w:t>
                                  </w:r>
                                </w:p>
                              </w:tc>
                            </w:tr>
                            <w:tr>
                              <w:trPr/>
                              <w:tc>
                                <w:tcPr>
                                  <w:tcW w:w="2001" w:type="dxa"/>
                                  <w:tcBorders/>
                                  <w:shd w:fill="DEEAF6" w:val="clear"/>
                                  <w:vAlign w:val="center"/>
                                </w:tcPr>
                                <w:p>
                                  <w:pPr>
                                    <w:pStyle w:val="TableContents"/>
                                    <w:bidi w:val="0"/>
                                    <w:spacing w:before="0" w:after="283"/>
                                    <w:jc w:val="left"/>
                                    <w:rPr>
                                      <w:b/>
                                      <w:color w:val="296DC1"/>
                                      <w:sz w:val="14"/>
                                    </w:rPr>
                                  </w:pPr>
                                  <w:r>
                                    <w:rPr>
                                      <w:b/>
                                      <w:color w:val="296DC1"/>
                                      <w:sz w:val="14"/>
                                    </w:rPr>
                                    <w:t xml:space="preserve">Final index value: </w:t>
                                  </w:r>
                                </w:p>
                              </w:tc>
                              <w:tc>
                                <w:tcPr>
                                  <w:tcW w:w="8204" w:type="dxa"/>
                                  <w:tcBorders/>
                                  <w:shd w:fill="DCEBF4" w:val="clear"/>
                                  <w:vAlign w:val="center"/>
                                </w:tcPr>
                                <w:p>
                                  <w:pPr>
                                    <w:pStyle w:val="TableContents"/>
                                    <w:bidi w:val="0"/>
                                    <w:spacing w:before="0" w:after="283"/>
                                    <w:jc w:val="left"/>
                                    <w:rPr>
                                      <w:sz w:val="14"/>
                                    </w:rPr>
                                  </w:pPr>
                                  <w:r>
                                    <w:rPr>
                                      <w:sz w:val="14"/>
                                    </w:rPr>
                                    <w:t>With respect to each underlying index, the closing level of that underlying index on the valuation date</w:t>
                                  </w:r>
                                </w:p>
                              </w:tc>
                            </w:tr>
                            <w:tr>
                              <w:trPr/>
                              <w:tc>
                                <w:tcPr>
                                  <w:tcW w:w="2001" w:type="dxa"/>
                                  <w:tcBorders/>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Trigger level:</w:t>
                                  </w:r>
                                </w:p>
                              </w:tc>
                              <w:tc>
                                <w:tcPr>
                                  <w:tcW w:w="8204" w:type="dxa"/>
                                  <w:tcBorders/>
                                  <w:vAlign w:val="center"/>
                                </w:tcPr>
                                <w:p>
                                  <w:pPr>
                                    <w:pStyle w:val="TableContents"/>
                                    <w:bidi w:val="0"/>
                                    <w:spacing w:before="0" w:after="283"/>
                                    <w:jc w:val="left"/>
                                    <w:rPr>
                                      <w:sz w:val="14"/>
                                    </w:rPr>
                                  </w:pPr>
                                  <w:r>
                                    <w:rPr>
                                      <w:sz w:val="14"/>
                                    </w:rPr>
                                    <w:t>80, which is 80% of the initial basket value</w:t>
                                  </w:r>
                                </w:p>
                              </w:tc>
                            </w:tr>
                            <w:tr>
                              <w:trPr/>
                              <w:tc>
                                <w:tcPr>
                                  <w:tcW w:w="2001" w:type="dxa"/>
                                  <w:tcBorders/>
                                  <w:shd w:fill="DEEAF6" w:val="clear"/>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 xml:space="preserve">Leverage factor: </w:t>
                                  </w:r>
                                </w:p>
                              </w:tc>
                              <w:tc>
                                <w:tcPr>
                                  <w:tcW w:w="8204" w:type="dxa"/>
                                  <w:tcBorders/>
                                  <w:shd w:fill="DCEBF4" w:val="clear"/>
                                  <w:vAlign w:val="center"/>
                                </w:tcPr>
                                <w:p>
                                  <w:pPr>
                                    <w:pStyle w:val="TableContents"/>
                                    <w:bidi w:val="0"/>
                                    <w:spacing w:before="0" w:after="283"/>
                                    <w:jc w:val="left"/>
                                    <w:rPr>
                                      <w:sz w:val="14"/>
                                    </w:rPr>
                                  </w:pPr>
                                  <w:r>
                                    <w:rPr>
                                      <w:sz w:val="14"/>
                                    </w:rPr>
                                    <w:t>At least 196.00%</w:t>
                                  </w:r>
                                </w:p>
                              </w:tc>
                            </w:tr>
                            <w:tr>
                              <w:trPr/>
                              <w:tc>
                                <w:tcPr>
                                  <w:tcW w:w="2001" w:type="dxa"/>
                                  <w:tcBorders/>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Basket performance factor:</w:t>
                                  </w:r>
                                </w:p>
                              </w:tc>
                              <w:tc>
                                <w:tcPr>
                                  <w:tcW w:w="8204" w:type="dxa"/>
                                  <w:tcBorders/>
                                  <w:vAlign w:val="center"/>
                                </w:tcPr>
                                <w:p>
                                  <w:pPr>
                                    <w:pStyle w:val="TableContents"/>
                                    <w:bidi w:val="0"/>
                                    <w:spacing w:before="0" w:after="283"/>
                                    <w:jc w:val="left"/>
                                    <w:rPr>
                                      <w:sz w:val="14"/>
                                    </w:rPr>
                                  </w:pPr>
                                  <w:r>
                                    <w:rPr>
                                      <w:sz w:val="14"/>
                                    </w:rPr>
                                    <w:t>final basket value / initial basket value</w:t>
                                  </w:r>
                                </w:p>
                              </w:tc>
                            </w:tr>
                            <w:tr>
                              <w:trPr/>
                              <w:tc>
                                <w:tcPr>
                                  <w:tcW w:w="2001" w:type="dxa"/>
                                  <w:tcBorders/>
                                  <w:shd w:fill="DCEBF0" w:val="clear"/>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Stated principal amount:</w:t>
                                  </w:r>
                                </w:p>
                              </w:tc>
                              <w:tc>
                                <w:tcPr>
                                  <w:tcW w:w="8204" w:type="dxa"/>
                                  <w:tcBorders/>
                                  <w:shd w:fill="DCEBF0" w:val="clear"/>
                                  <w:vAlign w:val="center"/>
                                </w:tcPr>
                                <w:p>
                                  <w:pPr>
                                    <w:pStyle w:val="TableContents"/>
                                    <w:bidi w:val="0"/>
                                    <w:spacing w:before="0" w:after="283"/>
                                    <w:jc w:val="left"/>
                                    <w:rPr>
                                      <w:sz w:val="14"/>
                                    </w:rPr>
                                  </w:pPr>
                                  <w:r>
                                    <w:rPr>
                                      <w:sz w:val="14"/>
                                    </w:rPr>
                                    <w:t>$1,000 per Trigger PLUS</w:t>
                                  </w:r>
                                </w:p>
                              </w:tc>
                            </w:tr>
                            <w:tr>
                              <w:trPr/>
                              <w:tc>
                                <w:tcPr>
                                  <w:tcW w:w="2001" w:type="dxa"/>
                                  <w:tcBorders/>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Issue price:</w:t>
                                  </w:r>
                                </w:p>
                              </w:tc>
                              <w:tc>
                                <w:tcPr>
                                  <w:tcW w:w="8204" w:type="dxa"/>
                                  <w:tcBorders/>
                                  <w:vAlign w:val="center"/>
                                </w:tcPr>
                                <w:p>
                                  <w:pPr>
                                    <w:pStyle w:val="TableContents"/>
                                    <w:bidi w:val="0"/>
                                    <w:spacing w:before="0" w:after="283"/>
                                    <w:jc w:val="left"/>
                                    <w:rPr>
                                      <w:sz w:val="14"/>
                                    </w:rPr>
                                  </w:pPr>
                                  <w:r>
                                    <w:rPr>
                                      <w:sz w:val="14"/>
                                    </w:rPr>
                                    <w:t>$1,000 per Trigger PLUS</w:t>
                                  </w:r>
                                </w:p>
                              </w:tc>
                            </w:tr>
                            <w:tr>
                              <w:trPr/>
                              <w:tc>
                                <w:tcPr>
                                  <w:tcW w:w="2001" w:type="dxa"/>
                                  <w:tcBorders/>
                                  <w:shd w:fill="DCEBF0" w:val="clear"/>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Pricing date:</w:t>
                                  </w:r>
                                </w:p>
                              </w:tc>
                              <w:tc>
                                <w:tcPr>
                                  <w:tcW w:w="8204" w:type="dxa"/>
                                  <w:tcBorders/>
                                  <w:shd w:fill="DCEBF0" w:val="clear"/>
                                  <w:vAlign w:val="center"/>
                                </w:tcPr>
                                <w:p>
                                  <w:pPr>
                                    <w:pStyle w:val="TableContents"/>
                                    <w:bidi w:val="0"/>
                                    <w:spacing w:before="0" w:after="283"/>
                                    <w:jc w:val="left"/>
                                    <w:rPr>
                                      <w:sz w:val="14"/>
                                    </w:rPr>
                                  </w:pPr>
                                  <w:r>
                                    <w:rPr>
                                      <w:sz w:val="14"/>
                                    </w:rPr>
                                    <w:t>Expected to be October 30, 2026</w:t>
                                  </w:r>
                                </w:p>
                              </w:tc>
                            </w:tr>
                            <w:tr>
                              <w:trPr/>
                              <w:tc>
                                <w:tcPr>
                                  <w:tcW w:w="2001" w:type="dxa"/>
                                  <w:tcBorders/>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 xml:space="preserve">Original issue date (settlement date): </w:t>
                                  </w:r>
                                </w:p>
                              </w:tc>
                              <w:tc>
                                <w:tcPr>
                                  <w:tcW w:w="8204" w:type="dxa"/>
                                  <w:tcBorders/>
                                  <w:vAlign w:val="center"/>
                                </w:tcPr>
                                <w:p>
                                  <w:pPr>
                                    <w:pStyle w:val="TableContents"/>
                                    <w:bidi w:val="0"/>
                                    <w:spacing w:before="0" w:after="283"/>
                                    <w:jc w:val="left"/>
                                    <w:rPr>
                                      <w:sz w:val="14"/>
                                    </w:rPr>
                                  </w:pPr>
                                  <w:r>
                                    <w:rPr>
                                      <w:sz w:val="14"/>
                                    </w:rPr>
                                    <w:t>3 business days after the pricing date</w:t>
                                  </w:r>
                                </w:p>
                              </w:tc>
                            </w:tr>
                            <w:tr>
                              <w:trPr/>
                              <w:tc>
                                <w:tcPr>
                                  <w:tcW w:w="2001" w:type="dxa"/>
                                  <w:tcBorders/>
                                  <w:shd w:fill="DCEBF0" w:val="clear"/>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Valuation date</w:t>
                                  </w:r>
                                  <w:r>
                                    <w:rPr>
                                      <w:rFonts w:ascii="Arial;Helvetica;Sans-Serif" w:hAnsi="Arial;Helvetica;Sans-Serif"/>
                                      <w:b/>
                                      <w:color w:val="296DC1"/>
                                      <w:position w:val="5"/>
                                      <w:sz w:val="11"/>
                                      <w:sz w:val="14"/>
                                    </w:rPr>
                                    <w:t>†</w:t>
                                  </w:r>
                                  <w:r>
                                    <w:rPr>
                                      <w:rFonts w:ascii="Arial;Helvetica;Sans-Serif" w:hAnsi="Arial;Helvetica;Sans-Serif"/>
                                      <w:b/>
                                      <w:color w:val="296DC1"/>
                                      <w:sz w:val="14"/>
                                    </w:rPr>
                                    <w:t>:</w:t>
                                  </w:r>
                                </w:p>
                              </w:tc>
                              <w:tc>
                                <w:tcPr>
                                  <w:tcW w:w="8204" w:type="dxa"/>
                                  <w:tcBorders/>
                                  <w:shd w:fill="DCEBF0" w:val="clear"/>
                                  <w:vAlign w:val="center"/>
                                </w:tcPr>
                                <w:p>
                                  <w:pPr>
                                    <w:pStyle w:val="TableContents"/>
                                    <w:bidi w:val="0"/>
                                    <w:spacing w:before="0" w:after="283"/>
                                    <w:jc w:val="left"/>
                                    <w:rPr>
                                      <w:sz w:val="14"/>
                                    </w:rPr>
                                  </w:pPr>
                                  <w:r>
                                    <w:rPr>
                                      <w:sz w:val="14"/>
                                    </w:rPr>
                                    <w:t>October 31, 2031</w:t>
                                  </w:r>
                                </w:p>
                              </w:tc>
                            </w:tr>
                            <w:tr>
                              <w:trPr/>
                              <w:tc>
                                <w:tcPr>
                                  <w:tcW w:w="2001" w:type="dxa"/>
                                  <w:tcBorders/>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Maturity date</w:t>
                                  </w:r>
                                  <w:r>
                                    <w:rPr>
                                      <w:rFonts w:ascii="Arial;Helvetica;Sans-Serif" w:hAnsi="Arial;Helvetica;Sans-Serif"/>
                                      <w:b/>
                                      <w:color w:val="296DC1"/>
                                      <w:position w:val="5"/>
                                      <w:sz w:val="11"/>
                                      <w:sz w:val="14"/>
                                    </w:rPr>
                                    <w:t>†</w:t>
                                  </w:r>
                                  <w:r>
                                    <w:rPr>
                                      <w:rFonts w:ascii="Arial;Helvetica;Sans-Serif" w:hAnsi="Arial;Helvetica;Sans-Serif"/>
                                      <w:b/>
                                      <w:color w:val="296DC1"/>
                                      <w:sz w:val="14"/>
                                    </w:rPr>
                                    <w:t xml:space="preserve">: </w:t>
                                  </w:r>
                                </w:p>
                              </w:tc>
                              <w:tc>
                                <w:tcPr>
                                  <w:tcW w:w="8204" w:type="dxa"/>
                                  <w:tcBorders/>
                                  <w:vAlign w:val="center"/>
                                </w:tcPr>
                                <w:p>
                                  <w:pPr>
                                    <w:pStyle w:val="TableContents"/>
                                    <w:bidi w:val="0"/>
                                    <w:spacing w:before="0" w:after="283"/>
                                    <w:jc w:val="left"/>
                                    <w:rPr>
                                      <w:sz w:val="14"/>
                                    </w:rPr>
                                  </w:pPr>
                                  <w:r>
                                    <w:rPr>
                                      <w:sz w:val="14"/>
                                    </w:rPr>
                                    <w:t>November 5, 2031</w:t>
                                  </w:r>
                                </w:p>
                              </w:tc>
                            </w:tr>
                            <w:tr>
                              <w:trPr/>
                              <w:tc>
                                <w:tcPr>
                                  <w:tcW w:w="2001" w:type="dxa"/>
                                  <w:tcBorders/>
                                  <w:shd w:fill="DCEBF0" w:val="clear"/>
                                  <w:vAlign w:val="center"/>
                                </w:tcPr>
                                <w:p>
                                  <w:pPr>
                                    <w:pStyle w:val="TableContents"/>
                                    <w:bidi w:val="0"/>
                                    <w:spacing w:before="0" w:after="283"/>
                                    <w:jc w:val="left"/>
                                    <w:rPr>
                                      <w:b/>
                                      <w:color w:val="296DC1"/>
                                      <w:sz w:val="14"/>
                                    </w:rPr>
                                  </w:pPr>
                                  <w:r>
                                    <w:rPr>
                                      <w:b/>
                                      <w:color w:val="296DC1"/>
                                      <w:sz w:val="14"/>
                                    </w:rPr>
                                    <w:t>CUSIP / ISIN:</w:t>
                                  </w:r>
                                </w:p>
                              </w:tc>
                              <w:tc>
                                <w:tcPr>
                                  <w:tcW w:w="8204" w:type="dxa"/>
                                  <w:tcBorders/>
                                  <w:shd w:fill="DCEBF0" w:val="clear"/>
                                  <w:vAlign w:val="center"/>
                                </w:tcPr>
                                <w:p>
                                  <w:pPr>
                                    <w:pStyle w:val="TableContents"/>
                                    <w:bidi w:val="0"/>
                                    <w:spacing w:before="0" w:after="283"/>
                                    <w:jc w:val="left"/>
                                    <w:rPr>
                                      <w:sz w:val="14"/>
                                    </w:rPr>
                                  </w:pPr>
                                  <w:r>
                                    <w:rPr>
                                      <w:sz w:val="14"/>
                                    </w:rPr>
                                    <w:t>46661PST5 / US46661PST56</w:t>
                                  </w:r>
                                </w:p>
                              </w:tc>
                            </w:tr>
                            <w:tr>
                              <w:trPr/>
                              <w:tc>
                                <w:tcPr>
                                  <w:tcW w:w="2001" w:type="dxa"/>
                                  <w:tcBorders/>
                                  <w:vAlign w:val="center"/>
                                </w:tcPr>
                                <w:p>
                                  <w:pPr>
                                    <w:pStyle w:val="TableContents"/>
                                    <w:bidi w:val="0"/>
                                    <w:spacing w:before="0" w:after="283"/>
                                    <w:jc w:val="left"/>
                                    <w:rPr>
                                      <w:b/>
                                      <w:color w:val="296DC1"/>
                                      <w:sz w:val="14"/>
                                    </w:rPr>
                                  </w:pPr>
                                  <w:r>
                                    <w:rPr>
                                      <w:b/>
                                      <w:color w:val="296DC1"/>
                                      <w:sz w:val="14"/>
                                    </w:rPr>
                                    <w:t xml:space="preserve">Preliminary pricing supplement: </w:t>
                                  </w:r>
                                </w:p>
                              </w:tc>
                              <w:tc>
                                <w:tcPr>
                                  <w:tcW w:w="8204" w:type="dxa"/>
                                  <w:tcBorders/>
                                  <w:vAlign w:val="center"/>
                                </w:tcPr>
                                <w:p>
                                  <w:pPr>
                                    <w:pStyle w:val="TableContents"/>
                                    <w:bidi w:val="0"/>
                                    <w:spacing w:before="0" w:after="283"/>
                                    <w:jc w:val="left"/>
                                    <w:rPr/>
                                  </w:pPr>
                                  <w:hyperlink r:id="rId2">
                                    <w:r>
                                      <w:rPr>
                                        <w:rStyle w:val="InternetLink"/>
                                        <w:sz w:val="14"/>
                                      </w:rPr>
                                      <w:t>http://www.sec.gov/Archives/edgar/data/</w:t>
                                      <w:br/>
                                      <w:t>19617/000121390026110411/ea0308874-01_424b2.htm</w:t>
                                    </w:r>
                                  </w:hyperlink>
                                  <w:r>
                                    <w:rPr>
                                      <w:sz w:val="14"/>
                                    </w:rPr>
                                    <w:t xml:space="preserve">  </w:t>
                                  </w:r>
                                </w:p>
                              </w:tc>
                            </w:tr>
                          </w:tbl>
                          <w:p>
                            <w:pPr>
                              <w:pStyle w:val="TextBody"/>
                              <w:bidi w:val="0"/>
                              <w:spacing w:before="0" w:after="40"/>
                              <w:ind w:left="108" w:right="0" w:hanging="0"/>
                              <w:jc w:val="left"/>
                              <w:rPr>
                                <w:caps w:val="false"/>
                                <w:smallCaps w:val="false"/>
                              </w:rPr>
                            </w:pPr>
                            <w:r>
                              <w:rPr>
                                <w:caps w:val="false"/>
                                <w:smallCaps w:val="false"/>
                              </w:rPr>
                              <w:t>†</w:t>
                            </w:r>
                            <w:r>
                              <w:rPr>
                                <w:rFonts w:ascii="Arial;Helvetica;Sans-Serif" w:hAnsi="Arial;Helvetica;Sans-Serif"/>
                                <w:b w:val="false"/>
                                <w:i w:val="false"/>
                                <w:caps w:val="false"/>
                                <w:smallCaps w:val="false"/>
                                <w:sz w:val="14"/>
                              </w:rPr>
                              <w:t>Subject to postponement or early acceleration</w:t>
                            </w:r>
                          </w:p>
                          <w:p>
                            <w:pPr>
                              <w:pStyle w:val="TextBody"/>
                              <w:bidi w:val="0"/>
                              <w:spacing w:before="0" w:after="40"/>
                              <w:ind w:left="108" w:right="0" w:hanging="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The estimated value of the Trigger PLUS on the pricing date will be provided in the pricing supplement and will not be less than $930.00 per $1,000 stated principal amount Trigger PLUS. For information about the estimated value of the Trigger PLUS, which likely will be lower than the price you paid for the Trigger PLUS, please see the hyperlink above.</w:t>
                            </w:r>
                          </w:p>
                          <w:p>
                            <w:pPr>
                              <w:pStyle w:val="TextBody"/>
                              <w:bidi w:val="0"/>
                              <w:spacing w:before="0" w:after="40"/>
                              <w:ind w:left="108" w:right="0" w:hanging="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Any payment on the Trigger PLUS is subject to the credit risk of JPMorgan Financial, as issuer of the Trigger PLUS, and the credit risk of JPMorgan Chase &amp; Co., as guarantor of the Trigger PLUS.</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85.2pt;mso-wrap-distance-left:0pt;mso-wrap-distance-right:0pt;mso-wrap-distance-top:0pt;mso-wrap-distance-bottom:0pt;margin-top:0pt;mso-position-vertical:top;mso-position-vertical-relative:text;margin-left:0pt;mso-position-horizontal:left;mso-position-horizontal-relative:text">
                <v:textbox>
                  <w:txbxContent>
                    <w:tbl>
                      <w:tblPr>
                        <w:tblW w:w="4540" w:type="dxa"/>
                        <w:jc w:val="left"/>
                        <w:tblInd w:w="0" w:type="dxa"/>
                        <w:tblLayout w:type="fixed"/>
                        <w:tblCellMar>
                          <w:top w:w="0" w:type="dxa"/>
                          <w:left w:w="0" w:type="dxa"/>
                          <w:bottom w:w="0" w:type="dxa"/>
                          <w:right w:w="0" w:type="dxa"/>
                        </w:tblCellMar>
                      </w:tblPr>
                      <w:tblGrid>
                        <w:gridCol w:w="725"/>
                        <w:gridCol w:w="3815"/>
                      </w:tblGrid>
                      <w:tr>
                        <w:trPr/>
                        <w:tc>
                          <w:tcPr>
                            <w:tcW w:w="4540" w:type="dxa"/>
                            <w:gridSpan w:val="2"/>
                            <w:tcBorders/>
                            <w:shd w:fill="296DC1" w:val="clear"/>
                            <w:vAlign w:val="center"/>
                          </w:tcPr>
                          <w:p>
                            <w:pPr>
                              <w:pStyle w:val="TableContents"/>
                              <w:bidi w:val="0"/>
                              <w:spacing w:before="0" w:after="283"/>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SUMMARY TERMS</w:t>
                            </w:r>
                          </w:p>
                        </w:tc>
                      </w:tr>
                      <w:tr>
                        <w:trPr/>
                        <w:tc>
                          <w:tcPr>
                            <w:tcW w:w="725" w:type="dxa"/>
                            <w:tcBorders/>
                            <w:shd w:fill="FFFFFF" w:val="clear"/>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 xml:space="preserve">Issuer: </w:t>
                            </w:r>
                          </w:p>
                        </w:tc>
                        <w:tc>
                          <w:tcPr>
                            <w:tcW w:w="3815" w:type="dxa"/>
                            <w:tcBorders/>
                            <w:shd w:fill="FFFFFF" w:val="clear"/>
                            <w:vAlign w:val="center"/>
                          </w:tcPr>
                          <w:p>
                            <w:pPr>
                              <w:pStyle w:val="TableContents"/>
                              <w:bidi w:val="0"/>
                              <w:spacing w:before="0" w:after="283"/>
                              <w:jc w:val="left"/>
                              <w:rPr>
                                <w:sz w:val="14"/>
                              </w:rPr>
                            </w:pPr>
                            <w:r>
                              <w:rPr>
                                <w:sz w:val="14"/>
                              </w:rPr>
                              <w:t>JPMorgan Chase Financial Company LLC (“JPMorgan Financial”)</w:t>
                            </w:r>
                          </w:p>
                        </w:tc>
                      </w:tr>
                      <w:tr>
                        <w:trPr/>
                        <w:tc>
                          <w:tcPr>
                            <w:tcW w:w="725" w:type="dxa"/>
                            <w:tcBorders/>
                            <w:shd w:fill="DCEBF4" w:val="clear"/>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Guarantor:</w:t>
                            </w:r>
                          </w:p>
                        </w:tc>
                        <w:tc>
                          <w:tcPr>
                            <w:tcW w:w="3815" w:type="dxa"/>
                            <w:tcBorders/>
                            <w:shd w:fill="DCEBF4" w:val="clear"/>
                            <w:vAlign w:val="center"/>
                          </w:tcPr>
                          <w:p>
                            <w:pPr>
                              <w:pStyle w:val="TableContents"/>
                              <w:bidi w:val="0"/>
                              <w:spacing w:before="0" w:after="283"/>
                              <w:jc w:val="left"/>
                              <w:rPr>
                                <w:sz w:val="14"/>
                              </w:rPr>
                            </w:pPr>
                            <w:r>
                              <w:rPr>
                                <w:sz w:val="14"/>
                              </w:rPr>
                              <w:t>JPMorgan Chase &amp; Co.</w:t>
                            </w:r>
                          </w:p>
                        </w:tc>
                      </w:tr>
                    </w:tbl>
                    <w:tbl>
                      <w:tblPr>
                        <w:tblW w:w="4850" w:type="dxa"/>
                        <w:jc w:val="left"/>
                        <w:tblInd w:w="0" w:type="dxa"/>
                        <w:tblLayout w:type="fixed"/>
                        <w:tblCellMar>
                          <w:top w:w="0" w:type="dxa"/>
                          <w:left w:w="0" w:type="dxa"/>
                          <w:bottom w:w="0" w:type="dxa"/>
                          <w:right w:w="0" w:type="dxa"/>
                        </w:tblCellMar>
                      </w:tblPr>
                      <w:tblGrid>
                        <w:gridCol w:w="515"/>
                        <w:gridCol w:w="2555"/>
                        <w:gridCol w:w="1130"/>
                        <w:gridCol w:w="650"/>
                      </w:tblGrid>
                      <w:tr>
                        <w:trPr/>
                        <w:tc>
                          <w:tcPr>
                            <w:tcW w:w="515" w:type="dxa"/>
                            <w:tcBorders/>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Basket:</w:t>
                            </w:r>
                          </w:p>
                        </w:tc>
                        <w:tc>
                          <w:tcPr>
                            <w:tcW w:w="2555" w:type="dxa"/>
                            <w:tcBorders/>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Underlying indices</w:t>
                            </w:r>
                          </w:p>
                        </w:tc>
                        <w:tc>
                          <w:tcPr>
                            <w:tcW w:w="1130" w:type="dxa"/>
                            <w:tcBorders/>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Bloomberg ticker</w:t>
                              <w:br/>
                              <w:t>symbol</w:t>
                            </w:r>
                          </w:p>
                        </w:tc>
                        <w:tc>
                          <w:tcPr>
                            <w:tcW w:w="650" w:type="dxa"/>
                            <w:tcBorders/>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Basket</w:t>
                              <w:br/>
                              <w:t>weighting</w:t>
                            </w:r>
                          </w:p>
                        </w:tc>
                      </w:tr>
                      <w:tr>
                        <w:trPr/>
                        <w:tc>
                          <w:tcPr>
                            <w:tcW w:w="515" w:type="dxa"/>
                            <w:tcBorders/>
                            <w:vAlign w:val="center"/>
                          </w:tcPr>
                          <w:p>
                            <w:pPr>
                              <w:pStyle w:val="TableContents"/>
                              <w:bidi w:val="0"/>
                              <w:spacing w:before="0" w:after="283"/>
                              <w:jc w:val="left"/>
                              <w:rPr/>
                            </w:pPr>
                            <w:r>
                              <w:rPr/>
                              <w:t> </w:t>
                            </w:r>
                          </w:p>
                        </w:tc>
                        <w:tc>
                          <w:tcPr>
                            <w:tcW w:w="2555" w:type="dxa"/>
                            <w:tcBorders/>
                            <w:vAlign w:val="center"/>
                          </w:tcPr>
                          <w:p>
                            <w:pPr>
                              <w:pStyle w:val="TableContents"/>
                              <w:bidi w:val="0"/>
                              <w:spacing w:before="0" w:after="283"/>
                              <w:jc w:val="left"/>
                              <w:rPr>
                                <w:sz w:val="14"/>
                              </w:rPr>
                            </w:pPr>
                            <w:r>
                              <w:rPr>
                                <w:sz w:val="14"/>
                              </w:rPr>
                              <w:t>EURO STOXX 50</w:t>
                            </w:r>
                            <w:r>
                              <w:rPr>
                                <w:position w:val="5"/>
                                <w:sz w:val="11"/>
                                <w:sz w:val="14"/>
                              </w:rPr>
                              <w:t>®</w:t>
                            </w:r>
                            <w:r>
                              <w:rPr>
                                <w:sz w:val="14"/>
                              </w:rPr>
                              <w:t xml:space="preserve"> Index (the “SX5E Index”)</w:t>
                            </w:r>
                          </w:p>
                        </w:tc>
                        <w:tc>
                          <w:tcPr>
                            <w:tcW w:w="1130" w:type="dxa"/>
                            <w:tcBorders/>
                            <w:vAlign w:val="center"/>
                          </w:tcPr>
                          <w:p>
                            <w:pPr>
                              <w:pStyle w:val="TableContents"/>
                              <w:bidi w:val="0"/>
                              <w:spacing w:before="0" w:after="283"/>
                              <w:jc w:val="left"/>
                              <w:rPr>
                                <w:sz w:val="14"/>
                              </w:rPr>
                            </w:pPr>
                            <w:r>
                              <w:rPr>
                                <w:sz w:val="14"/>
                              </w:rPr>
                              <w:t>SX5E</w:t>
                            </w:r>
                          </w:p>
                        </w:tc>
                        <w:tc>
                          <w:tcPr>
                            <w:tcW w:w="650" w:type="dxa"/>
                            <w:tcBorders/>
                            <w:vAlign w:val="center"/>
                          </w:tcPr>
                          <w:p>
                            <w:pPr>
                              <w:pStyle w:val="TableContents"/>
                              <w:bidi w:val="0"/>
                              <w:spacing w:before="0" w:after="283"/>
                              <w:jc w:val="left"/>
                              <w:rPr>
                                <w:sz w:val="14"/>
                              </w:rPr>
                            </w:pPr>
                            <w:r>
                              <w:rPr>
                                <w:sz w:val="14"/>
                              </w:rPr>
                              <w:t>40.00%</w:t>
                            </w:r>
                          </w:p>
                        </w:tc>
                      </w:tr>
                      <w:tr>
                        <w:trPr/>
                        <w:tc>
                          <w:tcPr>
                            <w:tcW w:w="515" w:type="dxa"/>
                            <w:tcBorders/>
                            <w:vAlign w:val="center"/>
                          </w:tcPr>
                          <w:p>
                            <w:pPr>
                              <w:pStyle w:val="TableContents"/>
                              <w:bidi w:val="0"/>
                              <w:spacing w:before="0" w:after="283"/>
                              <w:jc w:val="left"/>
                              <w:rPr/>
                            </w:pPr>
                            <w:r>
                              <w:rPr/>
                              <w:t> </w:t>
                            </w:r>
                          </w:p>
                        </w:tc>
                        <w:tc>
                          <w:tcPr>
                            <w:tcW w:w="2555" w:type="dxa"/>
                            <w:tcBorders/>
                            <w:vAlign w:val="center"/>
                          </w:tcPr>
                          <w:p>
                            <w:pPr>
                              <w:pStyle w:val="TableContents"/>
                              <w:bidi w:val="0"/>
                              <w:spacing w:before="0" w:after="283"/>
                              <w:jc w:val="left"/>
                              <w:rPr>
                                <w:sz w:val="14"/>
                              </w:rPr>
                            </w:pPr>
                            <w:r>
                              <w:rPr>
                                <w:sz w:val="14"/>
                              </w:rPr>
                              <w:t>TOPIX</w:t>
                            </w:r>
                            <w:r>
                              <w:rPr>
                                <w:position w:val="5"/>
                                <w:sz w:val="11"/>
                                <w:sz w:val="14"/>
                              </w:rPr>
                              <w:t>®</w:t>
                            </w:r>
                            <w:r>
                              <w:rPr>
                                <w:sz w:val="14"/>
                              </w:rPr>
                              <w:t xml:space="preserve"> Index (the “TPX Index”)</w:t>
                            </w:r>
                          </w:p>
                        </w:tc>
                        <w:tc>
                          <w:tcPr>
                            <w:tcW w:w="1130" w:type="dxa"/>
                            <w:tcBorders/>
                            <w:vAlign w:val="center"/>
                          </w:tcPr>
                          <w:p>
                            <w:pPr>
                              <w:pStyle w:val="TableContents"/>
                              <w:bidi w:val="0"/>
                              <w:spacing w:before="0" w:after="283"/>
                              <w:jc w:val="left"/>
                              <w:rPr>
                                <w:sz w:val="14"/>
                              </w:rPr>
                            </w:pPr>
                            <w:r>
                              <w:rPr>
                                <w:sz w:val="14"/>
                              </w:rPr>
                              <w:t>TPX</w:t>
                            </w:r>
                          </w:p>
                        </w:tc>
                        <w:tc>
                          <w:tcPr>
                            <w:tcW w:w="650" w:type="dxa"/>
                            <w:tcBorders/>
                            <w:vAlign w:val="center"/>
                          </w:tcPr>
                          <w:p>
                            <w:pPr>
                              <w:pStyle w:val="TableContents"/>
                              <w:bidi w:val="0"/>
                              <w:spacing w:before="0" w:after="283"/>
                              <w:jc w:val="left"/>
                              <w:rPr>
                                <w:sz w:val="14"/>
                              </w:rPr>
                            </w:pPr>
                            <w:r>
                              <w:rPr>
                                <w:sz w:val="14"/>
                              </w:rPr>
                              <w:t>25.00%</w:t>
                            </w:r>
                          </w:p>
                        </w:tc>
                      </w:tr>
                      <w:tr>
                        <w:trPr/>
                        <w:tc>
                          <w:tcPr>
                            <w:tcW w:w="515" w:type="dxa"/>
                            <w:tcBorders/>
                            <w:vAlign w:val="center"/>
                          </w:tcPr>
                          <w:p>
                            <w:pPr>
                              <w:pStyle w:val="TableContents"/>
                              <w:bidi w:val="0"/>
                              <w:spacing w:before="0" w:after="283"/>
                              <w:jc w:val="left"/>
                              <w:rPr/>
                            </w:pPr>
                            <w:r>
                              <w:rPr/>
                              <w:t> </w:t>
                            </w:r>
                          </w:p>
                        </w:tc>
                        <w:tc>
                          <w:tcPr>
                            <w:tcW w:w="2555" w:type="dxa"/>
                            <w:tcBorders/>
                            <w:vAlign w:val="center"/>
                          </w:tcPr>
                          <w:p>
                            <w:pPr>
                              <w:pStyle w:val="TableContents"/>
                              <w:bidi w:val="0"/>
                              <w:spacing w:before="0" w:after="283"/>
                              <w:jc w:val="left"/>
                              <w:rPr>
                                <w:sz w:val="14"/>
                              </w:rPr>
                            </w:pPr>
                            <w:r>
                              <w:rPr>
                                <w:sz w:val="14"/>
                              </w:rPr>
                              <w:t>FTSE</w:t>
                            </w:r>
                            <w:r>
                              <w:rPr>
                                <w:position w:val="5"/>
                                <w:sz w:val="11"/>
                                <w:sz w:val="14"/>
                              </w:rPr>
                              <w:t xml:space="preserve">® </w:t>
                            </w:r>
                            <w:r>
                              <w:rPr>
                                <w:sz w:val="14"/>
                              </w:rPr>
                              <w:t>100 Index (the “UKX Index”)</w:t>
                            </w:r>
                          </w:p>
                        </w:tc>
                        <w:tc>
                          <w:tcPr>
                            <w:tcW w:w="1130" w:type="dxa"/>
                            <w:tcBorders/>
                            <w:vAlign w:val="center"/>
                          </w:tcPr>
                          <w:p>
                            <w:pPr>
                              <w:pStyle w:val="TableContents"/>
                              <w:bidi w:val="0"/>
                              <w:spacing w:before="0" w:after="283"/>
                              <w:jc w:val="left"/>
                              <w:rPr>
                                <w:sz w:val="14"/>
                              </w:rPr>
                            </w:pPr>
                            <w:r>
                              <w:rPr>
                                <w:sz w:val="14"/>
                              </w:rPr>
                              <w:t>UKX</w:t>
                            </w:r>
                          </w:p>
                        </w:tc>
                        <w:tc>
                          <w:tcPr>
                            <w:tcW w:w="650" w:type="dxa"/>
                            <w:tcBorders/>
                            <w:vAlign w:val="center"/>
                          </w:tcPr>
                          <w:p>
                            <w:pPr>
                              <w:pStyle w:val="TableContents"/>
                              <w:bidi w:val="0"/>
                              <w:spacing w:before="0" w:after="283"/>
                              <w:jc w:val="left"/>
                              <w:rPr>
                                <w:sz w:val="14"/>
                              </w:rPr>
                            </w:pPr>
                            <w:r>
                              <w:rPr>
                                <w:sz w:val="14"/>
                              </w:rPr>
                              <w:t>17.50%</w:t>
                            </w:r>
                          </w:p>
                        </w:tc>
                      </w:tr>
                      <w:tr>
                        <w:trPr/>
                        <w:tc>
                          <w:tcPr>
                            <w:tcW w:w="515" w:type="dxa"/>
                            <w:tcBorders/>
                            <w:vAlign w:val="center"/>
                          </w:tcPr>
                          <w:p>
                            <w:pPr>
                              <w:pStyle w:val="TableContents"/>
                              <w:bidi w:val="0"/>
                              <w:spacing w:before="0" w:after="283"/>
                              <w:jc w:val="left"/>
                              <w:rPr/>
                            </w:pPr>
                            <w:r>
                              <w:rPr/>
                              <w:t> </w:t>
                            </w:r>
                          </w:p>
                        </w:tc>
                        <w:tc>
                          <w:tcPr>
                            <w:tcW w:w="2555" w:type="dxa"/>
                            <w:tcBorders/>
                            <w:vAlign w:val="center"/>
                          </w:tcPr>
                          <w:p>
                            <w:pPr>
                              <w:pStyle w:val="TableContents"/>
                              <w:bidi w:val="0"/>
                              <w:spacing w:before="0" w:after="283"/>
                              <w:jc w:val="left"/>
                              <w:rPr>
                                <w:sz w:val="14"/>
                              </w:rPr>
                            </w:pPr>
                            <w:r>
                              <w:rPr>
                                <w:sz w:val="14"/>
                              </w:rPr>
                              <w:t>Swiss Market Index (the “SMI Index”)</w:t>
                            </w:r>
                          </w:p>
                        </w:tc>
                        <w:tc>
                          <w:tcPr>
                            <w:tcW w:w="1130" w:type="dxa"/>
                            <w:tcBorders/>
                            <w:vAlign w:val="center"/>
                          </w:tcPr>
                          <w:p>
                            <w:pPr>
                              <w:pStyle w:val="TableContents"/>
                              <w:bidi w:val="0"/>
                              <w:spacing w:before="0" w:after="283"/>
                              <w:jc w:val="left"/>
                              <w:rPr>
                                <w:sz w:val="14"/>
                              </w:rPr>
                            </w:pPr>
                            <w:r>
                              <w:rPr>
                                <w:sz w:val="14"/>
                              </w:rPr>
                              <w:t>SMI</w:t>
                            </w:r>
                          </w:p>
                        </w:tc>
                        <w:tc>
                          <w:tcPr>
                            <w:tcW w:w="650" w:type="dxa"/>
                            <w:tcBorders/>
                            <w:vAlign w:val="center"/>
                          </w:tcPr>
                          <w:p>
                            <w:pPr>
                              <w:pStyle w:val="TableContents"/>
                              <w:bidi w:val="0"/>
                              <w:spacing w:before="0" w:after="283"/>
                              <w:jc w:val="left"/>
                              <w:rPr>
                                <w:sz w:val="14"/>
                              </w:rPr>
                            </w:pPr>
                            <w:r>
                              <w:rPr>
                                <w:sz w:val="14"/>
                              </w:rPr>
                              <w:t>10.00%</w:t>
                            </w:r>
                          </w:p>
                        </w:tc>
                      </w:tr>
                      <w:tr>
                        <w:trPr/>
                        <w:tc>
                          <w:tcPr>
                            <w:tcW w:w="515" w:type="dxa"/>
                            <w:tcBorders/>
                            <w:vAlign w:val="center"/>
                          </w:tcPr>
                          <w:p>
                            <w:pPr>
                              <w:pStyle w:val="TableContents"/>
                              <w:bidi w:val="0"/>
                              <w:spacing w:before="0" w:after="283"/>
                              <w:jc w:val="left"/>
                              <w:rPr/>
                            </w:pPr>
                            <w:r>
                              <w:rPr/>
                              <w:t> </w:t>
                            </w:r>
                          </w:p>
                        </w:tc>
                        <w:tc>
                          <w:tcPr>
                            <w:tcW w:w="2555" w:type="dxa"/>
                            <w:tcBorders/>
                            <w:vAlign w:val="center"/>
                          </w:tcPr>
                          <w:p>
                            <w:pPr>
                              <w:pStyle w:val="TableContents"/>
                              <w:bidi w:val="0"/>
                              <w:spacing w:before="0" w:after="283"/>
                              <w:jc w:val="left"/>
                              <w:rPr>
                                <w:sz w:val="14"/>
                              </w:rPr>
                            </w:pPr>
                            <w:r>
                              <w:rPr>
                                <w:sz w:val="14"/>
                              </w:rPr>
                              <w:t>S&amp;P/ASX 200 Index (the “AS51 Index”)</w:t>
                            </w:r>
                          </w:p>
                        </w:tc>
                        <w:tc>
                          <w:tcPr>
                            <w:tcW w:w="1130" w:type="dxa"/>
                            <w:tcBorders/>
                            <w:vAlign w:val="center"/>
                          </w:tcPr>
                          <w:p>
                            <w:pPr>
                              <w:pStyle w:val="TableContents"/>
                              <w:bidi w:val="0"/>
                              <w:spacing w:before="0" w:after="283"/>
                              <w:jc w:val="left"/>
                              <w:rPr>
                                <w:sz w:val="14"/>
                              </w:rPr>
                            </w:pPr>
                            <w:r>
                              <w:rPr>
                                <w:sz w:val="14"/>
                              </w:rPr>
                              <w:t>AS51</w:t>
                            </w:r>
                          </w:p>
                        </w:tc>
                        <w:tc>
                          <w:tcPr>
                            <w:tcW w:w="650" w:type="dxa"/>
                            <w:tcBorders/>
                            <w:vAlign w:val="center"/>
                          </w:tcPr>
                          <w:p>
                            <w:pPr>
                              <w:pStyle w:val="TableContents"/>
                              <w:bidi w:val="0"/>
                              <w:spacing w:before="0" w:after="283"/>
                              <w:jc w:val="left"/>
                              <w:rPr>
                                <w:sz w:val="14"/>
                              </w:rPr>
                            </w:pPr>
                            <w:r>
                              <w:rPr>
                                <w:sz w:val="14"/>
                              </w:rPr>
                              <w:t>7.50%</w:t>
                            </w:r>
                          </w:p>
                        </w:tc>
                      </w:tr>
                    </w:tbl>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sz w:val="14"/>
                              </w:rPr>
                            </w:pPr>
                            <w:r>
                              <w:rPr>
                                <w:sz w:val="14"/>
                              </w:rPr>
                              <w:t>We refer to the SX5E Index, the TPX Index, the UKX Index, the SMI Index and the AS51 Index as the underlying indices.  Because the SX5E Index makes up 40% of the basket, we expect that generally the market value of your Trigger PLUS and your payment at maturity will depend significantly on the performance of the SX5E Index.</w:t>
                            </w:r>
                          </w:p>
                        </w:tc>
                      </w:tr>
                    </w:tbl>
                    <w:tbl>
                      <w:tblPr>
                        <w:tblW w:w="10205" w:type="dxa"/>
                        <w:jc w:val="left"/>
                        <w:tblInd w:w="0" w:type="dxa"/>
                        <w:tblLayout w:type="fixed"/>
                        <w:tblCellMar>
                          <w:top w:w="0" w:type="dxa"/>
                          <w:left w:w="0" w:type="dxa"/>
                          <w:bottom w:w="0" w:type="dxa"/>
                          <w:right w:w="0" w:type="dxa"/>
                        </w:tblCellMar>
                      </w:tblPr>
                      <w:tblGrid>
                        <w:gridCol w:w="2001"/>
                        <w:gridCol w:w="8204"/>
                      </w:tblGrid>
                      <w:tr>
                        <w:trPr/>
                        <w:tc>
                          <w:tcPr>
                            <w:tcW w:w="2001" w:type="dxa"/>
                            <w:tcBorders/>
                            <w:shd w:fill="DCEBF4" w:val="clear"/>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 xml:space="preserve">Payment at maturity: </w:t>
                            </w:r>
                          </w:p>
                        </w:tc>
                        <w:tc>
                          <w:tcPr>
                            <w:tcW w:w="8204" w:type="dxa"/>
                            <w:tcBorders/>
                            <w:shd w:fill="DCEBF4" w:val="clear"/>
                            <w:vAlign w:val="center"/>
                          </w:tcPr>
                          <w:p>
                            <w:pPr>
                              <w:pStyle w:val="TableContents"/>
                              <w:bidi w:val="0"/>
                              <w:ind w:left="249" w:right="249" w:hanging="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 xml:space="preserve">If the final basket value is </w:t>
                            </w:r>
                            <w:r>
                              <w:rPr>
                                <w:rFonts w:ascii="Arial;Helvetica;Sans-Serif" w:hAnsi="Arial;Helvetica;Sans-Serif"/>
                                <w:b w:val="false"/>
                                <w:i/>
                                <w:caps w:val="false"/>
                                <w:smallCaps w:val="false"/>
                                <w:sz w:val="14"/>
                              </w:rPr>
                              <w:t>greater than</w:t>
                            </w:r>
                            <w:r>
                              <w:rPr>
                                <w:rFonts w:ascii="Arial;Helvetica;Sans-Serif" w:hAnsi="Arial;Helvetica;Sans-Serif"/>
                                <w:b w:val="false"/>
                                <w:i w:val="false"/>
                                <w:caps w:val="false"/>
                                <w:smallCaps w:val="false"/>
                                <w:sz w:val="14"/>
                              </w:rPr>
                              <w:t xml:space="preserve"> the initial basket value, for each $1,000 stated principal amount Trigger PLUS:</w:t>
                            </w:r>
                          </w:p>
                          <w:p>
                            <w:pPr>
                              <w:pStyle w:val="TableContents"/>
                              <w:bidi w:val="0"/>
                              <w:ind w:left="249" w:right="249" w:firstLine="245"/>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$1,000 + leveraged upside payment</w:t>
                            </w:r>
                          </w:p>
                          <w:p>
                            <w:pPr>
                              <w:pStyle w:val="TableContents"/>
                              <w:bidi w:val="0"/>
                              <w:ind w:left="249" w:right="249" w:hanging="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 xml:space="preserve">If the final basket value is </w:t>
                            </w:r>
                            <w:r>
                              <w:rPr>
                                <w:rFonts w:ascii="Arial;Helvetica;Sans-Serif" w:hAnsi="Arial;Helvetica;Sans-Serif"/>
                                <w:b w:val="false"/>
                                <w:i/>
                                <w:caps w:val="false"/>
                                <w:smallCaps w:val="false"/>
                                <w:sz w:val="14"/>
                              </w:rPr>
                              <w:t xml:space="preserve">less than or equal to </w:t>
                            </w:r>
                            <w:r>
                              <w:rPr>
                                <w:rFonts w:ascii="Arial;Helvetica;Sans-Serif" w:hAnsi="Arial;Helvetica;Sans-Serif"/>
                                <w:b w:val="false"/>
                                <w:i w:val="false"/>
                                <w:caps w:val="false"/>
                                <w:smallCaps w:val="false"/>
                                <w:sz w:val="14"/>
                              </w:rPr>
                              <w:t xml:space="preserve">the initial basket value but is </w:t>
                            </w:r>
                            <w:r>
                              <w:rPr>
                                <w:rFonts w:ascii="Arial;Helvetica;Sans-Serif" w:hAnsi="Arial;Helvetica;Sans-Serif"/>
                                <w:b w:val="false"/>
                                <w:i/>
                                <w:caps w:val="false"/>
                                <w:smallCaps w:val="false"/>
                                <w:sz w:val="14"/>
                              </w:rPr>
                              <w:t>greater than or equal to</w:t>
                            </w:r>
                            <w:r>
                              <w:rPr>
                                <w:rFonts w:ascii="Arial;Helvetica;Sans-Serif" w:hAnsi="Arial;Helvetica;Sans-Serif"/>
                                <w:b w:val="false"/>
                                <w:i w:val="false"/>
                                <w:caps w:val="false"/>
                                <w:smallCaps w:val="false"/>
                                <w:sz w:val="14"/>
                              </w:rPr>
                              <w:t xml:space="preserve"> the trigger level, for each $1,000 stated principal amount Trigger PLUS:</w:t>
                            </w:r>
                          </w:p>
                          <w:p>
                            <w:pPr>
                              <w:pStyle w:val="TableContents"/>
                              <w:bidi w:val="0"/>
                              <w:ind w:left="249" w:right="249" w:firstLine="245"/>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$1,000</w:t>
                            </w:r>
                          </w:p>
                          <w:p>
                            <w:pPr>
                              <w:pStyle w:val="TableContents"/>
                              <w:bidi w:val="0"/>
                              <w:ind w:left="249" w:right="249" w:hanging="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 xml:space="preserve">If the final basket value is </w:t>
                            </w:r>
                            <w:r>
                              <w:rPr>
                                <w:rFonts w:ascii="Arial;Helvetica;Sans-Serif" w:hAnsi="Arial;Helvetica;Sans-Serif"/>
                                <w:b w:val="false"/>
                                <w:i/>
                                <w:caps w:val="false"/>
                                <w:smallCaps w:val="false"/>
                                <w:sz w:val="14"/>
                              </w:rPr>
                              <w:t xml:space="preserve">less than </w:t>
                            </w:r>
                            <w:r>
                              <w:rPr>
                                <w:rFonts w:ascii="Arial;Helvetica;Sans-Serif" w:hAnsi="Arial;Helvetica;Sans-Serif"/>
                                <w:b w:val="false"/>
                                <w:i w:val="false"/>
                                <w:caps w:val="false"/>
                                <w:smallCaps w:val="false"/>
                                <w:sz w:val="14"/>
                              </w:rPr>
                              <w:t>the trigger level, for each $1,000 stated principal amount Trigger PLUS:</w:t>
                            </w:r>
                          </w:p>
                          <w:p>
                            <w:pPr>
                              <w:pStyle w:val="TableContents"/>
                              <w:bidi w:val="0"/>
                              <w:ind w:left="249" w:right="249" w:firstLine="245"/>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$1,000 × basket performance factor</w:t>
                            </w:r>
                          </w:p>
                          <w:p>
                            <w:pPr>
                              <w:pStyle w:val="TableContents"/>
                              <w:bidi w:val="0"/>
                              <w:spacing w:before="0" w:after="283"/>
                              <w:ind w:left="249" w:right="249" w:hanging="0"/>
                              <w:jc w:val="left"/>
                              <w:rPr>
                                <w:rFonts w:ascii="Arial;Helvetica;Sans-Serif" w:hAnsi="Arial;Helvetica;Sans-Serif"/>
                                <w:b w:val="false"/>
                                <w:i/>
                                <w:caps w:val="false"/>
                                <w:smallCaps w:val="false"/>
                                <w:sz w:val="14"/>
                              </w:rPr>
                            </w:pPr>
                            <w:r>
                              <w:rPr>
                                <w:rFonts w:ascii="Arial;Helvetica;Sans-Serif" w:hAnsi="Arial;Helvetica;Sans-Serif"/>
                                <w:b w:val="false"/>
                                <w:i/>
                                <w:caps w:val="false"/>
                                <w:smallCaps w:val="false"/>
                                <w:sz w:val="14"/>
                              </w:rPr>
                              <w:t>This amount will be less than the stated principal amount of $1,000 per Trigger PLUS and will represent a loss of more than 20%, and possibly all, of your investment.</w:t>
                            </w:r>
                          </w:p>
                        </w:tc>
                      </w:tr>
                      <w:tr>
                        <w:trPr/>
                        <w:tc>
                          <w:tcPr>
                            <w:tcW w:w="2001" w:type="dxa"/>
                            <w:tcBorders/>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Leveraged upside payment:</w:t>
                            </w:r>
                          </w:p>
                        </w:tc>
                        <w:tc>
                          <w:tcPr>
                            <w:tcW w:w="8204" w:type="dxa"/>
                            <w:tcBorders/>
                            <w:vAlign w:val="center"/>
                          </w:tcPr>
                          <w:p>
                            <w:pPr>
                              <w:pStyle w:val="TableContents"/>
                              <w:bidi w:val="0"/>
                              <w:spacing w:before="0" w:after="283"/>
                              <w:jc w:val="left"/>
                              <w:rPr>
                                <w:sz w:val="14"/>
                              </w:rPr>
                            </w:pPr>
                            <w:r>
                              <w:rPr>
                                <w:sz w:val="14"/>
                              </w:rPr>
                              <w:t>$1,000 × leverage factor × basket percent increase</w:t>
                            </w:r>
                          </w:p>
                        </w:tc>
                      </w:tr>
                      <w:tr>
                        <w:trPr/>
                        <w:tc>
                          <w:tcPr>
                            <w:tcW w:w="2001" w:type="dxa"/>
                            <w:tcBorders/>
                            <w:shd w:fill="DCEBF4" w:val="clear"/>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Basket percent increase:</w:t>
                            </w:r>
                          </w:p>
                        </w:tc>
                        <w:tc>
                          <w:tcPr>
                            <w:tcW w:w="8204" w:type="dxa"/>
                            <w:tcBorders/>
                            <w:shd w:fill="DCEBF4" w:val="clear"/>
                            <w:vAlign w:val="center"/>
                          </w:tcPr>
                          <w:p>
                            <w:pPr>
                              <w:pStyle w:val="TableContents"/>
                              <w:bidi w:val="0"/>
                              <w:spacing w:before="0" w:after="283"/>
                              <w:jc w:val="left"/>
                              <w:rPr>
                                <w:sz w:val="14"/>
                              </w:rPr>
                            </w:pPr>
                            <w:r>
                              <w:rPr>
                                <w:sz w:val="14"/>
                              </w:rPr>
                              <w:t>(final basket value – initial basket value) / initial basket value</w:t>
                            </w:r>
                          </w:p>
                        </w:tc>
                      </w:tr>
                      <w:tr>
                        <w:trPr/>
                        <w:tc>
                          <w:tcPr>
                            <w:tcW w:w="2001" w:type="dxa"/>
                            <w:tcBorders/>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 xml:space="preserve">Initial basket value: </w:t>
                            </w:r>
                          </w:p>
                        </w:tc>
                        <w:tc>
                          <w:tcPr>
                            <w:tcW w:w="8204" w:type="dxa"/>
                            <w:tcBorders/>
                            <w:vAlign w:val="center"/>
                          </w:tcPr>
                          <w:p>
                            <w:pPr>
                              <w:pStyle w:val="TableContents"/>
                              <w:bidi w:val="0"/>
                              <w:spacing w:before="0" w:after="283"/>
                              <w:jc w:val="left"/>
                              <w:rPr>
                                <w:sz w:val="14"/>
                              </w:rPr>
                            </w:pPr>
                            <w:r>
                              <w:rPr>
                                <w:sz w:val="14"/>
                              </w:rPr>
                              <w:t>Set equal to 100 on the pricing date</w:t>
                            </w:r>
                          </w:p>
                        </w:tc>
                      </w:tr>
                      <w:tr>
                        <w:trPr/>
                        <w:tc>
                          <w:tcPr>
                            <w:tcW w:w="2001" w:type="dxa"/>
                            <w:tcBorders/>
                            <w:shd w:fill="DEEAF6" w:val="clear"/>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 xml:space="preserve">Final basket value: </w:t>
                            </w:r>
                          </w:p>
                        </w:tc>
                        <w:tc>
                          <w:tcPr>
                            <w:tcW w:w="8204" w:type="dxa"/>
                            <w:tcBorders/>
                            <w:shd w:fill="DCEBF4" w:val="clear"/>
                            <w:vAlign w:val="center"/>
                          </w:tcPr>
                          <w:p>
                            <w:pPr>
                              <w:pStyle w:val="TableContents"/>
                              <w:bidi w:val="0"/>
                              <w:spacing w:before="0" w:after="283"/>
                              <w:jc w:val="left"/>
                              <w:rPr>
                                <w:sz w:val="14"/>
                              </w:rPr>
                            </w:pPr>
                            <w:r>
                              <w:rPr>
                                <w:sz w:val="14"/>
                              </w:rPr>
                              <w:t>The basket closing value on the valuation date</w:t>
                            </w:r>
                          </w:p>
                        </w:tc>
                      </w:tr>
                      <w:tr>
                        <w:trPr/>
                        <w:tc>
                          <w:tcPr>
                            <w:tcW w:w="2001" w:type="dxa"/>
                            <w:tcBorders/>
                            <w:vAlign w:val="center"/>
                          </w:tcPr>
                          <w:p>
                            <w:pPr>
                              <w:pStyle w:val="TableContents"/>
                              <w:bidi w:val="0"/>
                              <w:spacing w:before="0" w:after="283"/>
                              <w:jc w:val="left"/>
                              <w:rPr>
                                <w:b/>
                                <w:color w:val="296DC1"/>
                                <w:sz w:val="14"/>
                              </w:rPr>
                            </w:pPr>
                            <w:r>
                              <w:rPr>
                                <w:b/>
                                <w:color w:val="296DC1"/>
                                <w:sz w:val="14"/>
                              </w:rPr>
                              <w:t xml:space="preserve">Initial index value: </w:t>
                            </w:r>
                          </w:p>
                        </w:tc>
                        <w:tc>
                          <w:tcPr>
                            <w:tcW w:w="8204" w:type="dxa"/>
                            <w:tcBorders/>
                            <w:vAlign w:val="center"/>
                          </w:tcPr>
                          <w:p>
                            <w:pPr>
                              <w:pStyle w:val="TableContents"/>
                              <w:bidi w:val="0"/>
                              <w:spacing w:before="0" w:after="283"/>
                              <w:jc w:val="left"/>
                              <w:rPr>
                                <w:sz w:val="14"/>
                              </w:rPr>
                            </w:pPr>
                            <w:r>
                              <w:rPr>
                                <w:sz w:val="14"/>
                              </w:rPr>
                              <w:t>With respect to each underlying index, the closing level of that underlying index on the pricing date</w:t>
                            </w:r>
                          </w:p>
                        </w:tc>
                      </w:tr>
                      <w:tr>
                        <w:trPr/>
                        <w:tc>
                          <w:tcPr>
                            <w:tcW w:w="2001" w:type="dxa"/>
                            <w:tcBorders/>
                            <w:shd w:fill="DEEAF6" w:val="clear"/>
                            <w:vAlign w:val="center"/>
                          </w:tcPr>
                          <w:p>
                            <w:pPr>
                              <w:pStyle w:val="TableContents"/>
                              <w:bidi w:val="0"/>
                              <w:spacing w:before="0" w:after="283"/>
                              <w:jc w:val="left"/>
                              <w:rPr>
                                <w:b/>
                                <w:color w:val="296DC1"/>
                                <w:sz w:val="14"/>
                              </w:rPr>
                            </w:pPr>
                            <w:r>
                              <w:rPr>
                                <w:b/>
                                <w:color w:val="296DC1"/>
                                <w:sz w:val="14"/>
                              </w:rPr>
                              <w:t xml:space="preserve">Final index value: </w:t>
                            </w:r>
                          </w:p>
                        </w:tc>
                        <w:tc>
                          <w:tcPr>
                            <w:tcW w:w="8204" w:type="dxa"/>
                            <w:tcBorders/>
                            <w:shd w:fill="DCEBF4" w:val="clear"/>
                            <w:vAlign w:val="center"/>
                          </w:tcPr>
                          <w:p>
                            <w:pPr>
                              <w:pStyle w:val="TableContents"/>
                              <w:bidi w:val="0"/>
                              <w:spacing w:before="0" w:after="283"/>
                              <w:jc w:val="left"/>
                              <w:rPr>
                                <w:sz w:val="14"/>
                              </w:rPr>
                            </w:pPr>
                            <w:r>
                              <w:rPr>
                                <w:sz w:val="14"/>
                              </w:rPr>
                              <w:t>With respect to each underlying index, the closing level of that underlying index on the valuation date</w:t>
                            </w:r>
                          </w:p>
                        </w:tc>
                      </w:tr>
                      <w:tr>
                        <w:trPr/>
                        <w:tc>
                          <w:tcPr>
                            <w:tcW w:w="2001" w:type="dxa"/>
                            <w:tcBorders/>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Trigger level:</w:t>
                            </w:r>
                          </w:p>
                        </w:tc>
                        <w:tc>
                          <w:tcPr>
                            <w:tcW w:w="8204" w:type="dxa"/>
                            <w:tcBorders/>
                            <w:vAlign w:val="center"/>
                          </w:tcPr>
                          <w:p>
                            <w:pPr>
                              <w:pStyle w:val="TableContents"/>
                              <w:bidi w:val="0"/>
                              <w:spacing w:before="0" w:after="283"/>
                              <w:jc w:val="left"/>
                              <w:rPr>
                                <w:sz w:val="14"/>
                              </w:rPr>
                            </w:pPr>
                            <w:r>
                              <w:rPr>
                                <w:sz w:val="14"/>
                              </w:rPr>
                              <w:t>80, which is 80% of the initial basket value</w:t>
                            </w:r>
                          </w:p>
                        </w:tc>
                      </w:tr>
                      <w:tr>
                        <w:trPr/>
                        <w:tc>
                          <w:tcPr>
                            <w:tcW w:w="2001" w:type="dxa"/>
                            <w:tcBorders/>
                            <w:shd w:fill="DEEAF6" w:val="clear"/>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 xml:space="preserve">Leverage factor: </w:t>
                            </w:r>
                          </w:p>
                        </w:tc>
                        <w:tc>
                          <w:tcPr>
                            <w:tcW w:w="8204" w:type="dxa"/>
                            <w:tcBorders/>
                            <w:shd w:fill="DCEBF4" w:val="clear"/>
                            <w:vAlign w:val="center"/>
                          </w:tcPr>
                          <w:p>
                            <w:pPr>
                              <w:pStyle w:val="TableContents"/>
                              <w:bidi w:val="0"/>
                              <w:spacing w:before="0" w:after="283"/>
                              <w:jc w:val="left"/>
                              <w:rPr>
                                <w:sz w:val="14"/>
                              </w:rPr>
                            </w:pPr>
                            <w:r>
                              <w:rPr>
                                <w:sz w:val="14"/>
                              </w:rPr>
                              <w:t>At least 196.00%</w:t>
                            </w:r>
                          </w:p>
                        </w:tc>
                      </w:tr>
                      <w:tr>
                        <w:trPr/>
                        <w:tc>
                          <w:tcPr>
                            <w:tcW w:w="2001" w:type="dxa"/>
                            <w:tcBorders/>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Basket performance factor:</w:t>
                            </w:r>
                          </w:p>
                        </w:tc>
                        <w:tc>
                          <w:tcPr>
                            <w:tcW w:w="8204" w:type="dxa"/>
                            <w:tcBorders/>
                            <w:vAlign w:val="center"/>
                          </w:tcPr>
                          <w:p>
                            <w:pPr>
                              <w:pStyle w:val="TableContents"/>
                              <w:bidi w:val="0"/>
                              <w:spacing w:before="0" w:after="283"/>
                              <w:jc w:val="left"/>
                              <w:rPr>
                                <w:sz w:val="14"/>
                              </w:rPr>
                            </w:pPr>
                            <w:r>
                              <w:rPr>
                                <w:sz w:val="14"/>
                              </w:rPr>
                              <w:t>final basket value / initial basket value</w:t>
                            </w:r>
                          </w:p>
                        </w:tc>
                      </w:tr>
                      <w:tr>
                        <w:trPr/>
                        <w:tc>
                          <w:tcPr>
                            <w:tcW w:w="2001" w:type="dxa"/>
                            <w:tcBorders/>
                            <w:shd w:fill="DCEBF0" w:val="clear"/>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Stated principal amount:</w:t>
                            </w:r>
                          </w:p>
                        </w:tc>
                        <w:tc>
                          <w:tcPr>
                            <w:tcW w:w="8204" w:type="dxa"/>
                            <w:tcBorders/>
                            <w:shd w:fill="DCEBF0" w:val="clear"/>
                            <w:vAlign w:val="center"/>
                          </w:tcPr>
                          <w:p>
                            <w:pPr>
                              <w:pStyle w:val="TableContents"/>
                              <w:bidi w:val="0"/>
                              <w:spacing w:before="0" w:after="283"/>
                              <w:jc w:val="left"/>
                              <w:rPr>
                                <w:sz w:val="14"/>
                              </w:rPr>
                            </w:pPr>
                            <w:r>
                              <w:rPr>
                                <w:sz w:val="14"/>
                              </w:rPr>
                              <w:t>$1,000 per Trigger PLUS</w:t>
                            </w:r>
                          </w:p>
                        </w:tc>
                      </w:tr>
                      <w:tr>
                        <w:trPr/>
                        <w:tc>
                          <w:tcPr>
                            <w:tcW w:w="2001" w:type="dxa"/>
                            <w:tcBorders/>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Issue price:</w:t>
                            </w:r>
                          </w:p>
                        </w:tc>
                        <w:tc>
                          <w:tcPr>
                            <w:tcW w:w="8204" w:type="dxa"/>
                            <w:tcBorders/>
                            <w:vAlign w:val="center"/>
                          </w:tcPr>
                          <w:p>
                            <w:pPr>
                              <w:pStyle w:val="TableContents"/>
                              <w:bidi w:val="0"/>
                              <w:spacing w:before="0" w:after="283"/>
                              <w:jc w:val="left"/>
                              <w:rPr>
                                <w:sz w:val="14"/>
                              </w:rPr>
                            </w:pPr>
                            <w:r>
                              <w:rPr>
                                <w:sz w:val="14"/>
                              </w:rPr>
                              <w:t>$1,000 per Trigger PLUS</w:t>
                            </w:r>
                          </w:p>
                        </w:tc>
                      </w:tr>
                      <w:tr>
                        <w:trPr/>
                        <w:tc>
                          <w:tcPr>
                            <w:tcW w:w="2001" w:type="dxa"/>
                            <w:tcBorders/>
                            <w:shd w:fill="DCEBF0" w:val="clear"/>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Pricing date:</w:t>
                            </w:r>
                          </w:p>
                        </w:tc>
                        <w:tc>
                          <w:tcPr>
                            <w:tcW w:w="8204" w:type="dxa"/>
                            <w:tcBorders/>
                            <w:shd w:fill="DCEBF0" w:val="clear"/>
                            <w:vAlign w:val="center"/>
                          </w:tcPr>
                          <w:p>
                            <w:pPr>
                              <w:pStyle w:val="TableContents"/>
                              <w:bidi w:val="0"/>
                              <w:spacing w:before="0" w:after="283"/>
                              <w:jc w:val="left"/>
                              <w:rPr>
                                <w:sz w:val="14"/>
                              </w:rPr>
                            </w:pPr>
                            <w:r>
                              <w:rPr>
                                <w:sz w:val="14"/>
                              </w:rPr>
                              <w:t>Expected to be October 30, 2026</w:t>
                            </w:r>
                          </w:p>
                        </w:tc>
                      </w:tr>
                      <w:tr>
                        <w:trPr/>
                        <w:tc>
                          <w:tcPr>
                            <w:tcW w:w="2001" w:type="dxa"/>
                            <w:tcBorders/>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 xml:space="preserve">Original issue date (settlement date): </w:t>
                            </w:r>
                          </w:p>
                        </w:tc>
                        <w:tc>
                          <w:tcPr>
                            <w:tcW w:w="8204" w:type="dxa"/>
                            <w:tcBorders/>
                            <w:vAlign w:val="center"/>
                          </w:tcPr>
                          <w:p>
                            <w:pPr>
                              <w:pStyle w:val="TableContents"/>
                              <w:bidi w:val="0"/>
                              <w:spacing w:before="0" w:after="283"/>
                              <w:jc w:val="left"/>
                              <w:rPr>
                                <w:sz w:val="14"/>
                              </w:rPr>
                            </w:pPr>
                            <w:r>
                              <w:rPr>
                                <w:sz w:val="14"/>
                              </w:rPr>
                              <w:t>3 business days after the pricing date</w:t>
                            </w:r>
                          </w:p>
                        </w:tc>
                      </w:tr>
                      <w:tr>
                        <w:trPr/>
                        <w:tc>
                          <w:tcPr>
                            <w:tcW w:w="2001" w:type="dxa"/>
                            <w:tcBorders/>
                            <w:shd w:fill="DCEBF0" w:val="clear"/>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Valuation date</w:t>
                            </w:r>
                            <w:r>
                              <w:rPr>
                                <w:rFonts w:ascii="Arial;Helvetica;Sans-Serif" w:hAnsi="Arial;Helvetica;Sans-Serif"/>
                                <w:b/>
                                <w:color w:val="296DC1"/>
                                <w:position w:val="5"/>
                                <w:sz w:val="11"/>
                                <w:sz w:val="14"/>
                              </w:rPr>
                              <w:t>†</w:t>
                            </w:r>
                            <w:r>
                              <w:rPr>
                                <w:rFonts w:ascii="Arial;Helvetica;Sans-Serif" w:hAnsi="Arial;Helvetica;Sans-Serif"/>
                                <w:b/>
                                <w:color w:val="296DC1"/>
                                <w:sz w:val="14"/>
                              </w:rPr>
                              <w:t>:</w:t>
                            </w:r>
                          </w:p>
                        </w:tc>
                        <w:tc>
                          <w:tcPr>
                            <w:tcW w:w="8204" w:type="dxa"/>
                            <w:tcBorders/>
                            <w:shd w:fill="DCEBF0" w:val="clear"/>
                            <w:vAlign w:val="center"/>
                          </w:tcPr>
                          <w:p>
                            <w:pPr>
                              <w:pStyle w:val="TableContents"/>
                              <w:bidi w:val="0"/>
                              <w:spacing w:before="0" w:after="283"/>
                              <w:jc w:val="left"/>
                              <w:rPr>
                                <w:sz w:val="14"/>
                              </w:rPr>
                            </w:pPr>
                            <w:r>
                              <w:rPr>
                                <w:sz w:val="14"/>
                              </w:rPr>
                              <w:t>October 31, 2031</w:t>
                            </w:r>
                          </w:p>
                        </w:tc>
                      </w:tr>
                      <w:tr>
                        <w:trPr/>
                        <w:tc>
                          <w:tcPr>
                            <w:tcW w:w="2001" w:type="dxa"/>
                            <w:tcBorders/>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Maturity date</w:t>
                            </w:r>
                            <w:r>
                              <w:rPr>
                                <w:rFonts w:ascii="Arial;Helvetica;Sans-Serif" w:hAnsi="Arial;Helvetica;Sans-Serif"/>
                                <w:b/>
                                <w:color w:val="296DC1"/>
                                <w:position w:val="5"/>
                                <w:sz w:val="11"/>
                                <w:sz w:val="14"/>
                              </w:rPr>
                              <w:t>†</w:t>
                            </w:r>
                            <w:r>
                              <w:rPr>
                                <w:rFonts w:ascii="Arial;Helvetica;Sans-Serif" w:hAnsi="Arial;Helvetica;Sans-Serif"/>
                                <w:b/>
                                <w:color w:val="296DC1"/>
                                <w:sz w:val="14"/>
                              </w:rPr>
                              <w:t xml:space="preserve">: </w:t>
                            </w:r>
                          </w:p>
                        </w:tc>
                        <w:tc>
                          <w:tcPr>
                            <w:tcW w:w="8204" w:type="dxa"/>
                            <w:tcBorders/>
                            <w:vAlign w:val="center"/>
                          </w:tcPr>
                          <w:p>
                            <w:pPr>
                              <w:pStyle w:val="TableContents"/>
                              <w:bidi w:val="0"/>
                              <w:spacing w:before="0" w:after="283"/>
                              <w:jc w:val="left"/>
                              <w:rPr>
                                <w:sz w:val="14"/>
                              </w:rPr>
                            </w:pPr>
                            <w:r>
                              <w:rPr>
                                <w:sz w:val="14"/>
                              </w:rPr>
                              <w:t>November 5, 2031</w:t>
                            </w:r>
                          </w:p>
                        </w:tc>
                      </w:tr>
                      <w:tr>
                        <w:trPr/>
                        <w:tc>
                          <w:tcPr>
                            <w:tcW w:w="2001" w:type="dxa"/>
                            <w:tcBorders/>
                            <w:shd w:fill="DCEBF0" w:val="clear"/>
                            <w:vAlign w:val="center"/>
                          </w:tcPr>
                          <w:p>
                            <w:pPr>
                              <w:pStyle w:val="TableContents"/>
                              <w:bidi w:val="0"/>
                              <w:spacing w:before="0" w:after="283"/>
                              <w:jc w:val="left"/>
                              <w:rPr>
                                <w:b/>
                                <w:color w:val="296DC1"/>
                                <w:sz w:val="14"/>
                              </w:rPr>
                            </w:pPr>
                            <w:r>
                              <w:rPr>
                                <w:b/>
                                <w:color w:val="296DC1"/>
                                <w:sz w:val="14"/>
                              </w:rPr>
                              <w:t>CUSIP / ISIN:</w:t>
                            </w:r>
                          </w:p>
                        </w:tc>
                        <w:tc>
                          <w:tcPr>
                            <w:tcW w:w="8204" w:type="dxa"/>
                            <w:tcBorders/>
                            <w:shd w:fill="DCEBF0" w:val="clear"/>
                            <w:vAlign w:val="center"/>
                          </w:tcPr>
                          <w:p>
                            <w:pPr>
                              <w:pStyle w:val="TableContents"/>
                              <w:bidi w:val="0"/>
                              <w:spacing w:before="0" w:after="283"/>
                              <w:jc w:val="left"/>
                              <w:rPr>
                                <w:sz w:val="14"/>
                              </w:rPr>
                            </w:pPr>
                            <w:r>
                              <w:rPr>
                                <w:sz w:val="14"/>
                              </w:rPr>
                              <w:t>46661PST5 / US46661PST56</w:t>
                            </w:r>
                          </w:p>
                        </w:tc>
                      </w:tr>
                      <w:tr>
                        <w:trPr/>
                        <w:tc>
                          <w:tcPr>
                            <w:tcW w:w="2001" w:type="dxa"/>
                            <w:tcBorders/>
                            <w:vAlign w:val="center"/>
                          </w:tcPr>
                          <w:p>
                            <w:pPr>
                              <w:pStyle w:val="TableContents"/>
                              <w:bidi w:val="0"/>
                              <w:spacing w:before="0" w:after="283"/>
                              <w:jc w:val="left"/>
                              <w:rPr>
                                <w:b/>
                                <w:color w:val="296DC1"/>
                                <w:sz w:val="14"/>
                              </w:rPr>
                            </w:pPr>
                            <w:r>
                              <w:rPr>
                                <w:b/>
                                <w:color w:val="296DC1"/>
                                <w:sz w:val="14"/>
                              </w:rPr>
                              <w:t xml:space="preserve">Preliminary pricing supplement: </w:t>
                            </w:r>
                          </w:p>
                        </w:tc>
                        <w:tc>
                          <w:tcPr>
                            <w:tcW w:w="8204" w:type="dxa"/>
                            <w:tcBorders/>
                            <w:vAlign w:val="center"/>
                          </w:tcPr>
                          <w:p>
                            <w:pPr>
                              <w:pStyle w:val="TableContents"/>
                              <w:bidi w:val="0"/>
                              <w:spacing w:before="0" w:after="283"/>
                              <w:jc w:val="left"/>
                              <w:rPr/>
                            </w:pPr>
                            <w:hyperlink r:id="rId3">
                              <w:r>
                                <w:rPr>
                                  <w:rStyle w:val="InternetLink"/>
                                  <w:sz w:val="14"/>
                                </w:rPr>
                                <w:t>http://www.sec.gov/Archives/edgar/data/</w:t>
                                <w:br/>
                                <w:t>19617/000121390026110411/ea0308874-01_424b2.htm</w:t>
                              </w:r>
                            </w:hyperlink>
                            <w:r>
                              <w:rPr>
                                <w:sz w:val="14"/>
                              </w:rPr>
                              <w:t xml:space="preserve">  </w:t>
                            </w:r>
                          </w:p>
                        </w:tc>
                      </w:tr>
                    </w:tbl>
                    <w:p>
                      <w:pPr>
                        <w:pStyle w:val="TextBody"/>
                        <w:bidi w:val="0"/>
                        <w:spacing w:before="0" w:after="40"/>
                        <w:ind w:left="108" w:right="0" w:hanging="0"/>
                        <w:jc w:val="left"/>
                        <w:rPr>
                          <w:caps w:val="false"/>
                          <w:smallCaps w:val="false"/>
                        </w:rPr>
                      </w:pPr>
                      <w:r>
                        <w:rPr>
                          <w:caps w:val="false"/>
                          <w:smallCaps w:val="false"/>
                        </w:rPr>
                        <w:t>†</w:t>
                      </w:r>
                      <w:r>
                        <w:rPr>
                          <w:rFonts w:ascii="Arial;Helvetica;Sans-Serif" w:hAnsi="Arial;Helvetica;Sans-Serif"/>
                          <w:b w:val="false"/>
                          <w:i w:val="false"/>
                          <w:caps w:val="false"/>
                          <w:smallCaps w:val="false"/>
                          <w:sz w:val="14"/>
                        </w:rPr>
                        <w:t>Subject to postponement or early acceleration</w:t>
                      </w:r>
                    </w:p>
                    <w:p>
                      <w:pPr>
                        <w:pStyle w:val="TextBody"/>
                        <w:bidi w:val="0"/>
                        <w:spacing w:before="0" w:after="40"/>
                        <w:ind w:left="108" w:right="0" w:hanging="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The estimated value of the Trigger PLUS on the pricing date will be provided in the pricing supplement and will not be less than $930.00 per $1,000 stated principal amount Trigger PLUS. For information about the estimated value of the Trigger PLUS, which likely will be lower than the price you paid for the Trigger PLUS, please see the hyperlink above.</w:t>
                      </w:r>
                    </w:p>
                    <w:p>
                      <w:pPr>
                        <w:pStyle w:val="TextBody"/>
                        <w:bidi w:val="0"/>
                        <w:spacing w:before="0" w:after="40"/>
                        <w:ind w:left="108" w:right="0" w:hanging="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Any payment on the Trigger PLUS is subject to the credit risk of JPMorgan Financial, as issuer of the Trigger PLUS, and the credit risk of JPMorgan Chase &amp; Co., as guarantor of the Trigger PLUS.</w:t>
                      </w:r>
                    </w:p>
                  </w:txbxContent>
                </v:textbox>
                <w10:wrap type="square" side="right"/>
              </v:rect>
            </w:pict>
          </mc:Fallback>
        </mc:AlternateContent>
      </w:r>
      <w:r>
        <mc:AlternateContent>
          <mc:Choice Requires="wps">
            <w:drawing>
              <wp:anchor behindDoc="0" distT="0" distB="0" distL="0" distR="0" simplePos="0" locked="0" layoutInCell="1" allowOverlap="1" relativeHeight="3">
                <wp:simplePos x="0" y="0"/>
                <wp:positionH relativeFrom="column">
                  <wp:align>right</wp:align>
                </wp:positionH>
                <wp:positionV relativeFrom="line">
                  <wp:posOffset>635</wp:posOffset>
                </wp:positionV>
                <wp:extent cx="3175000" cy="9139555"/>
                <wp:effectExtent l="0" t="0" r="0" b="0"/>
                <wp:wrapSquare wrapText="left"/>
                <wp:docPr id="2" name="Frame2"/>
                <a:graphic xmlns:a="http://schemas.openxmlformats.org/drawingml/2006/main">
                  <a:graphicData uri="http://schemas.microsoft.com/office/word/2010/wordprocessingShape">
                    <wps:wsp>
                      <wps:cNvSpPr txBox="1"/>
                      <wps:spPr>
                        <a:xfrm>
                          <a:off x="0" y="0"/>
                          <a:ext cx="3175000" cy="9139555"/>
                        </a:xfrm>
                        <a:prstGeom prst="rect"/>
                        <a:solidFill>
                          <a:srgbClr val="FFFFFF"/>
                        </a:solidFill>
                      </wps:spPr>
                      <wps:txbx>
                        <w:txbxContent>
                          <w:tbl>
                            <w:tblPr>
                              <w:tblW w:w="6120" w:type="dxa"/>
                              <w:jc w:val="left"/>
                              <w:tblInd w:w="0" w:type="dxa"/>
                              <w:tblLayout w:type="fixed"/>
                              <w:tblCellMar>
                                <w:top w:w="0" w:type="dxa"/>
                                <w:left w:w="0" w:type="dxa"/>
                                <w:bottom w:w="0" w:type="dxa"/>
                                <w:right w:w="0" w:type="dxa"/>
                              </w:tblCellMar>
                            </w:tblPr>
                            <w:tblGrid>
                              <w:gridCol w:w="6120"/>
                            </w:tblGrid>
                            <w:tr>
                              <w:trPr/>
                              <w:tc>
                                <w:tcPr>
                                  <w:tcW w:w="6120" w:type="dxa"/>
                                  <w:tcBorders/>
                                  <w:shd w:fill="DCEBF4" w:val="clear"/>
                                  <w:vAlign w:val="center"/>
                                </w:tcPr>
                                <w:p>
                                  <w:pPr>
                                    <w:pStyle w:val="TableContents"/>
                                    <w:bidi w:val="0"/>
                                    <w:spacing w:before="0" w:after="283"/>
                                    <w:jc w:val="center"/>
                                    <w:rPr>
                                      <w:rFonts w:ascii="Arial;Helvetica;Sans-Serif" w:hAnsi="Arial;Helvetica;Sans-Serif"/>
                                      <w:b/>
                                      <w:color w:val="296DC1"/>
                                      <w:sz w:val="17"/>
                                    </w:rPr>
                                  </w:pPr>
                                  <w:r>
                                    <w:rPr>
                                      <w:rFonts w:ascii="Arial;Helvetica;Sans-Serif" w:hAnsi="Arial;Helvetica;Sans-Serif"/>
                                      <w:b/>
                                      <w:color w:val="296DC1"/>
                                      <w:sz w:val="17"/>
                                    </w:rPr>
                                    <w:t>Trigger PLUS Payoff Diagram*</w:t>
                                  </w:r>
                                </w:p>
                              </w:tc>
                            </w:tr>
                            <w:tr>
                              <w:trPr/>
                              <w:tc>
                                <w:tcPr>
                                  <w:tcW w:w="6120" w:type="dxa"/>
                                  <w:tcBorders/>
                                  <w:vAlign w:val="center"/>
                                </w:tcPr>
                                <w:p>
                                  <w:pPr>
                                    <w:pStyle w:val="TableContents"/>
                                    <w:bidi w:val="0"/>
                                    <w:spacing w:before="0" w:after="283"/>
                                    <w:jc w:val="center"/>
                                    <w:rPr/>
                                  </w:pPr>
                                  <w:r>
                                    <w:rPr/>
                                    <w:drawing>
                                      <wp:inline distT="0" distB="0" distL="0" distR="0">
                                        <wp:extent cx="3867150" cy="225742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4"/>
                                                <a:stretch>
                                                  <a:fillRect/>
                                                </a:stretch>
                                              </pic:blipFill>
                                              <pic:spPr bwMode="auto">
                                                <a:xfrm>
                                                  <a:off x="0" y="0"/>
                                                  <a:ext cx="3867150" cy="2257425"/>
                                                </a:xfrm>
                                                <a:prstGeom prst="rect">
                                                  <a:avLst/>
                                                </a:prstGeom>
                                              </pic:spPr>
                                            </pic:pic>
                                          </a:graphicData>
                                        </a:graphic>
                                      </wp:inline>
                                    </w:drawing>
                                  </w:r>
                                </w:p>
                              </w:tc>
                            </w:tr>
                          </w:tbl>
                          <w:p>
                            <w:pPr>
                              <w:pStyle w:val="TextBody"/>
                              <w:bidi w:val="0"/>
                              <w:ind w:left="720" w:right="0" w:hanging="0"/>
                              <w:jc w:val="left"/>
                              <w:rPr>
                                <w:caps w:val="false"/>
                                <w:smallCaps w:val="false"/>
                              </w:rPr>
                            </w:pPr>
                            <w:r>
                              <w:rPr>
                                <w:caps w:val="false"/>
                                <w:smallCaps w:val="false"/>
                              </w:rPr>
                              <w:t> </w:t>
                            </w:r>
                          </w:p>
                          <w:tbl>
                            <w:tblPr>
                              <w:tblW w:w="3715" w:type="dxa"/>
                              <w:jc w:val="left"/>
                              <w:tblInd w:w="0" w:type="dxa"/>
                              <w:tblLayout w:type="fixed"/>
                              <w:tblCellMar>
                                <w:top w:w="0" w:type="dxa"/>
                                <w:left w:w="0" w:type="dxa"/>
                                <w:bottom w:w="0" w:type="dxa"/>
                                <w:right w:w="0" w:type="dxa"/>
                              </w:tblCellMar>
                            </w:tblPr>
                            <w:tblGrid>
                              <w:gridCol w:w="1430"/>
                              <w:gridCol w:w="2285"/>
                            </w:tblGrid>
                            <w:tr>
                              <w:trPr/>
                              <w:tc>
                                <w:tcPr>
                                  <w:tcW w:w="1430" w:type="dxa"/>
                                  <w:tcBorders/>
                                  <w:shd w:fill="296DC1" w:val="cle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Change in Basket</w:t>
                                  </w:r>
                                </w:p>
                              </w:tc>
                              <w:tc>
                                <w:tcPr>
                                  <w:tcW w:w="2285" w:type="dxa"/>
                                  <w:tcBorders/>
                                  <w:shd w:fill="296DC1" w:val="cle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Return on the Trigger PLUS*</w:t>
                                  </w:r>
                                </w:p>
                              </w:tc>
                            </w:tr>
                            <w:tr>
                              <w:trPr/>
                              <w:tc>
                                <w:tcPr>
                                  <w:tcW w:w="143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w:t>
                                  </w:r>
                                </w:p>
                              </w:tc>
                              <w:tc>
                                <w:tcPr>
                                  <w:tcW w:w="228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98.00%</w:t>
                                  </w:r>
                                </w:p>
                              </w:tc>
                            </w:tr>
                            <w:tr>
                              <w:trPr/>
                              <w:tc>
                                <w:tcPr>
                                  <w:tcW w:w="143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w:t>
                                  </w:r>
                                </w:p>
                              </w:tc>
                              <w:tc>
                                <w:tcPr>
                                  <w:tcW w:w="228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78.40%</w:t>
                                  </w:r>
                                </w:p>
                              </w:tc>
                            </w:tr>
                            <w:tr>
                              <w:trPr/>
                              <w:tc>
                                <w:tcPr>
                                  <w:tcW w:w="143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30.00%</w:t>
                                  </w:r>
                                </w:p>
                              </w:tc>
                              <w:tc>
                                <w:tcPr>
                                  <w:tcW w:w="228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58.80%</w:t>
                                  </w:r>
                                </w:p>
                              </w:tc>
                            </w:tr>
                            <w:tr>
                              <w:trPr/>
                              <w:tc>
                                <w:tcPr>
                                  <w:tcW w:w="143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w:t>
                                  </w:r>
                                </w:p>
                              </w:tc>
                              <w:tc>
                                <w:tcPr>
                                  <w:tcW w:w="228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39.20%</w:t>
                                  </w:r>
                                </w:p>
                              </w:tc>
                            </w:tr>
                            <w:tr>
                              <w:trPr/>
                              <w:tc>
                                <w:tcPr>
                                  <w:tcW w:w="143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w:t>
                                  </w:r>
                                </w:p>
                              </w:tc>
                              <w:tc>
                                <w:tcPr>
                                  <w:tcW w:w="228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19.60%</w:t>
                                  </w:r>
                                </w:p>
                              </w:tc>
                            </w:tr>
                            <w:tr>
                              <w:trPr/>
                              <w:tc>
                                <w:tcPr>
                                  <w:tcW w:w="143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w:t>
                                  </w:r>
                                </w:p>
                              </w:tc>
                              <w:tc>
                                <w:tcPr>
                                  <w:tcW w:w="228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9.80%</w:t>
                                  </w:r>
                                </w:p>
                              </w:tc>
                            </w:tr>
                            <w:tr>
                              <w:trPr/>
                              <w:tc>
                                <w:tcPr>
                                  <w:tcW w:w="143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w:t>
                                  </w:r>
                                </w:p>
                              </w:tc>
                              <w:tc>
                                <w:tcPr>
                                  <w:tcW w:w="228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1.96%</w:t>
                                  </w:r>
                                </w:p>
                              </w:tc>
                            </w:tr>
                            <w:tr>
                              <w:trPr/>
                              <w:tc>
                                <w:tcPr>
                                  <w:tcW w:w="143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w:t>
                                  </w:r>
                                </w:p>
                              </w:tc>
                              <w:tc>
                                <w:tcPr>
                                  <w:tcW w:w="228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w:t>
                                  </w:r>
                                </w:p>
                              </w:tc>
                            </w:tr>
                            <w:tr>
                              <w:trPr/>
                              <w:tc>
                                <w:tcPr>
                                  <w:tcW w:w="143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w:t>
                                  </w:r>
                                </w:p>
                              </w:tc>
                              <w:tc>
                                <w:tcPr>
                                  <w:tcW w:w="228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w:t>
                                  </w:r>
                                </w:p>
                              </w:tc>
                            </w:tr>
                            <w:tr>
                              <w:trPr/>
                              <w:tc>
                                <w:tcPr>
                                  <w:tcW w:w="143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w:t>
                                  </w:r>
                                </w:p>
                              </w:tc>
                              <w:tc>
                                <w:tcPr>
                                  <w:tcW w:w="228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w:t>
                                  </w:r>
                                </w:p>
                              </w:tc>
                            </w:tr>
                            <w:tr>
                              <w:trPr/>
                              <w:tc>
                                <w:tcPr>
                                  <w:tcW w:w="143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-20.01%</w:t>
                                  </w:r>
                                </w:p>
                              </w:tc>
                              <w:tc>
                                <w:tcPr>
                                  <w:tcW w:w="228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-20.01%</w:t>
                                  </w:r>
                                </w:p>
                              </w:tc>
                            </w:tr>
                            <w:tr>
                              <w:trPr/>
                              <w:tc>
                                <w:tcPr>
                                  <w:tcW w:w="143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-30.00%</w:t>
                                  </w:r>
                                </w:p>
                              </w:tc>
                              <w:tc>
                                <w:tcPr>
                                  <w:tcW w:w="228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-30.00%</w:t>
                                  </w:r>
                                </w:p>
                              </w:tc>
                            </w:tr>
                            <w:tr>
                              <w:trPr/>
                              <w:tc>
                                <w:tcPr>
                                  <w:tcW w:w="143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w:t>
                                  </w:r>
                                </w:p>
                              </w:tc>
                              <w:tc>
                                <w:tcPr>
                                  <w:tcW w:w="228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w:t>
                                  </w:r>
                                </w:p>
                              </w:tc>
                            </w:tr>
                            <w:tr>
                              <w:trPr/>
                              <w:tc>
                                <w:tcPr>
                                  <w:tcW w:w="143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w:t>
                                  </w:r>
                                </w:p>
                              </w:tc>
                              <w:tc>
                                <w:tcPr>
                                  <w:tcW w:w="228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w:t>
                                  </w:r>
                                </w:p>
                              </w:tc>
                            </w:tr>
                            <w:tr>
                              <w:trPr/>
                              <w:tc>
                                <w:tcPr>
                                  <w:tcW w:w="143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-60.00%</w:t>
                                  </w:r>
                                </w:p>
                              </w:tc>
                              <w:tc>
                                <w:tcPr>
                                  <w:tcW w:w="228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-60.00%</w:t>
                                  </w:r>
                                </w:p>
                              </w:tc>
                            </w:tr>
                            <w:tr>
                              <w:trPr/>
                              <w:tc>
                                <w:tcPr>
                                  <w:tcW w:w="143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-80.00%</w:t>
                                  </w:r>
                                </w:p>
                              </w:tc>
                              <w:tc>
                                <w:tcPr>
                                  <w:tcW w:w="228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-80.00%</w:t>
                                  </w:r>
                                </w:p>
                              </w:tc>
                            </w:tr>
                            <w:tr>
                              <w:trPr/>
                              <w:tc>
                                <w:tcPr>
                                  <w:tcW w:w="143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w:t>
                                  </w:r>
                                </w:p>
                              </w:tc>
                              <w:tc>
                                <w:tcPr>
                                  <w:tcW w:w="228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w:t>
                                  </w:r>
                                </w:p>
                              </w:tc>
                            </w:tr>
                          </w:tbl>
                          <w:p>
                            <w:pPr>
                              <w:pStyle w:val="TextBody"/>
                              <w:bidi w:val="0"/>
                              <w:spacing w:before="0" w:after="283"/>
                              <w:jc w:val="left"/>
                              <w:rPr/>
                            </w:pPr>
                            <w:r>
                              <w:rPr/>
                              <w:t> </w:t>
                            </w:r>
                          </w:p>
                          <w:p>
                            <w:pPr>
                              <w:pStyle w:val="TextBody"/>
                              <w:bidi w:val="0"/>
                              <w:spacing w:before="0" w:after="283"/>
                              <w:jc w:val="left"/>
                              <w:rPr>
                                <w:rFonts w:ascii="Arial;Helvetica;Sans-Serif" w:hAnsi="Arial;Helvetica;Sans-Serif"/>
                                <w:b w:val="false"/>
                                <w:i/>
                                <w:caps w:val="false"/>
                                <w:smallCaps w:val="false"/>
                                <w:sz w:val="16"/>
                              </w:rPr>
                            </w:pPr>
                            <w:r>
                              <w:rPr>
                                <w:rFonts w:ascii="Arial;Helvetica;Sans-Serif" w:hAnsi="Arial;Helvetica;Sans-Serif"/>
                                <w:b w:val="false"/>
                                <w:i/>
                                <w:caps w:val="false"/>
                                <w:smallCaps w:val="false"/>
                                <w:sz w:val="16"/>
                              </w:rPr>
                              <w:t>*Assumes a leverage factor of 196.00%. The actual leverage factor will be provided in the pricing supplement and will not be less than 196.00%.</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19.65pt;mso-wrap-distance-left:0pt;mso-wrap-distance-right:0pt;mso-wrap-distance-top:0pt;mso-wrap-distance-bottom:0pt;margin-top:0pt;mso-position-vertical:top;mso-position-vertical-relative:text;margin-left:260.25pt;mso-position-horizontal:right;mso-position-horizontal-relative:text">
                <v:textbox>
                  <w:txbxContent>
                    <w:tbl>
                      <w:tblPr>
                        <w:tblW w:w="6120" w:type="dxa"/>
                        <w:jc w:val="left"/>
                        <w:tblInd w:w="0" w:type="dxa"/>
                        <w:tblLayout w:type="fixed"/>
                        <w:tblCellMar>
                          <w:top w:w="0" w:type="dxa"/>
                          <w:left w:w="0" w:type="dxa"/>
                          <w:bottom w:w="0" w:type="dxa"/>
                          <w:right w:w="0" w:type="dxa"/>
                        </w:tblCellMar>
                      </w:tblPr>
                      <w:tblGrid>
                        <w:gridCol w:w="6120"/>
                      </w:tblGrid>
                      <w:tr>
                        <w:trPr/>
                        <w:tc>
                          <w:tcPr>
                            <w:tcW w:w="6120" w:type="dxa"/>
                            <w:tcBorders/>
                            <w:shd w:fill="DCEBF4" w:val="clear"/>
                            <w:vAlign w:val="center"/>
                          </w:tcPr>
                          <w:p>
                            <w:pPr>
                              <w:pStyle w:val="TableContents"/>
                              <w:bidi w:val="0"/>
                              <w:spacing w:before="0" w:after="283"/>
                              <w:jc w:val="center"/>
                              <w:rPr>
                                <w:rFonts w:ascii="Arial;Helvetica;Sans-Serif" w:hAnsi="Arial;Helvetica;Sans-Serif"/>
                                <w:b/>
                                <w:color w:val="296DC1"/>
                                <w:sz w:val="17"/>
                              </w:rPr>
                            </w:pPr>
                            <w:r>
                              <w:rPr>
                                <w:rFonts w:ascii="Arial;Helvetica;Sans-Serif" w:hAnsi="Arial;Helvetica;Sans-Serif"/>
                                <w:b/>
                                <w:color w:val="296DC1"/>
                                <w:sz w:val="17"/>
                              </w:rPr>
                              <w:t>Trigger PLUS Payoff Diagram*</w:t>
                            </w:r>
                          </w:p>
                        </w:tc>
                      </w:tr>
                      <w:tr>
                        <w:trPr/>
                        <w:tc>
                          <w:tcPr>
                            <w:tcW w:w="6120" w:type="dxa"/>
                            <w:tcBorders/>
                            <w:vAlign w:val="center"/>
                          </w:tcPr>
                          <w:p>
                            <w:pPr>
                              <w:pStyle w:val="TableContents"/>
                              <w:bidi w:val="0"/>
                              <w:spacing w:before="0" w:after="283"/>
                              <w:jc w:val="center"/>
                              <w:rPr/>
                            </w:pPr>
                            <w:r>
                              <w:rPr/>
                              <w:drawing>
                                <wp:inline distT="0" distB="0" distL="0" distR="0">
                                  <wp:extent cx="3867150" cy="22574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5"/>
                                          <a:stretch>
                                            <a:fillRect/>
                                          </a:stretch>
                                        </pic:blipFill>
                                        <pic:spPr bwMode="auto">
                                          <a:xfrm>
                                            <a:off x="0" y="0"/>
                                            <a:ext cx="3867150" cy="2257425"/>
                                          </a:xfrm>
                                          <a:prstGeom prst="rect">
                                            <a:avLst/>
                                          </a:prstGeom>
                                        </pic:spPr>
                                      </pic:pic>
                                    </a:graphicData>
                                  </a:graphic>
                                </wp:inline>
                              </w:drawing>
                            </w:r>
                          </w:p>
                        </w:tc>
                      </w:tr>
                    </w:tbl>
                    <w:p>
                      <w:pPr>
                        <w:pStyle w:val="TextBody"/>
                        <w:bidi w:val="0"/>
                        <w:ind w:left="720" w:right="0" w:hanging="0"/>
                        <w:jc w:val="left"/>
                        <w:rPr>
                          <w:caps w:val="false"/>
                          <w:smallCaps w:val="false"/>
                        </w:rPr>
                      </w:pPr>
                      <w:r>
                        <w:rPr>
                          <w:caps w:val="false"/>
                          <w:smallCaps w:val="false"/>
                        </w:rPr>
                        <w:t> </w:t>
                      </w:r>
                    </w:p>
                    <w:tbl>
                      <w:tblPr>
                        <w:tblW w:w="3715" w:type="dxa"/>
                        <w:jc w:val="left"/>
                        <w:tblInd w:w="0" w:type="dxa"/>
                        <w:tblLayout w:type="fixed"/>
                        <w:tblCellMar>
                          <w:top w:w="0" w:type="dxa"/>
                          <w:left w:w="0" w:type="dxa"/>
                          <w:bottom w:w="0" w:type="dxa"/>
                          <w:right w:w="0" w:type="dxa"/>
                        </w:tblCellMar>
                      </w:tblPr>
                      <w:tblGrid>
                        <w:gridCol w:w="1430"/>
                        <w:gridCol w:w="2285"/>
                      </w:tblGrid>
                      <w:tr>
                        <w:trPr/>
                        <w:tc>
                          <w:tcPr>
                            <w:tcW w:w="1430" w:type="dxa"/>
                            <w:tcBorders/>
                            <w:shd w:fill="296DC1" w:val="cle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Change in Basket</w:t>
                            </w:r>
                          </w:p>
                        </w:tc>
                        <w:tc>
                          <w:tcPr>
                            <w:tcW w:w="2285" w:type="dxa"/>
                            <w:tcBorders/>
                            <w:shd w:fill="296DC1" w:val="cle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Return on the Trigger PLUS*</w:t>
                            </w:r>
                          </w:p>
                        </w:tc>
                      </w:tr>
                      <w:tr>
                        <w:trPr/>
                        <w:tc>
                          <w:tcPr>
                            <w:tcW w:w="143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w:t>
                            </w:r>
                          </w:p>
                        </w:tc>
                        <w:tc>
                          <w:tcPr>
                            <w:tcW w:w="228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98.00%</w:t>
                            </w:r>
                          </w:p>
                        </w:tc>
                      </w:tr>
                      <w:tr>
                        <w:trPr/>
                        <w:tc>
                          <w:tcPr>
                            <w:tcW w:w="143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w:t>
                            </w:r>
                          </w:p>
                        </w:tc>
                        <w:tc>
                          <w:tcPr>
                            <w:tcW w:w="228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78.40%</w:t>
                            </w:r>
                          </w:p>
                        </w:tc>
                      </w:tr>
                      <w:tr>
                        <w:trPr/>
                        <w:tc>
                          <w:tcPr>
                            <w:tcW w:w="143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30.00%</w:t>
                            </w:r>
                          </w:p>
                        </w:tc>
                        <w:tc>
                          <w:tcPr>
                            <w:tcW w:w="228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58.80%</w:t>
                            </w:r>
                          </w:p>
                        </w:tc>
                      </w:tr>
                      <w:tr>
                        <w:trPr/>
                        <w:tc>
                          <w:tcPr>
                            <w:tcW w:w="143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w:t>
                            </w:r>
                          </w:p>
                        </w:tc>
                        <w:tc>
                          <w:tcPr>
                            <w:tcW w:w="228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39.20%</w:t>
                            </w:r>
                          </w:p>
                        </w:tc>
                      </w:tr>
                      <w:tr>
                        <w:trPr/>
                        <w:tc>
                          <w:tcPr>
                            <w:tcW w:w="143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w:t>
                            </w:r>
                          </w:p>
                        </w:tc>
                        <w:tc>
                          <w:tcPr>
                            <w:tcW w:w="228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19.60%</w:t>
                            </w:r>
                          </w:p>
                        </w:tc>
                      </w:tr>
                      <w:tr>
                        <w:trPr/>
                        <w:tc>
                          <w:tcPr>
                            <w:tcW w:w="143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w:t>
                            </w:r>
                          </w:p>
                        </w:tc>
                        <w:tc>
                          <w:tcPr>
                            <w:tcW w:w="228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9.80%</w:t>
                            </w:r>
                          </w:p>
                        </w:tc>
                      </w:tr>
                      <w:tr>
                        <w:trPr/>
                        <w:tc>
                          <w:tcPr>
                            <w:tcW w:w="143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w:t>
                            </w:r>
                          </w:p>
                        </w:tc>
                        <w:tc>
                          <w:tcPr>
                            <w:tcW w:w="228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1.96%</w:t>
                            </w:r>
                          </w:p>
                        </w:tc>
                      </w:tr>
                      <w:tr>
                        <w:trPr/>
                        <w:tc>
                          <w:tcPr>
                            <w:tcW w:w="143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w:t>
                            </w:r>
                          </w:p>
                        </w:tc>
                        <w:tc>
                          <w:tcPr>
                            <w:tcW w:w="228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w:t>
                            </w:r>
                          </w:p>
                        </w:tc>
                      </w:tr>
                      <w:tr>
                        <w:trPr/>
                        <w:tc>
                          <w:tcPr>
                            <w:tcW w:w="143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w:t>
                            </w:r>
                          </w:p>
                        </w:tc>
                        <w:tc>
                          <w:tcPr>
                            <w:tcW w:w="228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w:t>
                            </w:r>
                          </w:p>
                        </w:tc>
                      </w:tr>
                      <w:tr>
                        <w:trPr/>
                        <w:tc>
                          <w:tcPr>
                            <w:tcW w:w="143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w:t>
                            </w:r>
                          </w:p>
                        </w:tc>
                        <w:tc>
                          <w:tcPr>
                            <w:tcW w:w="228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w:t>
                            </w:r>
                          </w:p>
                        </w:tc>
                      </w:tr>
                      <w:tr>
                        <w:trPr/>
                        <w:tc>
                          <w:tcPr>
                            <w:tcW w:w="143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-20.01%</w:t>
                            </w:r>
                          </w:p>
                        </w:tc>
                        <w:tc>
                          <w:tcPr>
                            <w:tcW w:w="228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-20.01%</w:t>
                            </w:r>
                          </w:p>
                        </w:tc>
                      </w:tr>
                      <w:tr>
                        <w:trPr/>
                        <w:tc>
                          <w:tcPr>
                            <w:tcW w:w="143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-30.00%</w:t>
                            </w:r>
                          </w:p>
                        </w:tc>
                        <w:tc>
                          <w:tcPr>
                            <w:tcW w:w="228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-30.00%</w:t>
                            </w:r>
                          </w:p>
                        </w:tc>
                      </w:tr>
                      <w:tr>
                        <w:trPr/>
                        <w:tc>
                          <w:tcPr>
                            <w:tcW w:w="143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w:t>
                            </w:r>
                          </w:p>
                        </w:tc>
                        <w:tc>
                          <w:tcPr>
                            <w:tcW w:w="228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w:t>
                            </w:r>
                          </w:p>
                        </w:tc>
                      </w:tr>
                      <w:tr>
                        <w:trPr/>
                        <w:tc>
                          <w:tcPr>
                            <w:tcW w:w="143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w:t>
                            </w:r>
                          </w:p>
                        </w:tc>
                        <w:tc>
                          <w:tcPr>
                            <w:tcW w:w="228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w:t>
                            </w:r>
                          </w:p>
                        </w:tc>
                      </w:tr>
                      <w:tr>
                        <w:trPr/>
                        <w:tc>
                          <w:tcPr>
                            <w:tcW w:w="143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-60.00%</w:t>
                            </w:r>
                          </w:p>
                        </w:tc>
                        <w:tc>
                          <w:tcPr>
                            <w:tcW w:w="228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-60.00%</w:t>
                            </w:r>
                          </w:p>
                        </w:tc>
                      </w:tr>
                      <w:tr>
                        <w:trPr/>
                        <w:tc>
                          <w:tcPr>
                            <w:tcW w:w="143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-80.00%</w:t>
                            </w:r>
                          </w:p>
                        </w:tc>
                        <w:tc>
                          <w:tcPr>
                            <w:tcW w:w="228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-80.00%</w:t>
                            </w:r>
                          </w:p>
                        </w:tc>
                      </w:tr>
                      <w:tr>
                        <w:trPr/>
                        <w:tc>
                          <w:tcPr>
                            <w:tcW w:w="143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w:t>
                            </w:r>
                          </w:p>
                        </w:tc>
                        <w:tc>
                          <w:tcPr>
                            <w:tcW w:w="228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w:t>
                            </w:r>
                          </w:p>
                        </w:tc>
                      </w:tr>
                    </w:tbl>
                    <w:p>
                      <w:pPr>
                        <w:pStyle w:val="TextBody"/>
                        <w:bidi w:val="0"/>
                        <w:spacing w:before="0" w:after="283"/>
                        <w:jc w:val="left"/>
                        <w:rPr/>
                      </w:pPr>
                      <w:r>
                        <w:rPr/>
                        <w:t> </w:t>
                      </w:r>
                    </w:p>
                    <w:p>
                      <w:pPr>
                        <w:pStyle w:val="TextBody"/>
                        <w:bidi w:val="0"/>
                        <w:spacing w:before="0" w:after="283"/>
                        <w:jc w:val="left"/>
                        <w:rPr>
                          <w:rFonts w:ascii="Arial;Helvetica;Sans-Serif" w:hAnsi="Arial;Helvetica;Sans-Serif"/>
                          <w:b w:val="false"/>
                          <w:i/>
                          <w:caps w:val="false"/>
                          <w:smallCaps w:val="false"/>
                          <w:sz w:val="16"/>
                        </w:rPr>
                      </w:pPr>
                      <w:r>
                        <w:rPr>
                          <w:rFonts w:ascii="Arial;Helvetica;Sans-Serif" w:hAnsi="Arial;Helvetica;Sans-Serif"/>
                          <w:b w:val="false"/>
                          <w:i/>
                          <w:caps w:val="false"/>
                          <w:smallCaps w:val="false"/>
                          <w:sz w:val="16"/>
                        </w:rPr>
                        <w:t>*Assumes a leverage factor of 196.00%. The actual leverage factor will be provided in the pricing supplement and will not be less than 196.00%.</w:t>
                      </w:r>
                    </w:p>
                  </w:txbxContent>
                </v:textbox>
                <w10:wrap type="square" side="left"/>
              </v:rect>
            </w:pict>
          </mc:Fallback>
        </mc:AlternateConten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left"/>
        <w:rPr>
          <w:rFonts w:ascii="Arial;Helvetica;Sans-Serif" w:hAnsi="Arial;Helvetica;Sans-Serif"/>
          <w:b/>
          <w:i w:val="false"/>
          <w:caps w:val="false"/>
          <w:smallCaps w:val="false"/>
          <w:color w:val="808080"/>
          <w:sz w:val="24"/>
        </w:rPr>
      </w:pPr>
      <w:r>
        <w:rPr>
          <w:rFonts w:ascii="Arial;Helvetica;Sans-Serif" w:hAnsi="Arial;Helvetica;Sans-Serif"/>
          <w:b/>
          <w:i w:val="false"/>
          <w:caps w:val="false"/>
          <w:smallCaps w:val="false"/>
          <w:color w:val="808080"/>
          <w:sz w:val="24"/>
        </w:rPr>
        <w:t>JPMorgan Chase Financial Company LLC</w:t>
      </w:r>
    </w:p>
    <w:p>
      <w:pPr>
        <w:pStyle w:val="TextBody"/>
        <w:pBdr>
          <w:bottom w:val="single" w:sz="4" w:space="1" w:color="296DC1"/>
        </w:pBdr>
        <w:bidi w:val="0"/>
        <w:jc w:val="left"/>
        <w:rPr>
          <w:rFonts w:ascii="Arial;Helvetica;Sans-Serif" w:hAnsi="Arial;Helvetica;Sans-Serif"/>
          <w:b w:val="false"/>
          <w:i w:val="false"/>
          <w:caps w:val="false"/>
          <w:smallCaps w:val="false"/>
          <w:color w:val="296DC1"/>
          <w:sz w:val="30"/>
        </w:rPr>
      </w:pPr>
      <w:r>
        <w:rPr>
          <w:rFonts w:ascii="Arial;Helvetica;Sans-Serif" w:hAnsi="Arial;Helvetica;Sans-Serif"/>
          <w:b w:val="false"/>
          <w:i w:val="false"/>
          <w:caps w:val="false"/>
          <w:smallCaps w:val="false"/>
          <w:color w:val="296DC1"/>
          <w:sz w:val="30"/>
        </w:rPr>
        <w:t>5-Year SX5E/TPX/UKX/SMI/AS51 Basket Trigger PLUS</w:t>
      </w:r>
    </w:p>
    <w:p>
      <w:pPr>
        <w:pStyle w:val="TextBody"/>
        <w:bidi w:val="0"/>
        <w:spacing w:before="120" w:after="60"/>
        <w:ind w:left="120" w:right="120" w:hanging="0"/>
        <w:jc w:val="left"/>
        <w:rPr>
          <w:rFonts w:ascii="Arial;Helvetica;Sans-Serif" w:hAnsi="Arial;Helvetica;Sans-Serif"/>
          <w:b w:val="false"/>
          <w:i w:val="false"/>
          <w:caps w:val="false"/>
          <w:smallCaps w:val="false"/>
          <w:color w:val="296DC1"/>
          <w:sz w:val="28"/>
        </w:rPr>
      </w:pPr>
      <w:r>
        <w:rPr>
          <w:rFonts w:ascii="Arial;Helvetica;Sans-Serif" w:hAnsi="Arial;Helvetica;Sans-Serif"/>
          <w:b w:val="false"/>
          <w:i w:val="false"/>
          <w:caps w:val="false"/>
          <w:smallCaps w:val="false"/>
          <w:color w:val="296DC1"/>
          <w:sz w:val="28"/>
        </w:rPr>
        <w:t>Basket and Underlying Indices</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For more information about any underlying index, including historical performance information, see the accompanying preliminary pricing supplement.</w:t>
      </w:r>
    </w:p>
    <w:p>
      <w:pPr>
        <w:pStyle w:val="TextBody"/>
        <w:bidi w:val="0"/>
        <w:spacing w:before="0" w:after="60"/>
        <w:jc w:val="left"/>
        <w:rPr>
          <w:rFonts w:ascii="Arial;Helvetica;Sans-Serif" w:hAnsi="Arial;Helvetica;Sans-Serif"/>
          <w:b w:val="false"/>
          <w:i w:val="false"/>
          <w:caps w:val="false"/>
          <w:smallCaps w:val="false"/>
          <w:color w:val="296DC1"/>
          <w:sz w:val="28"/>
        </w:rPr>
      </w:pPr>
      <w:r>
        <w:rPr>
          <w:rFonts w:ascii="Arial;Helvetica;Sans-Serif" w:hAnsi="Arial;Helvetica;Sans-Serif"/>
          <w:b w:val="false"/>
          <w:i w:val="false"/>
          <w:caps w:val="false"/>
          <w:smallCaps w:val="false"/>
          <w:color w:val="296DC1"/>
          <w:sz w:val="28"/>
        </w:rPr>
        <w:t>Risk Considerations</w:t>
      </w:r>
    </w:p>
    <w:p>
      <w:pPr>
        <w:pStyle w:val="TextBody"/>
        <w:bidi w:val="0"/>
        <w:spacing w:before="0" w:after="6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risks identified below are not exhaustive. Please see “Risk Factors” in the accompanying prospectus supplement, product supplement and preliminary pricing supplement for additional information.</w:t>
      </w:r>
    </w:p>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the Trigger PLUS Generally</w:t>
      </w:r>
    </w:p>
    <w:tbl>
      <w:tblPr>
        <w:tblW w:w="5000" w:type="pct"/>
        <w:jc w:val="left"/>
        <w:tblInd w:w="0" w:type="dxa"/>
        <w:tblLayout w:type="fixed"/>
        <w:tblCellMar>
          <w:top w:w="0" w:type="dxa"/>
          <w:left w:w="0" w:type="dxa"/>
          <w:bottom w:w="0" w:type="dxa"/>
          <w:right w:w="0" w:type="dxa"/>
        </w:tblCellMar>
      </w:tblPr>
      <w:tblGrid>
        <w:gridCol w:w="38"/>
        <w:gridCol w:w="126"/>
        <w:gridCol w:w="10041"/>
      </w:tblGrid>
      <w:tr>
        <w:trPr/>
        <w:tc>
          <w:tcPr>
            <w:tcW w:w="3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1" w:type="dxa"/>
            <w:tcBorders/>
            <w:vAlign w:val="center"/>
          </w:tcPr>
          <w:p>
            <w:pPr>
              <w:pStyle w:val="TableContents"/>
              <w:bidi w:val="0"/>
              <w:spacing w:before="0" w:after="283"/>
              <w:jc w:val="left"/>
              <w:rPr>
                <w:sz w:val="18"/>
              </w:rPr>
            </w:pPr>
            <w:r>
              <w:rPr>
                <w:sz w:val="18"/>
              </w:rPr>
              <w:t>The Trigger PLUS do not pay interest or guarantee the return of any principal and your investment in the Trigger PLUS may result in a loss.</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The Trigger PLUS are subject to the credit risks of JPMorgan Financial and JPMorgan Chase &amp; Co., and any actual or anticipated changes to our or JPMorgan Chase &amp; Co.’s credit ratings or credit spreads may adversely affect the market value of the Trigger PLUS.</w:t>
            </w:r>
          </w:p>
        </w:tc>
      </w:tr>
    </w:tbl>
    <w:tbl>
      <w:tblPr>
        <w:tblW w:w="5000" w:type="pct"/>
        <w:jc w:val="left"/>
        <w:tblInd w:w="0" w:type="dxa"/>
        <w:tblLayout w:type="fixed"/>
        <w:tblCellMar>
          <w:top w:w="0" w:type="dxa"/>
          <w:left w:w="0" w:type="dxa"/>
          <w:bottom w:w="0" w:type="dxa"/>
          <w:right w:w="0" w:type="dxa"/>
        </w:tblCellMar>
      </w:tblPr>
      <w:tblGrid>
        <w:gridCol w:w="54"/>
        <w:gridCol w:w="180"/>
        <w:gridCol w:w="9971"/>
      </w:tblGrid>
      <w:tr>
        <w:trPr/>
        <w:tc>
          <w:tcPr>
            <w:tcW w:w="5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71" w:type="dxa"/>
            <w:tcBorders/>
            <w:vAlign w:val="center"/>
          </w:tcPr>
          <w:p>
            <w:pPr>
              <w:pStyle w:val="TableContents"/>
              <w:bidi w:val="0"/>
              <w:spacing w:before="0" w:after="283"/>
              <w:jc w:val="left"/>
              <w:rPr>
                <w:sz w:val="18"/>
              </w:rPr>
            </w:pPr>
            <w:r>
              <w:rPr>
                <w:sz w:val="18"/>
              </w:rPr>
              <w:t>As a finance subsidiary, JPMorgan Financial has no independent activities and has limited assets.</w:t>
            </w:r>
          </w:p>
        </w:tc>
      </w:tr>
    </w:tbl>
    <w:tbl>
      <w:tblPr>
        <w:tblW w:w="5000" w:type="pct"/>
        <w:jc w:val="left"/>
        <w:tblInd w:w="0" w:type="dxa"/>
        <w:tblLayout w:type="fixed"/>
        <w:tblCellMar>
          <w:top w:w="0" w:type="dxa"/>
          <w:left w:w="0" w:type="dxa"/>
          <w:bottom w:w="0" w:type="dxa"/>
          <w:right w:w="0" w:type="dxa"/>
        </w:tblCellMar>
      </w:tblPr>
      <w:tblGrid>
        <w:gridCol w:w="68"/>
        <w:gridCol w:w="228"/>
        <w:gridCol w:w="9909"/>
      </w:tblGrid>
      <w:tr>
        <w:trPr/>
        <w:tc>
          <w:tcPr>
            <w:tcW w:w="6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9909" w:type="dxa"/>
            <w:tcBorders/>
            <w:vAlign w:val="center"/>
          </w:tcPr>
          <w:p>
            <w:pPr>
              <w:pStyle w:val="TableContents"/>
              <w:bidi w:val="0"/>
              <w:spacing w:before="0" w:after="283"/>
              <w:jc w:val="left"/>
              <w:rPr>
                <w:sz w:val="18"/>
              </w:rPr>
            </w:pPr>
            <w:r>
              <w:rPr>
                <w:sz w:val="18"/>
              </w:rPr>
              <w:t>The benefit provided by the trigger level may terminate on the valuation date.</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pPr>
            <w:r>
              <w:rPr>
                <w:rFonts w:ascii="Arial;Helvetica;Sans-Serif" w:hAnsi="Arial;Helvetica;Sans-Serif"/>
                <w:b w:val="false"/>
                <w:sz w:val="18"/>
              </w:rPr>
              <w:t>Correlation (or lack of correlation) of performances among the underlying indices may reduce the performance of the basket, and changes in the values of the underlying indices may offset each other</w:t>
            </w:r>
            <w:r>
              <w:rPr>
                <w:b/>
                <w:sz w:val="18"/>
              </w:rPr>
              <w:t>.</w:t>
            </w:r>
          </w:p>
        </w:tc>
      </w:tr>
    </w:tbl>
    <w:tbl>
      <w:tblPr>
        <w:tblW w:w="5000" w:type="pct"/>
        <w:jc w:val="left"/>
        <w:tblInd w:w="0" w:type="dxa"/>
        <w:tblLayout w:type="fixed"/>
        <w:tblCellMar>
          <w:top w:w="0" w:type="dxa"/>
          <w:left w:w="0" w:type="dxa"/>
          <w:bottom w:w="0" w:type="dxa"/>
          <w:right w:w="0" w:type="dxa"/>
        </w:tblCellMar>
      </w:tblPr>
      <w:tblGrid>
        <w:gridCol w:w="92"/>
        <w:gridCol w:w="306"/>
        <w:gridCol w:w="9807"/>
      </w:tblGrid>
      <w:tr>
        <w:trPr/>
        <w:tc>
          <w:tcPr>
            <w:tcW w:w="92"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807" w:type="dxa"/>
            <w:tcBorders/>
            <w:vAlign w:val="center"/>
          </w:tcPr>
          <w:p>
            <w:pPr>
              <w:pStyle w:val="TableContents"/>
              <w:bidi w:val="0"/>
              <w:spacing w:before="0" w:after="283"/>
              <w:jc w:val="left"/>
              <w:rPr/>
            </w:pPr>
            <w:r>
              <w:rPr>
                <w:rFonts w:ascii="Arial;Helvetica;Sans-Serif" w:hAnsi="Arial;Helvetica;Sans-Serif"/>
                <w:b w:val="false"/>
                <w:sz w:val="18"/>
              </w:rPr>
              <w:t>The underlying indices are not equally weighted</w:t>
            </w:r>
            <w:r>
              <w:rPr/>
              <w:t>.</w:t>
            </w:r>
          </w:p>
        </w:tc>
      </w:tr>
    </w:tbl>
    <w:tbl>
      <w:tblPr>
        <w:tblW w:w="5000" w:type="pct"/>
        <w:jc w:val="left"/>
        <w:tblInd w:w="0" w:type="dxa"/>
        <w:tblLayout w:type="fixed"/>
        <w:tblCellMar>
          <w:top w:w="0" w:type="dxa"/>
          <w:left w:w="0" w:type="dxa"/>
          <w:bottom w:w="0" w:type="dxa"/>
          <w:right w:w="0" w:type="dxa"/>
        </w:tblCellMar>
      </w:tblPr>
      <w:tblGrid>
        <w:gridCol w:w="148"/>
        <w:gridCol w:w="488"/>
        <w:gridCol w:w="9569"/>
      </w:tblGrid>
      <w:tr>
        <w:trPr/>
        <w:tc>
          <w:tcPr>
            <w:tcW w:w="14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569" w:type="dxa"/>
            <w:tcBorders/>
            <w:vAlign w:val="center"/>
          </w:tcPr>
          <w:p>
            <w:pPr>
              <w:pStyle w:val="TableContents"/>
              <w:bidi w:val="0"/>
              <w:spacing w:before="0" w:after="283"/>
              <w:jc w:val="left"/>
              <w:rPr>
                <w:sz w:val="18"/>
              </w:rPr>
            </w:pPr>
            <w:r>
              <w:rPr>
                <w:sz w:val="18"/>
              </w:rPr>
              <w:t>Secondary trading may be limited.</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We may accelerate your Trigger PLUS in our sole discretion and the calculation agent may adjust their final payment in good faith and in a commercially reasonable manner if an acceleration event occurs.</w:t>
            </w:r>
          </w:p>
        </w:tc>
      </w:tr>
    </w:tbl>
    <w:tbl>
      <w:tblPr>
        <w:tblW w:w="5000" w:type="pct"/>
        <w:jc w:val="left"/>
        <w:tblInd w:w="0" w:type="dxa"/>
        <w:tblLayout w:type="fixed"/>
        <w:tblCellMar>
          <w:top w:w="0" w:type="dxa"/>
          <w:left w:w="0" w:type="dxa"/>
          <w:bottom w:w="0" w:type="dxa"/>
          <w:right w:w="0" w:type="dxa"/>
        </w:tblCellMar>
      </w:tblPr>
      <w:tblGrid>
        <w:gridCol w:w="51"/>
        <w:gridCol w:w="169"/>
        <w:gridCol w:w="9985"/>
      </w:tblGrid>
      <w:tr>
        <w:trPr/>
        <w:tc>
          <w:tcPr>
            <w:tcW w:w="5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85" w:type="dxa"/>
            <w:tcBorders/>
            <w:vAlign w:val="center"/>
          </w:tcPr>
          <w:p>
            <w:pPr>
              <w:pStyle w:val="TableContents"/>
              <w:bidi w:val="0"/>
              <w:spacing w:before="0" w:after="283"/>
              <w:jc w:val="left"/>
              <w:rPr>
                <w:sz w:val="18"/>
              </w:rPr>
            </w:pPr>
            <w:r>
              <w:rPr>
                <w:sz w:val="18"/>
              </w:rPr>
              <w:t>The final terms and estimated valuation of the Trigger PLUS will be provided in the pricing supplement.</w:t>
            </w:r>
          </w:p>
        </w:tc>
      </w:tr>
    </w:tbl>
    <w:tbl>
      <w:tblPr>
        <w:tblW w:w="5000" w:type="pct"/>
        <w:jc w:val="left"/>
        <w:tblInd w:w="0" w:type="dxa"/>
        <w:tblLayout w:type="fixed"/>
        <w:tblCellMar>
          <w:top w:w="0" w:type="dxa"/>
          <w:left w:w="0" w:type="dxa"/>
          <w:bottom w:w="0" w:type="dxa"/>
          <w:right w:w="0" w:type="dxa"/>
        </w:tblCellMar>
      </w:tblPr>
      <w:tblGrid>
        <w:gridCol w:w="71"/>
        <w:gridCol w:w="234"/>
        <w:gridCol w:w="9900"/>
      </w:tblGrid>
      <w:tr>
        <w:trPr/>
        <w:tc>
          <w:tcPr>
            <w:tcW w:w="7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00" w:type="dxa"/>
            <w:tcBorders/>
            <w:vAlign w:val="center"/>
          </w:tcPr>
          <w:p>
            <w:pPr>
              <w:pStyle w:val="TableContents"/>
              <w:bidi w:val="0"/>
              <w:spacing w:before="0" w:after="283"/>
              <w:jc w:val="left"/>
              <w:rPr>
                <w:sz w:val="18"/>
              </w:rPr>
            </w:pPr>
            <w:r>
              <w:rPr>
                <w:sz w:val="18"/>
              </w:rPr>
              <w:t>The tax consequences of an investment in the Trigger PLUS are uncertain.</w:t>
            </w:r>
          </w:p>
        </w:tc>
      </w:tr>
    </w:tbl>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Conflicts of Interest</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Economic interests of the issuer, the guarantor, the calculation agent, the agent of the offering of the Trigger PLUS and other affiliates of the issuer may be different from those of investors.</w:t>
            </w:r>
          </w:p>
        </w:tc>
      </w:tr>
    </w:tbl>
    <w:tbl>
      <w:tblPr>
        <w:tblW w:w="5000" w:type="pct"/>
        <w:jc w:val="left"/>
        <w:tblInd w:w="0" w:type="dxa"/>
        <w:tblLayout w:type="fixed"/>
        <w:tblCellMar>
          <w:top w:w="0" w:type="dxa"/>
          <w:left w:w="0" w:type="dxa"/>
          <w:bottom w:w="0" w:type="dxa"/>
          <w:right w:w="0" w:type="dxa"/>
        </w:tblCellMar>
      </w:tblPr>
      <w:tblGrid>
        <w:gridCol w:w="46"/>
        <w:gridCol w:w="154"/>
        <w:gridCol w:w="10005"/>
      </w:tblGrid>
      <w:tr>
        <w:trPr/>
        <w:tc>
          <w:tcPr>
            <w:tcW w:w="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05" w:type="dxa"/>
            <w:tcBorders/>
            <w:vAlign w:val="center"/>
          </w:tcPr>
          <w:p>
            <w:pPr>
              <w:pStyle w:val="TableContents"/>
              <w:bidi w:val="0"/>
              <w:spacing w:before="0" w:after="283"/>
              <w:jc w:val="left"/>
              <w:rPr>
                <w:sz w:val="18"/>
              </w:rPr>
            </w:pPr>
            <w:r>
              <w:rPr>
                <w:sz w:val="18"/>
              </w:rPr>
              <w:t>Hedging and trading activities by the issuer and its affiliates could potentially affect the value of the Trigger PLUS.</w:t>
            </w:r>
          </w:p>
        </w:tc>
      </w:tr>
    </w:tbl>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the Estimated Value and Secondary Market Prices of the Trigger PLUS</w:t>
      </w:r>
    </w:p>
    <w:tbl>
      <w:tblPr>
        <w:tblW w:w="5000" w:type="pct"/>
        <w:jc w:val="left"/>
        <w:tblInd w:w="0" w:type="dxa"/>
        <w:tblLayout w:type="fixed"/>
        <w:tblCellMar>
          <w:top w:w="0" w:type="dxa"/>
          <w:left w:w="0" w:type="dxa"/>
          <w:bottom w:w="0" w:type="dxa"/>
          <w:right w:w="0" w:type="dxa"/>
        </w:tblCellMar>
      </w:tblPr>
      <w:tblGrid>
        <w:gridCol w:w="44"/>
        <w:gridCol w:w="145"/>
        <w:gridCol w:w="10016"/>
      </w:tblGrid>
      <w:tr>
        <w:trPr/>
        <w:tc>
          <w:tcPr>
            <w:tcW w:w="4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10016" w:type="dxa"/>
            <w:tcBorders/>
            <w:vAlign w:val="center"/>
          </w:tcPr>
          <w:p>
            <w:pPr>
              <w:pStyle w:val="TableContents"/>
              <w:bidi w:val="0"/>
              <w:spacing w:before="0" w:after="283"/>
              <w:jc w:val="left"/>
              <w:rPr>
                <w:sz w:val="18"/>
              </w:rPr>
            </w:pPr>
            <w:r>
              <w:rPr>
                <w:sz w:val="18"/>
              </w:rPr>
              <w:t>The estimated value of the Trigger PLUS will be lower than the original issue price (price to public) of the Trigger PLUS</w:t>
            </w:r>
            <w:r>
              <w:rPr>
                <w:rFonts w:ascii="Arial;Helvetica;Sans-Serif" w:hAnsi="Arial;Helvetica;Sans-Serif"/>
                <w:b w:val="false"/>
                <w:sz w:val="18"/>
              </w:rPr>
              <w:t>.</w:t>
            </w:r>
          </w:p>
        </w:tc>
      </w:tr>
    </w:tbl>
    <w:tbl>
      <w:tblPr>
        <w:tblW w:w="5000" w:type="pct"/>
        <w:jc w:val="left"/>
        <w:tblInd w:w="0" w:type="dxa"/>
        <w:tblLayout w:type="fixed"/>
        <w:tblCellMar>
          <w:top w:w="0" w:type="dxa"/>
          <w:left w:w="0" w:type="dxa"/>
          <w:bottom w:w="0" w:type="dxa"/>
          <w:right w:w="0" w:type="dxa"/>
        </w:tblCellMar>
      </w:tblPr>
      <w:tblGrid>
        <w:gridCol w:w="40"/>
        <w:gridCol w:w="131"/>
        <w:gridCol w:w="10034"/>
      </w:tblGrid>
      <w:tr>
        <w:trPr/>
        <w:tc>
          <w:tcPr>
            <w:tcW w:w="4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10034" w:type="dxa"/>
            <w:tcBorders/>
            <w:vAlign w:val="center"/>
          </w:tcPr>
          <w:p>
            <w:pPr>
              <w:pStyle w:val="TableContents"/>
              <w:bidi w:val="0"/>
              <w:spacing w:before="0" w:after="283"/>
              <w:jc w:val="left"/>
              <w:rPr>
                <w:sz w:val="18"/>
              </w:rPr>
            </w:pPr>
            <w:r>
              <w:rPr>
                <w:sz w:val="18"/>
              </w:rPr>
              <w:t>The estimated value of the Trigger PLUS does not represent future values of the Trigger PLUS and may differ from others’ estimates</w:t>
            </w:r>
            <w:r>
              <w:rPr>
                <w:rFonts w:ascii="Arial;Helvetica;Sans-Serif" w:hAnsi="Arial;Helvetica;Sans-Serif"/>
                <w:b w:val="false"/>
                <w:sz w:val="18"/>
              </w:rPr>
              <w:t>.</w:t>
            </w:r>
          </w:p>
        </w:tc>
      </w:tr>
    </w:tbl>
    <w:tbl>
      <w:tblPr>
        <w:tblW w:w="5000" w:type="pct"/>
        <w:jc w:val="left"/>
        <w:tblInd w:w="0" w:type="dxa"/>
        <w:tblLayout w:type="fixed"/>
        <w:tblCellMar>
          <w:top w:w="0" w:type="dxa"/>
          <w:left w:w="0" w:type="dxa"/>
          <w:bottom w:w="0" w:type="dxa"/>
          <w:right w:w="0" w:type="dxa"/>
        </w:tblCellMar>
      </w:tblPr>
      <w:tblGrid>
        <w:gridCol w:w="51"/>
        <w:gridCol w:w="170"/>
        <w:gridCol w:w="9984"/>
      </w:tblGrid>
      <w:tr>
        <w:trPr/>
        <w:tc>
          <w:tcPr>
            <w:tcW w:w="5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9984" w:type="dxa"/>
            <w:tcBorders/>
            <w:vAlign w:val="center"/>
          </w:tcPr>
          <w:p>
            <w:pPr>
              <w:pStyle w:val="TableContents"/>
              <w:bidi w:val="0"/>
              <w:spacing w:before="0" w:after="283"/>
              <w:jc w:val="left"/>
              <w:rPr/>
            </w:pPr>
            <w:r>
              <w:rPr>
                <w:rFonts w:ascii="Arial;Helvetica;Sans-Serif" w:hAnsi="Arial;Helvetica;Sans-Serif"/>
                <w:b w:val="false"/>
                <w:sz w:val="18"/>
              </w:rPr>
              <w:t xml:space="preserve">The estimated value of the </w:t>
            </w:r>
            <w:r>
              <w:rPr>
                <w:sz w:val="18"/>
              </w:rPr>
              <w:t xml:space="preserve">Trigger </w:t>
            </w:r>
            <w:r>
              <w:rPr>
                <w:rFonts w:ascii="Arial;Helvetica;Sans-Serif" w:hAnsi="Arial;Helvetica;Sans-Serif"/>
                <w:b w:val="false"/>
                <w:sz w:val="18"/>
              </w:rPr>
              <w:t>PLUS is derived by reference to an internal funding rate.</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10043" w:type="dxa"/>
            <w:tcBorders/>
            <w:vAlign w:val="center"/>
          </w:tcPr>
          <w:p>
            <w:pPr>
              <w:pStyle w:val="TableContents"/>
              <w:bidi w:val="0"/>
              <w:spacing w:before="0" w:after="283"/>
              <w:jc w:val="left"/>
              <w:rPr/>
            </w:pPr>
            <w:r>
              <w:rPr>
                <w:rFonts w:ascii="Arial;Helvetica;Sans-Serif" w:hAnsi="Arial;Helvetica;Sans-Serif"/>
                <w:b w:val="false"/>
                <w:sz w:val="18"/>
              </w:rPr>
              <w:t xml:space="preserve">The value of the </w:t>
            </w:r>
            <w:r>
              <w:rPr>
                <w:sz w:val="18"/>
              </w:rPr>
              <w:t xml:space="preserve">Trigger </w:t>
            </w:r>
            <w:r>
              <w:rPr>
                <w:rFonts w:ascii="Arial;Helvetica;Sans-Serif" w:hAnsi="Arial;Helvetica;Sans-Serif"/>
                <w:b w:val="false"/>
                <w:sz w:val="18"/>
              </w:rPr>
              <w:t xml:space="preserve">PLUS as published by J.P. Morgan Securities LLC (and which may be reflected on customer account statements) may be higher than the then-current estimated value of the </w:t>
            </w:r>
            <w:r>
              <w:rPr>
                <w:sz w:val="18"/>
              </w:rPr>
              <w:t xml:space="preserve">Trigger </w:t>
            </w:r>
            <w:r>
              <w:rPr>
                <w:rFonts w:ascii="Arial;Helvetica;Sans-Serif" w:hAnsi="Arial;Helvetica;Sans-Serif"/>
                <w:b w:val="false"/>
                <w:sz w:val="18"/>
              </w:rPr>
              <w:t>PLUS for a limited time period.</w:t>
            </w:r>
          </w:p>
        </w:tc>
      </w:tr>
    </w:tbl>
    <w:tbl>
      <w:tblPr>
        <w:tblW w:w="5000" w:type="pct"/>
        <w:jc w:val="left"/>
        <w:tblInd w:w="0" w:type="dxa"/>
        <w:tblLayout w:type="fixed"/>
        <w:tblCellMar>
          <w:top w:w="0" w:type="dxa"/>
          <w:left w:w="0" w:type="dxa"/>
          <w:bottom w:w="0" w:type="dxa"/>
          <w:right w:w="0" w:type="dxa"/>
        </w:tblCellMar>
      </w:tblPr>
      <w:tblGrid>
        <w:gridCol w:w="45"/>
        <w:gridCol w:w="151"/>
        <w:gridCol w:w="10009"/>
      </w:tblGrid>
      <w:tr>
        <w:trPr/>
        <w:tc>
          <w:tcPr>
            <w:tcW w:w="4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10009" w:type="dxa"/>
            <w:tcBorders/>
            <w:vAlign w:val="center"/>
          </w:tcPr>
          <w:p>
            <w:pPr>
              <w:pStyle w:val="TableContents"/>
              <w:bidi w:val="0"/>
              <w:spacing w:before="0" w:after="283"/>
              <w:jc w:val="left"/>
              <w:rPr>
                <w:sz w:val="18"/>
              </w:rPr>
            </w:pPr>
            <w:r>
              <w:rPr>
                <w:sz w:val="18"/>
              </w:rPr>
              <w:t>Secondary market prices of the Trigger PLUS will likely be lower than the original issue price of the Trigger PLUS</w:t>
            </w:r>
            <w:r>
              <w:rPr>
                <w:rFonts w:ascii="Arial;Helvetica;Sans-Serif" w:hAnsi="Arial;Helvetica;Sans-Serif"/>
                <w:b w:val="false"/>
                <w:sz w:val="18"/>
              </w:rPr>
              <w:t xml:space="preserve">. </w:t>
            </w:r>
          </w:p>
        </w:tc>
      </w:tr>
    </w:tbl>
    <w:tbl>
      <w:tblPr>
        <w:tblW w:w="5000" w:type="pct"/>
        <w:jc w:val="left"/>
        <w:tblInd w:w="0" w:type="dxa"/>
        <w:tblLayout w:type="fixed"/>
        <w:tblCellMar>
          <w:top w:w="0" w:type="dxa"/>
          <w:left w:w="0" w:type="dxa"/>
          <w:bottom w:w="0" w:type="dxa"/>
          <w:right w:w="0" w:type="dxa"/>
        </w:tblCellMar>
      </w:tblPr>
      <w:tblGrid>
        <w:gridCol w:w="46"/>
        <w:gridCol w:w="153"/>
        <w:gridCol w:w="10006"/>
      </w:tblGrid>
      <w:tr>
        <w:trPr/>
        <w:tc>
          <w:tcPr>
            <w:tcW w:w="4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10006" w:type="dxa"/>
            <w:tcBorders/>
            <w:vAlign w:val="center"/>
          </w:tcPr>
          <w:p>
            <w:pPr>
              <w:pStyle w:val="TableContents"/>
              <w:bidi w:val="0"/>
              <w:spacing w:before="0" w:after="283"/>
              <w:jc w:val="left"/>
              <w:rPr/>
            </w:pPr>
            <w:r>
              <w:rPr>
                <w:rFonts w:ascii="Arial;Helvetica;Sans-Serif" w:hAnsi="Arial;Helvetica;Sans-Serif"/>
                <w:b w:val="false"/>
                <w:sz w:val="18"/>
              </w:rPr>
              <w:t xml:space="preserve">Secondary market prices of the </w:t>
            </w:r>
            <w:r>
              <w:rPr>
                <w:sz w:val="18"/>
              </w:rPr>
              <w:t xml:space="preserve">Trigger </w:t>
            </w:r>
            <w:r>
              <w:rPr>
                <w:rFonts w:ascii="Arial;Helvetica;Sans-Serif" w:hAnsi="Arial;Helvetica;Sans-Serif"/>
                <w:b w:val="false"/>
                <w:sz w:val="18"/>
              </w:rPr>
              <w:t>PLUS will be impacted by many economic and market factors.</w:t>
            </w:r>
          </w:p>
        </w:tc>
      </w:tr>
    </w:tbl>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the Underlying Indices</w:t>
      </w:r>
    </w:p>
    <w:tbl>
      <w:tblPr>
        <w:tblW w:w="5000" w:type="pct"/>
        <w:jc w:val="left"/>
        <w:tblInd w:w="0" w:type="dxa"/>
        <w:tblLayout w:type="fixed"/>
        <w:tblCellMar>
          <w:top w:w="0" w:type="dxa"/>
          <w:left w:w="0" w:type="dxa"/>
          <w:bottom w:w="0" w:type="dxa"/>
          <w:right w:w="0" w:type="dxa"/>
        </w:tblCellMar>
      </w:tblPr>
      <w:tblGrid>
        <w:gridCol w:w="47"/>
        <w:gridCol w:w="157"/>
        <w:gridCol w:w="10001"/>
      </w:tblGrid>
      <w:tr>
        <w:trPr/>
        <w:tc>
          <w:tcPr>
            <w:tcW w:w="4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rFonts w:ascii="Wingdings" w:hAnsi="Wingdings"/>
                <w:color w:val="A3C4EB"/>
              </w:rPr>
            </w:pPr>
            <w:r>
              <w:rPr>
                <w:rFonts w:ascii="Wingdings" w:hAnsi="Wingdings"/>
                <w:color w:val="A3C4EB"/>
              </w:rPr>
              <w:t>§</w:t>
            </w:r>
          </w:p>
        </w:tc>
        <w:tc>
          <w:tcPr>
            <w:tcW w:w="10001"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Investing in the Trigger PLUS is not equivalent to investing in the basket or the underlying indices.</w:t>
            </w:r>
          </w:p>
        </w:tc>
      </w:tr>
    </w:tbl>
    <w:tbl>
      <w:tblPr>
        <w:tblW w:w="5000" w:type="pct"/>
        <w:jc w:val="left"/>
        <w:tblInd w:w="0" w:type="dxa"/>
        <w:tblLayout w:type="fixed"/>
        <w:tblCellMar>
          <w:top w:w="0" w:type="dxa"/>
          <w:left w:w="0" w:type="dxa"/>
          <w:bottom w:w="0" w:type="dxa"/>
          <w:right w:w="0" w:type="dxa"/>
        </w:tblCellMar>
      </w:tblPr>
      <w:tblGrid>
        <w:gridCol w:w="51"/>
        <w:gridCol w:w="171"/>
        <w:gridCol w:w="9983"/>
      </w:tblGrid>
      <w:tr>
        <w:trPr/>
        <w:tc>
          <w:tcPr>
            <w:tcW w:w="5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rFonts w:ascii="Wingdings" w:hAnsi="Wingdings"/>
                <w:color w:val="A3C4EB"/>
              </w:rPr>
            </w:pPr>
            <w:r>
              <w:rPr>
                <w:rFonts w:ascii="Wingdings" w:hAnsi="Wingdings"/>
                <w:color w:val="A3C4EB"/>
              </w:rPr>
              <w:t>§</w:t>
            </w:r>
          </w:p>
        </w:tc>
        <w:tc>
          <w:tcPr>
            <w:tcW w:w="9983"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Adjustments to any underlying index could adversely affect the value of the Trigger PLUS.</w:t>
            </w:r>
          </w:p>
        </w:tc>
      </w:tr>
    </w:tbl>
    <w:tbl>
      <w:tblPr>
        <w:tblW w:w="5000" w:type="pct"/>
        <w:jc w:val="left"/>
        <w:tblInd w:w="0" w:type="dxa"/>
        <w:tblLayout w:type="fixed"/>
        <w:tblCellMar>
          <w:top w:w="0" w:type="dxa"/>
          <w:left w:w="0" w:type="dxa"/>
          <w:bottom w:w="0" w:type="dxa"/>
          <w:right w:w="0" w:type="dxa"/>
        </w:tblCellMar>
      </w:tblPr>
      <w:tblGrid>
        <w:gridCol w:w="48"/>
        <w:gridCol w:w="161"/>
        <w:gridCol w:w="9996"/>
      </w:tblGrid>
      <w:tr>
        <w:trPr/>
        <w:tc>
          <w:tcPr>
            <w:tcW w:w="4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rFonts w:ascii="Wingdings" w:hAnsi="Wingdings"/>
                <w:color w:val="A3C4EB"/>
              </w:rPr>
            </w:pPr>
            <w:r>
              <w:rPr>
                <w:rFonts w:ascii="Wingdings" w:hAnsi="Wingdings"/>
                <w:color w:val="A3C4EB"/>
              </w:rPr>
              <w:t>§</w:t>
            </w:r>
          </w:p>
        </w:tc>
        <w:tc>
          <w:tcPr>
            <w:tcW w:w="9996"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The Trigger PLUS are subject to risks associated with securities issued by non-U.S. companies.</w:t>
            </w:r>
          </w:p>
        </w:tc>
      </w:tr>
    </w:tbl>
    <w:tbl>
      <w:tblPr>
        <w:tblW w:w="5000" w:type="pct"/>
        <w:jc w:val="left"/>
        <w:tblInd w:w="0" w:type="dxa"/>
        <w:tblLayout w:type="fixed"/>
        <w:tblCellMar>
          <w:top w:w="0" w:type="dxa"/>
          <w:left w:w="0" w:type="dxa"/>
          <w:bottom w:w="0" w:type="dxa"/>
          <w:right w:w="0" w:type="dxa"/>
        </w:tblCellMar>
      </w:tblPr>
      <w:tblGrid>
        <w:gridCol w:w="55"/>
        <w:gridCol w:w="182"/>
        <w:gridCol w:w="9968"/>
      </w:tblGrid>
      <w:tr>
        <w:trPr/>
        <w:tc>
          <w:tcPr>
            <w:tcW w:w="55"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rFonts w:ascii="Wingdings" w:hAnsi="Wingdings"/>
                <w:color w:val="A3C4EB"/>
              </w:rPr>
            </w:pPr>
            <w:r>
              <w:rPr>
                <w:rFonts w:ascii="Wingdings" w:hAnsi="Wingdings"/>
                <w:color w:val="A3C4EB"/>
              </w:rPr>
              <w:t>§</w:t>
            </w:r>
          </w:p>
        </w:tc>
        <w:tc>
          <w:tcPr>
            <w:tcW w:w="9968"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The Trigger PLUS are not directly exposed to fluctuations in foreign exchange rates.</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rPr>
            </w:pPr>
            <w:r>
              <w:rPr>
                <w:rFonts w:ascii="Wingdings" w:hAnsi="Wingdings"/>
                <w:color w:val="A3C4EB"/>
              </w:rPr>
              <w:t>§</w:t>
            </w:r>
          </w:p>
        </w:tc>
        <w:tc>
          <w:tcPr>
            <w:tcW w:w="10043"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Governmental legislative and regulatory actions, including sanctions, could adversely affect your investment in the Trigger PLUS.</w:t>
            </w:r>
          </w:p>
        </w:tc>
      </w:tr>
    </w:tbl>
    <w:p>
      <w:pPr>
        <w:pStyle w:val="TextBody"/>
        <w:bidi w:val="0"/>
        <w:spacing w:before="120" w:after="60"/>
        <w:ind w:left="120" w:right="120" w:hanging="0"/>
        <w:jc w:val="left"/>
        <w:rPr>
          <w:rFonts w:ascii="Arial;Helvetica;Sans-Serif" w:hAnsi="Arial;Helvetica;Sans-Serif"/>
          <w:b w:val="false"/>
          <w:i w:val="false"/>
          <w:caps w:val="false"/>
          <w:smallCaps w:val="false"/>
          <w:color w:val="296DC1"/>
          <w:sz w:val="28"/>
        </w:rPr>
      </w:pPr>
      <w:r>
        <w:rPr>
          <w:rFonts w:ascii="Arial;Helvetica;Sans-Serif" w:hAnsi="Arial;Helvetica;Sans-Serif"/>
          <w:b w:val="false"/>
          <w:i w:val="false"/>
          <w:caps w:val="false"/>
          <w:smallCaps w:val="false"/>
          <w:color w:val="296DC1"/>
          <w:sz w:val="28"/>
        </w:rPr>
        <w:t>Tax Considerations</w:t>
      </w:r>
    </w:p>
    <w:p>
      <w:pPr>
        <w:pStyle w:val="TextBody"/>
        <w:bidi w:val="0"/>
        <w:spacing w:before="0" w:after="6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You should review carefully the discussion in the accompanying preliminary pricing supplement under “Additional Information about the Trigger PLUS — Tax considerations” concerning the U.S. federal income tax consequences of an investment in the Trigger PLUS, and you should consult your tax adviser.</w:t>
      </w:r>
    </w:p>
    <w:p>
      <w:pPr>
        <w:pStyle w:val="TextBody"/>
        <w:bidi w:val="0"/>
        <w:spacing w:before="0" w:after="200"/>
        <w:ind w:left="360" w:right="0" w:hanging="0"/>
        <w:jc w:val="left"/>
        <w:rPr>
          <w:caps w:val="false"/>
          <w:smallCaps w:val="false"/>
        </w:rPr>
      </w:pPr>
      <w:r>
        <w:rPr>
          <w:caps w:val="false"/>
          <w:smallCaps w:val="false"/>
        </w:rPr>
        <w:t> </w:t>
      </w:r>
    </w:p>
    <w:p>
      <w:pPr>
        <w:pStyle w:val="TextBody"/>
        <w:pBdr>
          <w:top w:val="single" w:sz="4"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underlying supplement and preliminary pricing supplement if you so request by calling toll-free 1-866-535-9248.</w:t>
      </w:r>
    </w:p>
    <w:p>
      <w:pPr>
        <w:pStyle w:val="TextBody"/>
        <w:bidi w:val="0"/>
        <w:spacing w:before="0" w:after="0"/>
        <w:ind w:left="0" w:right="0" w:hanging="0"/>
        <w:jc w:val="left"/>
        <w:rPr/>
      </w:pPr>
      <w:r>
        <w:rPr/>
        <w:t> </w:t>
      </w:r>
    </w:p>
    <w:p>
      <w:pPr>
        <w:pStyle w:val="TextBody"/>
        <w:bidi w:val="0"/>
        <w:spacing w:before="0" w:after="200"/>
        <w:ind w:left="36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9617/000121390026110411/ea0308874-01_424b2.htm" TargetMode="External"/><Relationship Id="rId3" Type="http://schemas.openxmlformats.org/officeDocument/2006/relationships/hyperlink" Target="http://www.sec.gov/Archives/edgar/data/19617/000121390026110411/ea0308874-01_424b2.htm" TargetMode="External"/><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1424</Words>
  <Characters>7644</Characters>
  <CharactersWithSpaces>8925</CharactersWithSpaces>
  <Paragraphs>188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