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186055</wp:posOffset>
            </wp:positionV>
            <wp:extent cx="27774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205740</wp:posOffset>
            </wp:positionV>
            <wp:extent cx="27774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Date of Report (date of earliest event reported): October 26,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234315</wp:posOffset>
            </wp:positionV>
            <wp:extent cx="2777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JPMorgan Chase &amp; Co.</w:t>
      </w:r>
    </w:p>
    <w:p>
      <w:pPr>
        <w:spacing w:after="0" w:line="46" w:lineRule="exact"/>
        <w:rPr>
          <w:sz w:val="24"/>
          <w:szCs w:val="24"/>
          <w:color w:val="auto"/>
        </w:rPr>
      </w:pPr>
    </w:p>
    <w:p>
      <w:pPr>
        <w:jc w:val="center"/>
        <w:ind w:right="-19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182880</wp:posOffset>
            </wp:positionV>
            <wp:extent cx="2777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tbl>
      <w:tblPr>
        <w:tblLayout w:type="fixed"/>
        <w:tblInd w:w="2460" w:type="dxa"/>
        <w:tblCellMar>
          <w:top w:w="0" w:type="dxa"/>
          <w:left w:w="0" w:type="dxa"/>
          <w:bottom w:w="0" w:type="dxa"/>
          <w:right w:w="0" w:type="dxa"/>
        </w:tblCellMar>
      </w:tblPr>
      <w:tr>
        <w:trPr>
          <w:trHeight w:val="175"/>
        </w:trPr>
        <w:tc>
          <w:tcPr>
            <w:tcW w:w="2440" w:type="dxa"/>
            <w:vAlign w:val="bottom"/>
          </w:tcPr>
          <w:p>
            <w:pPr>
              <w:jc w:val="center"/>
              <w:ind w:right="17"/>
              <w:spacing w:after="0"/>
              <w:rPr>
                <w:sz w:val="20"/>
                <w:szCs w:val="20"/>
                <w:color w:val="auto"/>
              </w:rPr>
            </w:pPr>
            <w:r>
              <w:rPr>
                <w:rFonts w:ascii="Arial" w:cs="Arial" w:eastAsia="Arial" w:hAnsi="Arial"/>
                <w:sz w:val="13"/>
                <w:szCs w:val="13"/>
                <w:b w:val="1"/>
                <w:bCs w:val="1"/>
                <w:color w:val="auto"/>
                <w:w w:val="98"/>
              </w:rPr>
              <w:t>Delaware</w:t>
            </w:r>
          </w:p>
        </w:tc>
        <w:tc>
          <w:tcPr>
            <w:tcW w:w="2000" w:type="dxa"/>
            <w:vAlign w:val="bottom"/>
          </w:tcPr>
          <w:p>
            <w:pPr>
              <w:jc w:val="right"/>
              <w:ind w:right="857"/>
              <w:spacing w:after="0"/>
              <w:rPr>
                <w:sz w:val="20"/>
                <w:szCs w:val="20"/>
                <w:color w:val="auto"/>
              </w:rPr>
            </w:pPr>
            <w:r>
              <w:rPr>
                <w:rFonts w:ascii="Arial" w:cs="Arial" w:eastAsia="Arial" w:hAnsi="Arial"/>
                <w:sz w:val="13"/>
                <w:szCs w:val="13"/>
                <w:b w:val="1"/>
                <w:bCs w:val="1"/>
                <w:color w:val="auto"/>
              </w:rPr>
              <w:t>1-5805</w:t>
            </w:r>
          </w:p>
        </w:tc>
        <w:tc>
          <w:tcPr>
            <w:tcW w:w="1380" w:type="dxa"/>
            <w:vAlign w:val="bottom"/>
          </w:tcPr>
          <w:p>
            <w:pPr>
              <w:jc w:val="right"/>
              <w:ind w:right="117"/>
              <w:spacing w:after="0"/>
              <w:rPr>
                <w:sz w:val="20"/>
                <w:szCs w:val="20"/>
                <w:color w:val="auto"/>
              </w:rPr>
            </w:pPr>
            <w:r>
              <w:rPr>
                <w:rFonts w:ascii="Arial" w:cs="Arial" w:eastAsia="Arial" w:hAnsi="Arial"/>
                <w:sz w:val="13"/>
                <w:szCs w:val="13"/>
                <w:b w:val="1"/>
                <w:bCs w:val="1"/>
                <w:color w:val="auto"/>
              </w:rPr>
              <w:t>13-2624428</w:t>
            </w:r>
          </w:p>
        </w:tc>
      </w:tr>
      <w:tr>
        <w:trPr>
          <w:trHeight w:val="130"/>
        </w:trPr>
        <w:tc>
          <w:tcPr>
            <w:tcW w:w="2440" w:type="dxa"/>
            <w:vAlign w:val="bottom"/>
          </w:tcPr>
          <w:p>
            <w:pPr>
              <w:jc w:val="center"/>
              <w:ind w:right="17"/>
              <w:spacing w:after="0" w:line="130" w:lineRule="exact"/>
              <w:rPr>
                <w:sz w:val="20"/>
                <w:szCs w:val="20"/>
                <w:color w:val="auto"/>
              </w:rPr>
            </w:pPr>
            <w:r>
              <w:rPr>
                <w:rFonts w:ascii="Arial" w:cs="Arial" w:eastAsia="Arial" w:hAnsi="Arial"/>
                <w:sz w:val="13"/>
                <w:szCs w:val="13"/>
                <w:b w:val="1"/>
                <w:bCs w:val="1"/>
                <w:color w:val="auto"/>
                <w:w w:val="96"/>
              </w:rPr>
              <w:t>(State or other jurisdiction of</w:t>
            </w:r>
          </w:p>
        </w:tc>
        <w:tc>
          <w:tcPr>
            <w:tcW w:w="2000" w:type="dxa"/>
            <w:vAlign w:val="bottom"/>
          </w:tcPr>
          <w:p>
            <w:pPr>
              <w:jc w:val="center"/>
              <w:ind w:right="177"/>
              <w:spacing w:after="0" w:line="130" w:lineRule="exact"/>
              <w:rPr>
                <w:sz w:val="20"/>
                <w:szCs w:val="20"/>
                <w:color w:val="auto"/>
              </w:rPr>
            </w:pPr>
            <w:r>
              <w:rPr>
                <w:rFonts w:ascii="Arial" w:cs="Arial" w:eastAsia="Arial" w:hAnsi="Arial"/>
                <w:sz w:val="13"/>
                <w:szCs w:val="13"/>
                <w:b w:val="1"/>
                <w:bCs w:val="1"/>
                <w:color w:val="auto"/>
                <w:w w:val="96"/>
              </w:rPr>
              <w:t>(Commission File Number)</w:t>
            </w:r>
          </w:p>
        </w:tc>
        <w:tc>
          <w:tcPr>
            <w:tcW w:w="1380" w:type="dxa"/>
            <w:vAlign w:val="bottom"/>
          </w:tcPr>
          <w:p>
            <w:pPr>
              <w:jc w:val="center"/>
              <w:ind w:left="277"/>
              <w:spacing w:after="0" w:line="130" w:lineRule="exact"/>
              <w:rPr>
                <w:sz w:val="20"/>
                <w:szCs w:val="20"/>
                <w:color w:val="auto"/>
              </w:rPr>
            </w:pPr>
            <w:r>
              <w:rPr>
                <w:rFonts w:ascii="Arial" w:cs="Arial" w:eastAsia="Arial" w:hAnsi="Arial"/>
                <w:sz w:val="13"/>
                <w:szCs w:val="13"/>
                <w:b w:val="1"/>
                <w:bCs w:val="1"/>
                <w:color w:val="auto"/>
                <w:w w:val="97"/>
              </w:rPr>
              <w:t>(I.R.S. employer</w:t>
            </w:r>
          </w:p>
        </w:tc>
      </w:tr>
      <w:tr>
        <w:trPr>
          <w:trHeight w:val="176"/>
        </w:trPr>
        <w:tc>
          <w:tcPr>
            <w:tcW w:w="244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incorporation or organization)</w:t>
            </w:r>
          </w:p>
        </w:tc>
        <w:tc>
          <w:tcPr>
            <w:tcW w:w="2000" w:type="dxa"/>
            <w:vAlign w:val="bottom"/>
          </w:tcPr>
          <w:p>
            <w:pPr>
              <w:spacing w:after="0"/>
              <w:rPr>
                <w:sz w:val="15"/>
                <w:szCs w:val="15"/>
                <w:color w:val="auto"/>
              </w:rPr>
            </w:pPr>
          </w:p>
        </w:tc>
        <w:tc>
          <w:tcPr>
            <w:tcW w:w="1380" w:type="dxa"/>
            <w:vAlign w:val="bottom"/>
          </w:tcPr>
          <w:p>
            <w:pPr>
              <w:jc w:val="center"/>
              <w:ind w:left="277"/>
              <w:spacing w:after="0"/>
              <w:rPr>
                <w:sz w:val="20"/>
                <w:szCs w:val="20"/>
                <w:color w:val="auto"/>
              </w:rPr>
            </w:pPr>
            <w:r>
              <w:rPr>
                <w:rFonts w:ascii="Arial" w:cs="Arial" w:eastAsia="Arial" w:hAnsi="Arial"/>
                <w:sz w:val="13"/>
                <w:szCs w:val="13"/>
                <w:b w:val="1"/>
                <w:bCs w:val="1"/>
                <w:color w:val="auto"/>
                <w:w w:val="95"/>
              </w:rPr>
              <w:t>identification no.)</w:t>
            </w:r>
          </w:p>
        </w:tc>
      </w:tr>
      <w:tr>
        <w:trPr>
          <w:trHeight w:val="329"/>
        </w:trPr>
        <w:tc>
          <w:tcPr>
            <w:tcW w:w="244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383 Madison Avenue,</w:t>
            </w:r>
          </w:p>
        </w:tc>
        <w:tc>
          <w:tcPr>
            <w:tcW w:w="20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6"/>
        </w:trPr>
        <w:tc>
          <w:tcPr>
            <w:tcW w:w="2440" w:type="dxa"/>
            <w:vAlign w:val="bottom"/>
          </w:tcPr>
          <w:p>
            <w:pPr>
              <w:ind w:left="560"/>
              <w:spacing w:after="0"/>
              <w:rPr>
                <w:sz w:val="20"/>
                <w:szCs w:val="20"/>
                <w:color w:val="auto"/>
              </w:rPr>
            </w:pPr>
            <w:r>
              <w:rPr>
                <w:rFonts w:ascii="Arial" w:cs="Arial" w:eastAsia="Arial" w:hAnsi="Arial"/>
                <w:sz w:val="13"/>
                <w:szCs w:val="13"/>
                <w:b w:val="1"/>
                <w:bCs w:val="1"/>
                <w:color w:val="auto"/>
              </w:rPr>
              <w:t>New York, New York</w:t>
            </w:r>
          </w:p>
        </w:tc>
        <w:tc>
          <w:tcPr>
            <w:tcW w:w="2000" w:type="dxa"/>
            <w:vAlign w:val="bottom"/>
          </w:tcPr>
          <w:p>
            <w:pPr>
              <w:spacing w:after="0"/>
              <w:rPr>
                <w:sz w:val="15"/>
                <w:szCs w:val="15"/>
                <w:color w:val="auto"/>
              </w:rPr>
            </w:pPr>
          </w:p>
        </w:tc>
        <w:tc>
          <w:tcPr>
            <w:tcW w:w="1380" w:type="dxa"/>
            <w:vAlign w:val="bottom"/>
          </w:tcPr>
          <w:p>
            <w:pPr>
              <w:jc w:val="right"/>
              <w:ind w:right="277"/>
              <w:spacing w:after="0"/>
              <w:rPr>
                <w:sz w:val="20"/>
                <w:szCs w:val="20"/>
                <w:color w:val="auto"/>
              </w:rPr>
            </w:pPr>
            <w:r>
              <w:rPr>
                <w:rFonts w:ascii="Arial" w:cs="Arial" w:eastAsia="Arial" w:hAnsi="Arial"/>
                <w:sz w:val="13"/>
                <w:szCs w:val="13"/>
                <w:b w:val="1"/>
                <w:bCs w:val="1"/>
                <w:color w:val="auto"/>
              </w:rPr>
              <w:t>10179</w:t>
            </w:r>
          </w:p>
        </w:tc>
      </w:tr>
      <w:tr>
        <w:trPr>
          <w:trHeight w:val="216"/>
        </w:trPr>
        <w:tc>
          <w:tcPr>
            <w:tcW w:w="2440" w:type="dxa"/>
            <w:vAlign w:val="bottom"/>
          </w:tcPr>
          <w:p>
            <w:pPr>
              <w:jc w:val="center"/>
              <w:ind w:right="17"/>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2000" w:type="dxa"/>
            <w:vAlign w:val="bottom"/>
          </w:tcPr>
          <w:p>
            <w:pPr>
              <w:spacing w:after="0"/>
              <w:rPr>
                <w:sz w:val="18"/>
                <w:szCs w:val="18"/>
                <w:color w:val="auto"/>
              </w:rPr>
            </w:pPr>
          </w:p>
        </w:tc>
        <w:tc>
          <w:tcPr>
            <w:tcW w:w="1380" w:type="dxa"/>
            <w:vAlign w:val="bottom"/>
          </w:tcPr>
          <w:p>
            <w:pPr>
              <w:jc w:val="center"/>
              <w:ind w:left="297"/>
              <w:spacing w:after="0"/>
              <w:rPr>
                <w:sz w:val="20"/>
                <w:szCs w:val="20"/>
                <w:color w:val="auto"/>
              </w:rPr>
            </w:pPr>
            <w:r>
              <w:rPr>
                <w:rFonts w:ascii="Arial" w:cs="Arial" w:eastAsia="Arial" w:hAnsi="Arial"/>
                <w:sz w:val="13"/>
                <w:szCs w:val="13"/>
                <w:b w:val="1"/>
                <w:bCs w:val="1"/>
                <w:color w:val="auto"/>
                <w:w w:val="96"/>
              </w:rPr>
              <w:t>(Zip Code)</w:t>
            </w:r>
          </w:p>
        </w:tc>
      </w:tr>
    </w:tbl>
    <w:p>
      <w:pPr>
        <w:spacing w:after="0" w:line="130"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Registrant’s telephone number, including area code: (212) 270-6000</w:t>
      </w:r>
    </w:p>
    <w:p>
      <w:pPr>
        <w:spacing w:after="0" w:line="11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Check the appropriate box below if the Form 8-K filing is intended to simultaneously satisfy the filing obligation of the registrant under any of the following provisions:</w:t>
      </w:r>
    </w:p>
    <w:p>
      <w:pPr>
        <w:spacing w:after="0" w:line="134"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Written communications pursuant to Rule 425 under the Securities Act (17 CFR 230.425)</w:t>
      </w:r>
    </w:p>
    <w:p>
      <w:pPr>
        <w:spacing w:after="0" w:line="147"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Soliciting material pursuant to Rule 14a-12 under the Exchange Act (17 CFR 240.14a-12)</w:t>
      </w:r>
    </w:p>
    <w:p>
      <w:pPr>
        <w:spacing w:after="0" w:line="228"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Pre-commencement communications pursuant to Rule 14d-2(b) under the Exchange Act (17 CFR 240.14d-2(b))</w:t>
      </w:r>
    </w:p>
    <w:p>
      <w:pPr>
        <w:spacing w:after="0" w:line="147"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Pre-commencement communications pursuant to Rule 13e-4(c) under the Exchange Act (17 CFR 240.13e-4(c))</w:t>
      </w:r>
    </w:p>
    <w:p>
      <w:pPr>
        <w:spacing w:after="0" w:line="156"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49"/>
        </w:trPr>
        <w:tc>
          <w:tcPr>
            <w:tcW w:w="10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Title of each class</w:t>
            </w:r>
          </w:p>
        </w:tc>
        <w:tc>
          <w:tcPr>
            <w:tcW w:w="4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Trading Symbol(s)</w:t>
            </w: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188"/>
        </w:trPr>
        <w:tc>
          <w:tcPr>
            <w:tcW w:w="5900" w:type="dxa"/>
            <w:vAlign w:val="bottom"/>
            <w:gridSpan w:val="2"/>
          </w:tcPr>
          <w:p>
            <w:pPr>
              <w:spacing w:after="0"/>
              <w:rPr>
                <w:sz w:val="20"/>
                <w:szCs w:val="20"/>
                <w:color w:val="auto"/>
              </w:rPr>
            </w:pPr>
            <w:r>
              <w:rPr>
                <w:rFonts w:ascii="Arial" w:cs="Arial" w:eastAsia="Arial" w:hAnsi="Arial"/>
                <w:sz w:val="13"/>
                <w:szCs w:val="13"/>
                <w:b w:val="1"/>
                <w:bCs w:val="1"/>
                <w:color w:val="auto"/>
              </w:rPr>
              <w:t>Common stock</w:t>
            </w:r>
          </w:p>
        </w:tc>
        <w:tc>
          <w:tcPr>
            <w:tcW w:w="1700" w:type="dxa"/>
            <w:vAlign w:val="bottom"/>
            <w:gridSpan w:val="3"/>
          </w:tcPr>
          <w:p>
            <w:pPr>
              <w:ind w:left="60"/>
              <w:spacing w:after="0"/>
              <w:rPr>
                <w:sz w:val="20"/>
                <w:szCs w:val="20"/>
                <w:color w:val="auto"/>
              </w:rPr>
            </w:pPr>
            <w:r>
              <w:rPr>
                <w:rFonts w:ascii="Arial" w:cs="Arial" w:eastAsia="Arial" w:hAnsi="Arial"/>
                <w:sz w:val="13"/>
                <w:szCs w:val="13"/>
                <w:b w:val="1"/>
                <w:bCs w:val="1"/>
                <w:color w:val="auto"/>
              </w:rPr>
              <w:t>JPM</w:t>
            </w:r>
          </w:p>
        </w:tc>
        <w:tc>
          <w:tcPr>
            <w:tcW w:w="3200" w:type="dxa"/>
            <w:vAlign w:val="bottom"/>
            <w:gridSpan w:val="2"/>
          </w:tcPr>
          <w:p>
            <w:pPr>
              <w:ind w:left="540"/>
              <w:spacing w:after="0"/>
              <w:rPr>
                <w:sz w:val="20"/>
                <w:szCs w:val="20"/>
                <w:color w:val="auto"/>
              </w:rPr>
            </w:pPr>
            <w:r>
              <w:rPr>
                <w:rFonts w:ascii="Arial" w:cs="Arial" w:eastAsia="Arial" w:hAnsi="Arial"/>
                <w:sz w:val="13"/>
                <w:szCs w:val="13"/>
                <w:b w:val="1"/>
                <w:bCs w:val="1"/>
                <w:color w:val="auto"/>
              </w:rPr>
              <w:t>The New York Stock Exchange</w:t>
            </w:r>
          </w:p>
        </w:tc>
      </w:tr>
      <w:tr>
        <w:trPr>
          <w:trHeight w:val="130"/>
        </w:trPr>
        <w:tc>
          <w:tcPr>
            <w:tcW w:w="5900" w:type="dxa"/>
            <w:vAlign w:val="bottom"/>
            <w:gridSpan w:val="2"/>
          </w:tcPr>
          <w:p>
            <w:pPr>
              <w:spacing w:after="0" w:line="130"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5.75% Non-</w:t>
            </w:r>
          </w:p>
        </w:tc>
        <w:tc>
          <w:tcPr>
            <w:tcW w:w="1700" w:type="dxa"/>
            <w:vAlign w:val="bottom"/>
            <w:gridSpan w:val="3"/>
          </w:tcPr>
          <w:p>
            <w:pPr>
              <w:ind w:left="60"/>
              <w:spacing w:after="0" w:line="130" w:lineRule="exact"/>
              <w:rPr>
                <w:sz w:val="20"/>
                <w:szCs w:val="20"/>
                <w:color w:val="auto"/>
              </w:rPr>
            </w:pPr>
            <w:r>
              <w:rPr>
                <w:rFonts w:ascii="Arial" w:cs="Arial" w:eastAsia="Arial" w:hAnsi="Arial"/>
                <w:sz w:val="13"/>
                <w:szCs w:val="13"/>
                <w:b w:val="1"/>
                <w:bCs w:val="1"/>
                <w:color w:val="auto"/>
              </w:rPr>
              <w:t>JPM PR D</w:t>
            </w:r>
          </w:p>
        </w:tc>
        <w:tc>
          <w:tcPr>
            <w:tcW w:w="3200" w:type="dxa"/>
            <w:vAlign w:val="bottom"/>
            <w:gridSpan w:val="2"/>
          </w:tcPr>
          <w:p>
            <w:pPr>
              <w:ind w:left="540"/>
              <w:spacing w:after="0" w:line="130" w:lineRule="exact"/>
              <w:rPr>
                <w:sz w:val="20"/>
                <w:szCs w:val="20"/>
                <w:color w:val="auto"/>
              </w:rPr>
            </w:pPr>
            <w:r>
              <w:rPr>
                <w:rFonts w:ascii="Arial" w:cs="Arial" w:eastAsia="Arial" w:hAnsi="Arial"/>
                <w:sz w:val="13"/>
                <w:szCs w:val="13"/>
                <w:b w:val="1"/>
                <w:bCs w:val="1"/>
                <w:color w:val="auto"/>
              </w:rPr>
              <w:t>The New York Stock Exchange</w:t>
            </w:r>
          </w:p>
        </w:tc>
      </w:tr>
      <w:tr>
        <w:trPr>
          <w:trHeight w:val="176"/>
        </w:trPr>
        <w:tc>
          <w:tcPr>
            <w:tcW w:w="590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DD</w:t>
            </w: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135"/>
        </w:trPr>
        <w:tc>
          <w:tcPr>
            <w:tcW w:w="590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6.00% Non-</w:t>
            </w:r>
          </w:p>
        </w:tc>
        <w:tc>
          <w:tcPr>
            <w:tcW w:w="1700" w:type="dxa"/>
            <w:vAlign w:val="bottom"/>
            <w:gridSpan w:val="3"/>
          </w:tcPr>
          <w:p>
            <w:pPr>
              <w:ind w:left="60"/>
              <w:spacing w:after="0" w:line="134" w:lineRule="exact"/>
              <w:rPr>
                <w:sz w:val="20"/>
                <w:szCs w:val="20"/>
                <w:color w:val="auto"/>
              </w:rPr>
            </w:pPr>
            <w:r>
              <w:rPr>
                <w:rFonts w:ascii="Arial" w:cs="Arial" w:eastAsia="Arial" w:hAnsi="Arial"/>
                <w:sz w:val="13"/>
                <w:szCs w:val="13"/>
                <w:b w:val="1"/>
                <w:bCs w:val="1"/>
                <w:color w:val="auto"/>
              </w:rPr>
              <w:t>JPM PR C</w:t>
            </w:r>
          </w:p>
        </w:tc>
        <w:tc>
          <w:tcPr>
            <w:tcW w:w="3200" w:type="dxa"/>
            <w:vAlign w:val="bottom"/>
            <w:gridSpan w:val="2"/>
          </w:tcPr>
          <w:p>
            <w:pPr>
              <w:ind w:left="540"/>
              <w:spacing w:after="0" w:line="134" w:lineRule="exact"/>
              <w:rPr>
                <w:sz w:val="20"/>
                <w:szCs w:val="20"/>
                <w:color w:val="auto"/>
              </w:rPr>
            </w:pPr>
            <w:r>
              <w:rPr>
                <w:rFonts w:ascii="Arial" w:cs="Arial" w:eastAsia="Arial" w:hAnsi="Arial"/>
                <w:sz w:val="13"/>
                <w:szCs w:val="13"/>
                <w:b w:val="1"/>
                <w:bCs w:val="1"/>
                <w:color w:val="auto"/>
              </w:rPr>
              <w:t>The New York Stock Exchange</w:t>
            </w:r>
          </w:p>
        </w:tc>
      </w:tr>
      <w:tr>
        <w:trPr>
          <w:trHeight w:val="176"/>
        </w:trPr>
        <w:tc>
          <w:tcPr>
            <w:tcW w:w="590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EE</w:t>
            </w: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135"/>
        </w:trPr>
        <w:tc>
          <w:tcPr>
            <w:tcW w:w="590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4.75% Non-</w:t>
            </w:r>
          </w:p>
        </w:tc>
        <w:tc>
          <w:tcPr>
            <w:tcW w:w="1700" w:type="dxa"/>
            <w:vAlign w:val="bottom"/>
            <w:gridSpan w:val="3"/>
          </w:tcPr>
          <w:p>
            <w:pPr>
              <w:ind w:left="60"/>
              <w:spacing w:after="0" w:line="134" w:lineRule="exact"/>
              <w:rPr>
                <w:sz w:val="20"/>
                <w:szCs w:val="20"/>
                <w:color w:val="auto"/>
              </w:rPr>
            </w:pPr>
            <w:r>
              <w:rPr>
                <w:rFonts w:ascii="Arial" w:cs="Arial" w:eastAsia="Arial" w:hAnsi="Arial"/>
                <w:sz w:val="13"/>
                <w:szCs w:val="13"/>
                <w:b w:val="1"/>
                <w:bCs w:val="1"/>
                <w:color w:val="auto"/>
              </w:rPr>
              <w:t>JPM PR J</w:t>
            </w:r>
          </w:p>
        </w:tc>
        <w:tc>
          <w:tcPr>
            <w:tcW w:w="3200" w:type="dxa"/>
            <w:vAlign w:val="bottom"/>
            <w:gridSpan w:val="2"/>
          </w:tcPr>
          <w:p>
            <w:pPr>
              <w:ind w:left="540"/>
              <w:spacing w:after="0" w:line="134" w:lineRule="exact"/>
              <w:rPr>
                <w:sz w:val="20"/>
                <w:szCs w:val="20"/>
                <w:color w:val="auto"/>
              </w:rPr>
            </w:pPr>
            <w:r>
              <w:rPr>
                <w:rFonts w:ascii="Arial" w:cs="Arial" w:eastAsia="Arial" w:hAnsi="Arial"/>
                <w:sz w:val="13"/>
                <w:szCs w:val="13"/>
                <w:b w:val="1"/>
                <w:bCs w:val="1"/>
                <w:color w:val="auto"/>
              </w:rPr>
              <w:t>The New York Stock Exchange</w:t>
            </w:r>
          </w:p>
        </w:tc>
      </w:tr>
      <w:tr>
        <w:trPr>
          <w:trHeight w:val="176"/>
        </w:trPr>
        <w:tc>
          <w:tcPr>
            <w:tcW w:w="590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GG</w:t>
            </w: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135"/>
        </w:trPr>
        <w:tc>
          <w:tcPr>
            <w:tcW w:w="590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4.55% Non-</w:t>
            </w:r>
          </w:p>
        </w:tc>
        <w:tc>
          <w:tcPr>
            <w:tcW w:w="1700" w:type="dxa"/>
            <w:vAlign w:val="bottom"/>
            <w:gridSpan w:val="3"/>
          </w:tcPr>
          <w:p>
            <w:pPr>
              <w:ind w:left="60"/>
              <w:spacing w:after="0" w:line="134" w:lineRule="exact"/>
              <w:rPr>
                <w:sz w:val="20"/>
                <w:szCs w:val="20"/>
                <w:color w:val="auto"/>
              </w:rPr>
            </w:pPr>
            <w:r>
              <w:rPr>
                <w:rFonts w:ascii="Arial" w:cs="Arial" w:eastAsia="Arial" w:hAnsi="Arial"/>
                <w:sz w:val="13"/>
                <w:szCs w:val="13"/>
                <w:b w:val="1"/>
                <w:bCs w:val="1"/>
                <w:color w:val="auto"/>
              </w:rPr>
              <w:t>JPM PR K</w:t>
            </w:r>
          </w:p>
        </w:tc>
        <w:tc>
          <w:tcPr>
            <w:tcW w:w="3200" w:type="dxa"/>
            <w:vAlign w:val="bottom"/>
            <w:gridSpan w:val="2"/>
          </w:tcPr>
          <w:p>
            <w:pPr>
              <w:ind w:left="540"/>
              <w:spacing w:after="0" w:line="134" w:lineRule="exact"/>
              <w:rPr>
                <w:sz w:val="20"/>
                <w:szCs w:val="20"/>
                <w:color w:val="auto"/>
              </w:rPr>
            </w:pPr>
            <w:r>
              <w:rPr>
                <w:rFonts w:ascii="Arial" w:cs="Arial" w:eastAsia="Arial" w:hAnsi="Arial"/>
                <w:sz w:val="13"/>
                <w:szCs w:val="13"/>
                <w:b w:val="1"/>
                <w:bCs w:val="1"/>
                <w:color w:val="auto"/>
              </w:rPr>
              <w:t>The New York Stock Exchange</w:t>
            </w:r>
          </w:p>
        </w:tc>
      </w:tr>
      <w:tr>
        <w:trPr>
          <w:trHeight w:val="176"/>
        </w:trPr>
        <w:tc>
          <w:tcPr>
            <w:tcW w:w="5900" w:type="dxa"/>
            <w:vAlign w:val="bottom"/>
            <w:gridSpan w:val="2"/>
          </w:tcPr>
          <w:p>
            <w:pPr>
              <w:spacing w:after="0"/>
              <w:rPr>
                <w:sz w:val="20"/>
                <w:szCs w:val="20"/>
                <w:color w:val="auto"/>
              </w:rPr>
            </w:pPr>
            <w:r>
              <w:rPr>
                <w:rFonts w:ascii="Arial" w:cs="Arial" w:eastAsia="Arial" w:hAnsi="Arial"/>
                <w:sz w:val="13"/>
                <w:szCs w:val="13"/>
                <w:b w:val="1"/>
                <w:bCs w:val="1"/>
                <w:color w:val="auto"/>
              </w:rPr>
              <w:t>Cumulative Preferred Stock, Series JJ</w:t>
            </w: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135"/>
        </w:trPr>
        <w:tc>
          <w:tcPr>
            <w:tcW w:w="590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4.625% Non-</w:t>
            </w:r>
          </w:p>
        </w:tc>
        <w:tc>
          <w:tcPr>
            <w:tcW w:w="1700" w:type="dxa"/>
            <w:vAlign w:val="bottom"/>
            <w:gridSpan w:val="3"/>
          </w:tcPr>
          <w:p>
            <w:pPr>
              <w:ind w:left="60"/>
              <w:spacing w:after="0" w:line="134" w:lineRule="exact"/>
              <w:rPr>
                <w:sz w:val="20"/>
                <w:szCs w:val="20"/>
                <w:color w:val="auto"/>
              </w:rPr>
            </w:pPr>
            <w:r>
              <w:rPr>
                <w:rFonts w:ascii="Arial" w:cs="Arial" w:eastAsia="Arial" w:hAnsi="Arial"/>
                <w:sz w:val="13"/>
                <w:szCs w:val="13"/>
                <w:b w:val="1"/>
                <w:bCs w:val="1"/>
                <w:color w:val="auto"/>
              </w:rPr>
              <w:t>JPM PR L</w:t>
            </w:r>
          </w:p>
        </w:tc>
        <w:tc>
          <w:tcPr>
            <w:tcW w:w="3200" w:type="dxa"/>
            <w:vAlign w:val="bottom"/>
            <w:gridSpan w:val="2"/>
          </w:tcPr>
          <w:p>
            <w:pPr>
              <w:ind w:left="540"/>
              <w:spacing w:after="0" w:line="134" w:lineRule="exact"/>
              <w:rPr>
                <w:sz w:val="20"/>
                <w:szCs w:val="20"/>
                <w:color w:val="auto"/>
              </w:rPr>
            </w:pPr>
            <w:r>
              <w:rPr>
                <w:rFonts w:ascii="Arial" w:cs="Arial" w:eastAsia="Arial" w:hAnsi="Arial"/>
                <w:sz w:val="13"/>
                <w:szCs w:val="13"/>
                <w:b w:val="1"/>
                <w:bCs w:val="1"/>
                <w:color w:val="auto"/>
              </w:rPr>
              <w:t>The New York Stock Exchange</w:t>
            </w:r>
          </w:p>
        </w:tc>
      </w:tr>
      <w:tr>
        <w:trPr>
          <w:trHeight w:val="176"/>
        </w:trPr>
        <w:tc>
          <w:tcPr>
            <w:tcW w:w="5900" w:type="dxa"/>
            <w:vAlign w:val="bottom"/>
            <w:gridSpan w:val="2"/>
          </w:tcPr>
          <w:p>
            <w:pPr>
              <w:spacing w:after="0"/>
              <w:rPr>
                <w:sz w:val="20"/>
                <w:szCs w:val="20"/>
                <w:color w:val="auto"/>
              </w:rPr>
            </w:pPr>
            <w:r>
              <w:rPr>
                <w:rFonts w:ascii="Arial" w:cs="Arial" w:eastAsia="Arial" w:hAnsi="Arial"/>
                <w:sz w:val="13"/>
                <w:szCs w:val="13"/>
                <w:b w:val="1"/>
                <w:bCs w:val="1"/>
                <w:color w:val="auto"/>
              </w:rPr>
              <w:t>Cumulative Preferred Stock, Series LL</w:t>
            </w: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135"/>
        </w:trPr>
        <w:tc>
          <w:tcPr>
            <w:tcW w:w="590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4.20% Non-</w:t>
            </w:r>
          </w:p>
        </w:tc>
        <w:tc>
          <w:tcPr>
            <w:tcW w:w="1700" w:type="dxa"/>
            <w:vAlign w:val="bottom"/>
            <w:gridSpan w:val="3"/>
          </w:tcPr>
          <w:p>
            <w:pPr>
              <w:ind w:left="60"/>
              <w:spacing w:after="0" w:line="134" w:lineRule="exact"/>
              <w:rPr>
                <w:sz w:val="20"/>
                <w:szCs w:val="20"/>
                <w:color w:val="auto"/>
              </w:rPr>
            </w:pPr>
            <w:r>
              <w:rPr>
                <w:rFonts w:ascii="Arial" w:cs="Arial" w:eastAsia="Arial" w:hAnsi="Arial"/>
                <w:sz w:val="13"/>
                <w:szCs w:val="13"/>
                <w:b w:val="1"/>
                <w:bCs w:val="1"/>
                <w:color w:val="auto"/>
              </w:rPr>
              <w:t>JPM PR M</w:t>
            </w:r>
          </w:p>
        </w:tc>
        <w:tc>
          <w:tcPr>
            <w:tcW w:w="3200" w:type="dxa"/>
            <w:vAlign w:val="bottom"/>
            <w:gridSpan w:val="2"/>
          </w:tcPr>
          <w:p>
            <w:pPr>
              <w:ind w:left="540"/>
              <w:spacing w:after="0" w:line="134" w:lineRule="exact"/>
              <w:rPr>
                <w:sz w:val="20"/>
                <w:szCs w:val="20"/>
                <w:color w:val="auto"/>
              </w:rPr>
            </w:pPr>
            <w:r>
              <w:rPr>
                <w:rFonts w:ascii="Arial" w:cs="Arial" w:eastAsia="Arial" w:hAnsi="Arial"/>
                <w:sz w:val="13"/>
                <w:szCs w:val="13"/>
                <w:b w:val="1"/>
                <w:bCs w:val="1"/>
                <w:color w:val="auto"/>
              </w:rPr>
              <w:t>The New York Stock Exchange</w:t>
            </w:r>
          </w:p>
        </w:tc>
      </w:tr>
      <w:tr>
        <w:trPr>
          <w:trHeight w:val="176"/>
        </w:trPr>
        <w:tc>
          <w:tcPr>
            <w:tcW w:w="5900" w:type="dxa"/>
            <w:vAlign w:val="bottom"/>
            <w:gridSpan w:val="2"/>
          </w:tcPr>
          <w:p>
            <w:pPr>
              <w:spacing w:after="0"/>
              <w:rPr>
                <w:sz w:val="20"/>
                <w:szCs w:val="20"/>
                <w:color w:val="auto"/>
              </w:rPr>
            </w:pPr>
            <w:r>
              <w:rPr>
                <w:rFonts w:ascii="Arial" w:cs="Arial" w:eastAsia="Arial" w:hAnsi="Arial"/>
                <w:sz w:val="13"/>
                <w:szCs w:val="13"/>
                <w:b w:val="1"/>
                <w:bCs w:val="1"/>
                <w:color w:val="auto"/>
              </w:rPr>
              <w:t>Cumulative Preferred Stock, Series MM</w:t>
            </w: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180"/>
        </w:trPr>
        <w:tc>
          <w:tcPr>
            <w:tcW w:w="5900" w:type="dxa"/>
            <w:vAlign w:val="bottom"/>
            <w:gridSpan w:val="2"/>
          </w:tcPr>
          <w:p>
            <w:pPr>
              <w:spacing w:after="0"/>
              <w:rPr>
                <w:sz w:val="20"/>
                <w:szCs w:val="20"/>
                <w:color w:val="auto"/>
              </w:rPr>
            </w:pPr>
            <w:r>
              <w:rPr>
                <w:rFonts w:ascii="Arial" w:cs="Arial" w:eastAsia="Arial" w:hAnsi="Arial"/>
                <w:sz w:val="13"/>
                <w:szCs w:val="13"/>
                <w:b w:val="1"/>
                <w:bCs w:val="1"/>
                <w:color w:val="auto"/>
              </w:rPr>
              <w:t>Alerian MLP Index ETNs due May 24, 2024</w:t>
            </w:r>
          </w:p>
        </w:tc>
        <w:tc>
          <w:tcPr>
            <w:tcW w:w="1700" w:type="dxa"/>
            <w:vAlign w:val="bottom"/>
            <w:gridSpan w:val="3"/>
          </w:tcPr>
          <w:p>
            <w:pPr>
              <w:ind w:left="60"/>
              <w:spacing w:after="0"/>
              <w:rPr>
                <w:sz w:val="20"/>
                <w:szCs w:val="20"/>
                <w:color w:val="auto"/>
              </w:rPr>
            </w:pPr>
            <w:r>
              <w:rPr>
                <w:rFonts w:ascii="Arial" w:cs="Arial" w:eastAsia="Arial" w:hAnsi="Arial"/>
                <w:sz w:val="13"/>
                <w:szCs w:val="13"/>
                <w:b w:val="1"/>
                <w:bCs w:val="1"/>
                <w:color w:val="auto"/>
              </w:rPr>
              <w:t>AMJ</w:t>
            </w:r>
          </w:p>
        </w:tc>
        <w:tc>
          <w:tcPr>
            <w:tcW w:w="3200" w:type="dxa"/>
            <w:vAlign w:val="bottom"/>
            <w:gridSpan w:val="2"/>
          </w:tcPr>
          <w:p>
            <w:pPr>
              <w:ind w:left="540"/>
              <w:spacing w:after="0"/>
              <w:rPr>
                <w:sz w:val="20"/>
                <w:szCs w:val="20"/>
                <w:color w:val="auto"/>
              </w:rPr>
            </w:pPr>
            <w:r>
              <w:rPr>
                <w:rFonts w:ascii="Arial" w:cs="Arial" w:eastAsia="Arial" w:hAnsi="Arial"/>
                <w:sz w:val="13"/>
                <w:szCs w:val="13"/>
                <w:b w:val="1"/>
                <w:bCs w:val="1"/>
                <w:color w:val="auto"/>
              </w:rPr>
              <w:t>NYSE Arca, Inc.</w:t>
            </w:r>
          </w:p>
        </w:tc>
      </w:tr>
      <w:tr>
        <w:trPr>
          <w:trHeight w:val="130"/>
        </w:trPr>
        <w:tc>
          <w:tcPr>
            <w:tcW w:w="5900" w:type="dxa"/>
            <w:vAlign w:val="bottom"/>
            <w:gridSpan w:val="2"/>
          </w:tcPr>
          <w:p>
            <w:pPr>
              <w:spacing w:after="0" w:line="130" w:lineRule="exact"/>
              <w:rPr>
                <w:sz w:val="20"/>
                <w:szCs w:val="20"/>
                <w:color w:val="auto"/>
              </w:rPr>
            </w:pPr>
            <w:r>
              <w:rPr>
                <w:rFonts w:ascii="Arial" w:cs="Arial" w:eastAsia="Arial" w:hAnsi="Arial"/>
                <w:sz w:val="13"/>
                <w:szCs w:val="13"/>
                <w:b w:val="1"/>
                <w:bCs w:val="1"/>
                <w:color w:val="auto"/>
                <w:w w:val="97"/>
              </w:rPr>
              <w:t>Guarantee of Callable Fixed Rate Notes due June 10, 2032 of JPMorgan Chase Financial Company</w:t>
            </w:r>
          </w:p>
        </w:tc>
        <w:tc>
          <w:tcPr>
            <w:tcW w:w="1700" w:type="dxa"/>
            <w:vAlign w:val="bottom"/>
            <w:gridSpan w:val="3"/>
          </w:tcPr>
          <w:p>
            <w:pPr>
              <w:ind w:left="60"/>
              <w:spacing w:after="0" w:line="130" w:lineRule="exact"/>
              <w:rPr>
                <w:sz w:val="20"/>
                <w:szCs w:val="20"/>
                <w:color w:val="auto"/>
              </w:rPr>
            </w:pPr>
            <w:r>
              <w:rPr>
                <w:rFonts w:ascii="Arial" w:cs="Arial" w:eastAsia="Arial" w:hAnsi="Arial"/>
                <w:sz w:val="13"/>
                <w:szCs w:val="13"/>
                <w:b w:val="1"/>
                <w:bCs w:val="1"/>
                <w:color w:val="auto"/>
              </w:rPr>
              <w:t>JPM/32</w:t>
            </w:r>
          </w:p>
        </w:tc>
        <w:tc>
          <w:tcPr>
            <w:tcW w:w="3200" w:type="dxa"/>
            <w:vAlign w:val="bottom"/>
            <w:gridSpan w:val="2"/>
          </w:tcPr>
          <w:p>
            <w:pPr>
              <w:ind w:left="540"/>
              <w:spacing w:after="0" w:line="130" w:lineRule="exact"/>
              <w:rPr>
                <w:sz w:val="20"/>
                <w:szCs w:val="20"/>
                <w:color w:val="auto"/>
              </w:rPr>
            </w:pPr>
            <w:r>
              <w:rPr>
                <w:rFonts w:ascii="Arial" w:cs="Arial" w:eastAsia="Arial" w:hAnsi="Arial"/>
                <w:sz w:val="13"/>
                <w:szCs w:val="13"/>
                <w:b w:val="1"/>
                <w:bCs w:val="1"/>
                <w:color w:val="auto"/>
              </w:rPr>
              <w:t>The New York Stock Exchange</w:t>
            </w:r>
          </w:p>
        </w:tc>
      </w:tr>
      <w:tr>
        <w:trPr>
          <w:trHeight w:val="176"/>
        </w:trPr>
        <w:tc>
          <w:tcPr>
            <w:tcW w:w="5900" w:type="dxa"/>
            <w:vAlign w:val="bottom"/>
            <w:gridSpan w:val="2"/>
          </w:tcPr>
          <w:p>
            <w:pPr>
              <w:spacing w:after="0"/>
              <w:rPr>
                <w:sz w:val="20"/>
                <w:szCs w:val="20"/>
                <w:color w:val="auto"/>
              </w:rPr>
            </w:pPr>
            <w:r>
              <w:rPr>
                <w:rFonts w:ascii="Arial" w:cs="Arial" w:eastAsia="Arial" w:hAnsi="Arial"/>
                <w:sz w:val="13"/>
                <w:szCs w:val="13"/>
                <w:b w:val="1"/>
                <w:bCs w:val="1"/>
                <w:color w:val="auto"/>
              </w:rPr>
              <w:t>LLC</w:t>
            </w: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60" w:type="dxa"/>
            <w:vAlign w:val="bottom"/>
          </w:tcPr>
          <w:p>
            <w:pPr>
              <w:spacing w:after="0"/>
              <w:rPr>
                <w:sz w:val="15"/>
                <w:szCs w:val="15"/>
                <w:color w:val="auto"/>
              </w:rPr>
            </w:pPr>
          </w:p>
        </w:tc>
      </w:tr>
    </w:tbl>
    <w:p>
      <w:pPr>
        <w:spacing w:after="0" w:line="156" w:lineRule="exact"/>
        <w:rPr>
          <w:sz w:val="24"/>
          <w:szCs w:val="24"/>
          <w:color w:val="auto"/>
        </w:rPr>
      </w:pPr>
    </w:p>
    <w:p>
      <w:pPr>
        <w:spacing w:after="0" w:line="265"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04" w:lineRule="exact"/>
        <w:rPr>
          <w:sz w:val="24"/>
          <w:szCs w:val="24"/>
          <w:color w:val="auto"/>
        </w:rPr>
      </w:pPr>
    </w:p>
    <w:p>
      <w:pPr>
        <w:ind w:right="120"/>
        <w:spacing w:after="0" w:line="19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94" w:right="519" w:bottom="1440" w:gutter="0" w:footer="0" w:header="0"/>
        </w:sectPr>
      </w:pPr>
    </w:p>
    <w:bookmarkStart w:id="1" w:name="page2"/>
    <w:bookmarkEnd w:id="1"/>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Chairman &amp; CEO Jamie Dimon confirmed today that he and his family plan to sell a portion of their holdings of JPMorgan stock for financial diversification and tax-planning purposes. Starting in 2024 they currently intend to sell 1 million shares, subject to the terms of a stock trading plan. This is Mr. Dimon’s first such stock sale during his tenure at the company. Mr. Dimon continues to believe the company’s prospects are very strong and his stake in the company will remain very significant. He and his family currently hold approximately 8.6 million shares, and in addition he continues to have unvested Performance Share Units relating to 561,793 shares and Stock Appreciation Rights relating to 1,500,000 shares, subject to the terms and conditions of each grant.</w:t>
      </w:r>
    </w:p>
    <w:p>
      <w:pPr>
        <w:spacing w:after="0" w:line="185"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color w:val="auto"/>
        </w:rPr>
        <w:t>Mr. Dimon will use stock trading plans to sell his shares, in accordance with guidelines specified under Rule 10b5-1 of the Securities and Exchange Act of 1934.</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16"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27305</wp:posOffset>
            </wp:positionV>
            <wp:extent cx="942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101</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53663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175" w:lineRule="exact"/>
        <w:rPr>
          <w:sz w:val="20"/>
          <w:szCs w:val="20"/>
          <w:color w:val="auto"/>
        </w:rPr>
      </w:pPr>
    </w:p>
    <w:p>
      <w:pPr>
        <w:ind w:right="980"/>
        <w:spacing w:after="0" w:line="234" w:lineRule="auto"/>
        <w:rPr>
          <w:sz w:val="20"/>
          <w:szCs w:val="20"/>
          <w:color w:val="auto"/>
        </w:rPr>
      </w:pPr>
      <w:r>
        <w:rPr>
          <w:rFonts w:ascii="Arial" w:cs="Arial" w:eastAsia="Arial" w:hAnsi="Arial"/>
          <w:sz w:val="18"/>
          <w:szCs w:val="18"/>
          <w:color w:val="auto"/>
        </w:rPr>
        <w:t>Pursuant to Rule 406 of Regulation S-T, the cover page is formatted in Inline XBRL (Inline eXtensible Business Reporting Language).</w:t>
      </w:r>
    </w:p>
    <w:p>
      <w:pPr>
        <w:spacing w:after="0" w:line="15" w:lineRule="exact"/>
        <w:rPr>
          <w:sz w:val="20"/>
          <w:szCs w:val="20"/>
          <w:color w:val="auto"/>
        </w:rPr>
      </w:pPr>
    </w:p>
    <w:p>
      <w:pPr>
        <w:ind w:right="940"/>
        <w:spacing w:after="0" w:line="234" w:lineRule="auto"/>
        <w:rPr>
          <w:sz w:val="20"/>
          <w:szCs w:val="20"/>
          <w:color w:val="auto"/>
        </w:rPr>
      </w:pPr>
      <w:r>
        <w:rPr>
          <w:rFonts w:ascii="Arial" w:cs="Arial" w:eastAsia="Arial" w:hAnsi="Arial"/>
          <w:sz w:val="18"/>
          <w:szCs w:val="18"/>
          <w:color w:val="auto"/>
        </w:rPr>
        <w:t>Cover Page Interactive Data File (embedded within the Inline XBRL document and included in Exhibit 101).</w:t>
      </w:r>
    </w:p>
    <w:p>
      <w:pPr>
        <w:spacing w:after="0" w:line="200" w:lineRule="exact"/>
        <w:rPr>
          <w:sz w:val="20"/>
          <w:szCs w:val="20"/>
          <w:color w:val="auto"/>
        </w:rPr>
      </w:pPr>
    </w:p>
    <w:p>
      <w:pPr>
        <w:sectPr>
          <w:pgSz w:w="11900" w:h="16838" w:orient="portrait"/>
          <w:cols w:equalWidth="0" w:num="2">
            <w:col w:w="1780" w:space="460"/>
            <w:col w:w="900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SIGNATURE</w:t>
      </w:r>
    </w:p>
    <w:p>
      <w:pPr>
        <w:spacing w:after="0" w:line="200" w:lineRule="exact"/>
        <w:rPr>
          <w:sz w:val="20"/>
          <w:szCs w:val="20"/>
          <w:color w:val="auto"/>
        </w:rPr>
      </w:pPr>
    </w:p>
    <w:p>
      <w:pPr>
        <w:spacing w:after="0" w:line="363"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93" w:lineRule="exact"/>
        <w:rPr>
          <w:sz w:val="20"/>
          <w:szCs w:val="20"/>
          <w:color w:val="auto"/>
        </w:rPr>
      </w:pPr>
    </w:p>
    <w:tbl>
      <w:tblPr>
        <w:tblLayout w:type="fixed"/>
        <w:tblInd w:w="5800" w:type="dxa"/>
        <w:tblCellMar>
          <w:top w:w="0" w:type="dxa"/>
          <w:left w:w="0" w:type="dxa"/>
          <w:bottom w:w="0" w:type="dxa"/>
          <w:right w:w="0" w:type="dxa"/>
        </w:tblCellMar>
      </w:tblPr>
      <w:tr>
        <w:trPr>
          <w:trHeight w:val="229"/>
        </w:trPr>
        <w:tc>
          <w:tcPr>
            <w:tcW w:w="500" w:type="dxa"/>
            <w:vAlign w:val="bottom"/>
          </w:tcPr>
          <w:p>
            <w:pPr>
              <w:spacing w:after="0"/>
              <w:rPr>
                <w:sz w:val="19"/>
                <w:szCs w:val="19"/>
                <w:color w:val="auto"/>
              </w:rPr>
            </w:pP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JPMorgan Chase &amp; Co.</w:t>
            </w:r>
          </w:p>
        </w:tc>
      </w:tr>
      <w:tr>
        <w:trPr>
          <w:trHeight w:val="223"/>
        </w:trPr>
        <w:tc>
          <w:tcPr>
            <w:tcW w:w="50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9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John H. Tribolati</w:t>
            </w:r>
          </w:p>
        </w:tc>
      </w:tr>
      <w:tr>
        <w:trPr>
          <w:trHeight w:val="223"/>
        </w:trPr>
        <w:tc>
          <w:tcPr>
            <w:tcW w:w="50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John H. Tribolati</w:t>
            </w:r>
          </w:p>
        </w:tc>
      </w:tr>
      <w:tr>
        <w:trPr>
          <w:trHeight w:val="230"/>
        </w:trPr>
        <w:tc>
          <w:tcPr>
            <w:tcW w:w="50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Dated:</w:t>
        <w:tab/>
        <w:t>October 26,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sectPr>
      <w:pgSz w:w="11900" w:h="16838" w:orient="portrait"/>
      <w:cols w:equalWidth="0" w:num="1">
        <w:col w:w="11240"/>
      </w:cols>
      <w:pgMar w:left="320" w:top="10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2023-10-27T05:20:49Z</dcterms:created>
  <dcterms:modified xsi:type="dcterms:W3CDTF">2023-10-27T05:20:49Z</dcterms:modified>
</cp:coreProperties>
</file>