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4704-01_fwp.htm"/>
      <w:bookmarkStart w:id="1" w:name="ksea0304704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September 4,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18-Month GOOGL Trigger Jump Securities</w:t>
      </w:r>
    </w:p>
    <w:p>
      <w:pPr>
        <w:pStyle w:val="TextBody"/>
        <w:bidi w:val="0"/>
        <w:spacing w:before="160" w:after="0"/>
        <w:ind w:left="200"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8966200"/>
                <wp:effectExtent l="0" t="0" r="0" b="0"/>
                <wp:wrapSquare wrapText="right"/>
                <wp:docPr id="1" name="Frame1"/>
                <a:graphic xmlns:a="http://schemas.openxmlformats.org/drawingml/2006/main">
                  <a:graphicData uri="http://schemas.microsoft.com/office/word/2010/wordprocessingShape">
                    <wps:wsp>
                      <wps:cNvSpPr txBox="1"/>
                      <wps:spPr>
                        <a:xfrm>
                          <a:off x="0" y="0"/>
                          <a:ext cx="3110230" cy="896620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28"/>
                              <w:gridCol w:w="8377"/>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828"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377"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377" w:type="dxa"/>
                                  <w:tcBorders/>
                                  <w:shd w:fill="DCEBF4" w:val="clear"/>
                                  <w:vAlign w:val="center"/>
                                </w:tcPr>
                                <w:p>
                                  <w:pPr>
                                    <w:pStyle w:val="TableContents"/>
                                    <w:bidi w:val="0"/>
                                    <w:spacing w:before="0" w:after="283"/>
                                    <w:jc w:val="left"/>
                                    <w:rPr>
                                      <w:sz w:val="16"/>
                                    </w:rPr>
                                  </w:pPr>
                                  <w:r>
                                    <w:rPr>
                                      <w:sz w:val="16"/>
                                    </w:rPr>
                                    <w:t>JPMorgan Chase &amp; Co.</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stock: </w:t>
                                  </w:r>
                                </w:p>
                              </w:tc>
                              <w:tc>
                                <w:tcPr>
                                  <w:tcW w:w="8377" w:type="dxa"/>
                                  <w:tcBorders/>
                                  <w:vAlign w:val="center"/>
                                </w:tcPr>
                                <w:p>
                                  <w:pPr>
                                    <w:pStyle w:val="TableContents"/>
                                    <w:bidi w:val="0"/>
                                    <w:spacing w:before="0" w:after="283"/>
                                    <w:jc w:val="left"/>
                                    <w:rPr>
                                      <w:sz w:val="16"/>
                                    </w:rPr>
                                  </w:pPr>
                                  <w:r>
                                    <w:rPr>
                                      <w:sz w:val="16"/>
                                    </w:rPr>
                                    <w:t>Class A common stock of Alphabet Inc. (Bloomberg ticker: GOOGL UW Equity)</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377"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stock price is </w:t>
                                  </w:r>
                                  <w:r>
                                    <w:rPr>
                                      <w:rFonts w:ascii="Arial;Helvetica;Sans-Serif" w:hAnsi="Arial;Helvetica;Sans-Serif"/>
                                      <w:b w:val="false"/>
                                      <w:i/>
                                      <w:caps w:val="false"/>
                                      <w:smallCaps w:val="false"/>
                                      <w:sz w:val="16"/>
                                    </w:rPr>
                                    <w:t>greater than or equal to</w:t>
                                  </w:r>
                                  <w:r>
                                    <w:rPr>
                                      <w:rFonts w:ascii="Arial;Helvetica;Sans-Serif" w:hAnsi="Arial;Helvetica;Sans-Serif"/>
                                      <w:b w:val="false"/>
                                      <w:i w:val="false"/>
                                      <w:caps w:val="false"/>
                                      <w:smallCaps w:val="false"/>
                                      <w:sz w:val="16"/>
                                    </w:rPr>
                                    <w:t xml:space="preserve"> the initial stock price,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upside payment</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stock price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initial stock price but is </w:t>
                                  </w:r>
                                  <w:r>
                                    <w:rPr>
                                      <w:rFonts w:ascii="Arial;Helvetica;Sans-Serif" w:hAnsi="Arial;Helvetica;Sans-Serif"/>
                                      <w:b w:val="false"/>
                                      <w:i/>
                                      <w:caps w:val="false"/>
                                      <w:smallCaps w:val="false"/>
                                      <w:sz w:val="16"/>
                                    </w:rPr>
                                    <w:t>greater than or equal to</w:t>
                                  </w:r>
                                  <w:r>
                                    <w:rPr>
                                      <w:rFonts w:ascii="Arial;Helvetica;Sans-Serif" w:hAnsi="Arial;Helvetica;Sans-Serif"/>
                                      <w:b w:val="false"/>
                                      <w:i w:val="false"/>
                                      <w:caps w:val="false"/>
                                      <w:smallCaps w:val="false"/>
                                      <w:sz w:val="16"/>
                                    </w:rPr>
                                    <w:t xml:space="preserve"> the trigger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stock price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trigger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stock performance factor</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and will represent a loss of more than 30%, and possibly all, of your principal amount.</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Upside payment:</w:t>
                                  </w:r>
                                </w:p>
                              </w:tc>
                              <w:tc>
                                <w:tcPr>
                                  <w:tcW w:w="8377" w:type="dxa"/>
                                  <w:tcBorders/>
                                  <w:vAlign w:val="center"/>
                                </w:tcPr>
                                <w:p>
                                  <w:pPr>
                                    <w:pStyle w:val="TableContents"/>
                                    <w:bidi w:val="0"/>
                                    <w:spacing w:before="0" w:after="283"/>
                                    <w:jc w:val="left"/>
                                    <w:rPr>
                                      <w:sz w:val="16"/>
                                    </w:rPr>
                                  </w:pPr>
                                  <w:r>
                                    <w:rPr>
                                      <w:sz w:val="16"/>
                                    </w:rPr>
                                    <w:t>At least $271.50 per security (at least 27.15% of the stated principal amount)</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377" w:type="dxa"/>
                                  <w:tcBorders/>
                                  <w:shd w:fill="DCEBF4" w:val="clear"/>
                                  <w:vAlign w:val="center"/>
                                </w:tcPr>
                                <w:p>
                                  <w:pPr>
                                    <w:pStyle w:val="TableContents"/>
                                    <w:bidi w:val="0"/>
                                    <w:spacing w:before="0" w:after="283"/>
                                    <w:jc w:val="left"/>
                                    <w:rPr/>
                                  </w:pPr>
                                  <w:r>
                                    <w:rPr/>
                                    <w:t>              </w:t>
                                  </w:r>
                                  <w:r>
                                    <w:rPr>
                                      <w:rFonts w:ascii="Arial;Helvetica;Sans-Serif" w:hAnsi="Arial;Helvetica;Sans-Serif"/>
                                      <w:sz w:val="16"/>
                                    </w:rPr>
                                    <w:t>, which is 70% of the initial stock price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performance factor:</w:t>
                                  </w:r>
                                </w:p>
                              </w:tc>
                              <w:tc>
                                <w:tcPr>
                                  <w:tcW w:w="8377"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final stock price / initial stock price</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stock price:</w:t>
                                  </w:r>
                                </w:p>
                              </w:tc>
                              <w:tc>
                                <w:tcPr>
                                  <w:tcW w:w="8377" w:type="dxa"/>
                                  <w:tcBorders/>
                                  <w:shd w:fill="DCEBF4" w:val="clear"/>
                                  <w:vAlign w:val="center"/>
                                </w:tcPr>
                                <w:p>
                                  <w:pPr>
                                    <w:pStyle w:val="TableContents"/>
                                    <w:bidi w:val="0"/>
                                    <w:spacing w:before="0" w:after="283"/>
                                    <w:jc w:val="left"/>
                                    <w:rPr>
                                      <w:sz w:val="16"/>
                                    </w:rPr>
                                  </w:pPr>
                                  <w:r>
                                    <w:rPr>
                                      <w:sz w:val="16"/>
                                    </w:rPr>
                                    <w:t>The closing price of one share of the underlying stock on the pricing date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stock price: </w:t>
                                  </w:r>
                                </w:p>
                              </w:tc>
                              <w:tc>
                                <w:tcPr>
                                  <w:tcW w:w="8377" w:type="dxa"/>
                                  <w:tcBorders/>
                                  <w:vAlign w:val="center"/>
                                </w:tcPr>
                                <w:p>
                                  <w:pPr>
                                    <w:pStyle w:val="TableContents"/>
                                    <w:bidi w:val="0"/>
                                    <w:spacing w:before="0" w:after="283"/>
                                    <w:jc w:val="left"/>
                                    <w:rPr>
                                      <w:sz w:val="16"/>
                                    </w:rPr>
                                  </w:pPr>
                                  <w:r>
                                    <w:rPr>
                                      <w:sz w:val="16"/>
                                    </w:rPr>
                                    <w:t>The closing price of one share of the underlying stock on the valuation date</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Stock adjustment factor: </w:t>
                                  </w:r>
                                </w:p>
                              </w:tc>
                              <w:tc>
                                <w:tcPr>
                                  <w:tcW w:w="8377" w:type="dxa"/>
                                  <w:tcBorders/>
                                  <w:shd w:fill="DCEBF4" w:val="clear"/>
                                  <w:vAlign w:val="center"/>
                                </w:tcPr>
                                <w:p>
                                  <w:pPr>
                                    <w:pStyle w:val="TableContents"/>
                                    <w:bidi w:val="0"/>
                                    <w:spacing w:before="0" w:after="283"/>
                                    <w:jc w:val="left"/>
                                    <w:rPr>
                                      <w:sz w:val="16"/>
                                    </w:rPr>
                                  </w:pPr>
                                  <w:r>
                                    <w:rPr>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377" w:type="dxa"/>
                                  <w:tcBorders/>
                                  <w:vAlign w:val="center"/>
                                </w:tcPr>
                                <w:p>
                                  <w:pPr>
                                    <w:pStyle w:val="TableContents"/>
                                    <w:bidi w:val="0"/>
                                    <w:spacing w:before="0" w:after="283"/>
                                    <w:jc w:val="left"/>
                                    <w:rPr>
                                      <w:sz w:val="16"/>
                                    </w:rPr>
                                  </w:pPr>
                                  <w:r>
                                    <w:rPr>
                                      <w:sz w:val="16"/>
                                    </w:rPr>
                                    <w:t>$1,000 per security</w:t>
                                  </w:r>
                                </w:p>
                              </w:tc>
                            </w:tr>
                            <w:tr>
                              <w:trPr/>
                              <w:tc>
                                <w:tcPr>
                                  <w:tcW w:w="1828" w:type="dxa"/>
                                  <w:tcBorders/>
                                  <w:shd w:fill="DCEBF4" w:val="clear"/>
                                  <w:vAlign w:val="center"/>
                                </w:tcPr>
                                <w:p>
                                  <w:pPr>
                                    <w:pStyle w:val="TableContents"/>
                                    <w:bidi w:val="0"/>
                                    <w:spacing w:before="0" w:after="283"/>
                                    <w:jc w:val="left"/>
                                    <w:rPr/>
                                  </w:pPr>
                                  <w:r>
                                    <w:rPr>
                                      <w:rFonts w:ascii="Arial;Helvetica;Sans-Serif" w:hAnsi="Arial;Helvetica;Sans-Serif"/>
                                      <w:b/>
                                      <w:color w:val="296DC1"/>
                                      <w:sz w:val="16"/>
                                    </w:rPr>
                                    <w:t>Issue price</w:t>
                                  </w:r>
                                  <w:r>
                                    <w:rPr>
                                      <w:rFonts w:ascii="Arial;Helvetica;Sans-Serif" w:hAnsi="Arial;Helvetica;Sans-Serif"/>
                                      <w:b/>
                                      <w:color w:val="296DC1"/>
                                      <w:sz w:val="15"/>
                                    </w:rPr>
                                    <w:t>:</w:t>
                                  </w:r>
                                </w:p>
                              </w:tc>
                              <w:tc>
                                <w:tcPr>
                                  <w:tcW w:w="8377" w:type="dxa"/>
                                  <w:tcBorders/>
                                  <w:shd w:fill="DCEBF4" w:val="clear"/>
                                  <w:vAlign w:val="center"/>
                                </w:tcPr>
                                <w:p>
                                  <w:pPr>
                                    <w:pStyle w:val="TableContents"/>
                                    <w:bidi w:val="0"/>
                                    <w:spacing w:before="0" w:after="283"/>
                                    <w:jc w:val="left"/>
                                    <w:rPr>
                                      <w:sz w:val="16"/>
                                    </w:rPr>
                                  </w:pPr>
                                  <w:r>
                                    <w:rPr>
                                      <w:sz w:val="16"/>
                                    </w:rPr>
                                    <w:t>$1,000 per security</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377" w:type="dxa"/>
                                  <w:tcBorders/>
                                  <w:vAlign w:val="center"/>
                                </w:tcPr>
                                <w:p>
                                  <w:pPr>
                                    <w:pStyle w:val="TableContents"/>
                                    <w:bidi w:val="0"/>
                                    <w:spacing w:before="0" w:after="283"/>
                                    <w:jc w:val="left"/>
                                    <w:rPr>
                                      <w:sz w:val="16"/>
                                    </w:rPr>
                                  </w:pPr>
                                  <w:r>
                                    <w:rPr>
                                      <w:sz w:val="16"/>
                                    </w:rPr>
                                    <w:t>Expected to be September 16, 2026</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377"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377" w:type="dxa"/>
                                  <w:tcBorders/>
                                  <w:vAlign w:val="center"/>
                                </w:tcPr>
                                <w:p>
                                  <w:pPr>
                                    <w:pStyle w:val="TableContents"/>
                                    <w:bidi w:val="0"/>
                                    <w:spacing w:before="0" w:after="283"/>
                                    <w:jc w:val="left"/>
                                    <w:rPr>
                                      <w:sz w:val="16"/>
                                    </w:rPr>
                                  </w:pPr>
                                  <w:r>
                                    <w:rPr>
                                      <w:sz w:val="16"/>
                                    </w:rPr>
                                    <w:t>March 16, 2028</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377" w:type="dxa"/>
                                  <w:tcBorders/>
                                  <w:shd w:fill="DCEBF4" w:val="clear"/>
                                  <w:vAlign w:val="center"/>
                                </w:tcPr>
                                <w:p>
                                  <w:pPr>
                                    <w:pStyle w:val="TableContents"/>
                                    <w:bidi w:val="0"/>
                                    <w:spacing w:before="0" w:after="283"/>
                                    <w:jc w:val="left"/>
                                    <w:rPr>
                                      <w:sz w:val="16"/>
                                    </w:rPr>
                                  </w:pPr>
                                  <w:r>
                                    <w:rPr>
                                      <w:sz w:val="16"/>
                                    </w:rPr>
                                    <w:t>March 21, 2028</w:t>
                                  </w:r>
                                </w:p>
                              </w:tc>
                            </w:tr>
                            <w:tr>
                              <w:trPr/>
                              <w:tc>
                                <w:tcPr>
                                  <w:tcW w:w="1828" w:type="dxa"/>
                                  <w:tcBorders/>
                                  <w:vAlign w:val="center"/>
                                </w:tcPr>
                                <w:p>
                                  <w:pPr>
                                    <w:pStyle w:val="TableContents"/>
                                    <w:bidi w:val="0"/>
                                    <w:spacing w:before="0" w:after="283"/>
                                    <w:jc w:val="left"/>
                                    <w:rPr>
                                      <w:b/>
                                      <w:color w:val="296DC1"/>
                                      <w:sz w:val="16"/>
                                    </w:rPr>
                                  </w:pPr>
                                  <w:r>
                                    <w:rPr>
                                      <w:b/>
                                      <w:color w:val="296DC1"/>
                                      <w:sz w:val="16"/>
                                    </w:rPr>
                                    <w:t>CUSIP / ISIN:</w:t>
                                  </w:r>
                                </w:p>
                              </w:tc>
                              <w:tc>
                                <w:tcPr>
                                  <w:tcW w:w="8377" w:type="dxa"/>
                                  <w:tcBorders/>
                                  <w:vAlign w:val="center"/>
                                </w:tcPr>
                                <w:p>
                                  <w:pPr>
                                    <w:pStyle w:val="TableContents"/>
                                    <w:bidi w:val="0"/>
                                    <w:spacing w:before="0" w:after="283"/>
                                    <w:jc w:val="left"/>
                                    <w:rPr>
                                      <w:sz w:val="16"/>
                                    </w:rPr>
                                  </w:pPr>
                                  <w:r>
                                    <w:rPr>
                                      <w:sz w:val="16"/>
                                    </w:rPr>
                                    <w:t>46661MR97 / US46661MR970</w:t>
                                  </w:r>
                                </w:p>
                              </w:tc>
                            </w:tr>
                            <w:tr>
                              <w:trPr/>
                              <w:tc>
                                <w:tcPr>
                                  <w:tcW w:w="1828"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377" w:type="dxa"/>
                                  <w:tcBorders/>
                                  <w:shd w:fill="DCEBF4" w:val="clear"/>
                                  <w:vAlign w:val="center"/>
                                </w:tcPr>
                                <w:p>
                                  <w:pPr>
                                    <w:pStyle w:val="TableContents"/>
                                    <w:bidi w:val="0"/>
                                    <w:spacing w:before="0" w:after="283"/>
                                    <w:jc w:val="left"/>
                                    <w:rPr/>
                                  </w:pPr>
                                  <w:hyperlink r:id="rId2">
                                    <w:r>
                                      <w:rPr>
                                        <w:rStyle w:val="InternetLink"/>
                                        <w:sz w:val="16"/>
                                      </w:rPr>
                                      <w:t>http://www.sec.gov/Archives/edgar/data/</w:t>
                                      <w:br/>
                                      <w:t>19617/000121390026097364/ea0304659-01_424b2.htm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06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828"/>
                        <w:gridCol w:w="8377"/>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828"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377"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377" w:type="dxa"/>
                            <w:tcBorders/>
                            <w:shd w:fill="DCEBF4" w:val="clear"/>
                            <w:vAlign w:val="center"/>
                          </w:tcPr>
                          <w:p>
                            <w:pPr>
                              <w:pStyle w:val="TableContents"/>
                              <w:bidi w:val="0"/>
                              <w:spacing w:before="0" w:after="283"/>
                              <w:jc w:val="left"/>
                              <w:rPr>
                                <w:sz w:val="16"/>
                              </w:rPr>
                            </w:pPr>
                            <w:r>
                              <w:rPr>
                                <w:sz w:val="16"/>
                              </w:rPr>
                              <w:t>JPMorgan Chase &amp; Co.</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stock: </w:t>
                            </w:r>
                          </w:p>
                        </w:tc>
                        <w:tc>
                          <w:tcPr>
                            <w:tcW w:w="8377" w:type="dxa"/>
                            <w:tcBorders/>
                            <w:vAlign w:val="center"/>
                          </w:tcPr>
                          <w:p>
                            <w:pPr>
                              <w:pStyle w:val="TableContents"/>
                              <w:bidi w:val="0"/>
                              <w:spacing w:before="0" w:after="283"/>
                              <w:jc w:val="left"/>
                              <w:rPr>
                                <w:sz w:val="16"/>
                              </w:rPr>
                            </w:pPr>
                            <w:r>
                              <w:rPr>
                                <w:sz w:val="16"/>
                              </w:rPr>
                              <w:t>Class A common stock of Alphabet Inc. (Bloomberg ticker: GOOGL UW Equity)</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377"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stock price is </w:t>
                            </w:r>
                            <w:r>
                              <w:rPr>
                                <w:rFonts w:ascii="Arial;Helvetica;Sans-Serif" w:hAnsi="Arial;Helvetica;Sans-Serif"/>
                                <w:b w:val="false"/>
                                <w:i/>
                                <w:caps w:val="false"/>
                                <w:smallCaps w:val="false"/>
                                <w:sz w:val="16"/>
                              </w:rPr>
                              <w:t>greater than or equal to</w:t>
                            </w:r>
                            <w:r>
                              <w:rPr>
                                <w:rFonts w:ascii="Arial;Helvetica;Sans-Serif" w:hAnsi="Arial;Helvetica;Sans-Serif"/>
                                <w:b w:val="false"/>
                                <w:i w:val="false"/>
                                <w:caps w:val="false"/>
                                <w:smallCaps w:val="false"/>
                                <w:sz w:val="16"/>
                              </w:rPr>
                              <w:t xml:space="preserve"> the initial stock price,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upside payment</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stock price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initial stock price but is </w:t>
                            </w:r>
                            <w:r>
                              <w:rPr>
                                <w:rFonts w:ascii="Arial;Helvetica;Sans-Serif" w:hAnsi="Arial;Helvetica;Sans-Serif"/>
                                <w:b w:val="false"/>
                                <w:i/>
                                <w:caps w:val="false"/>
                                <w:smallCaps w:val="false"/>
                                <w:sz w:val="16"/>
                              </w:rPr>
                              <w:t>greater than or equal to</w:t>
                            </w:r>
                            <w:r>
                              <w:rPr>
                                <w:rFonts w:ascii="Arial;Helvetica;Sans-Serif" w:hAnsi="Arial;Helvetica;Sans-Serif"/>
                                <w:b w:val="false"/>
                                <w:i w:val="false"/>
                                <w:caps w:val="false"/>
                                <w:smallCaps w:val="false"/>
                                <w:sz w:val="16"/>
                              </w:rPr>
                              <w:t xml:space="preserve"> the trigger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the final stock price is </w:t>
                            </w:r>
                            <w:r>
                              <w:rPr>
                                <w:rFonts w:ascii="Arial;Helvetica;Sans-Serif" w:hAnsi="Arial;Helvetica;Sans-Serif"/>
                                <w:b w:val="false"/>
                                <w:i/>
                                <w:caps w:val="false"/>
                                <w:smallCaps w:val="false"/>
                                <w:sz w:val="16"/>
                              </w:rPr>
                              <w:t>less than</w:t>
                            </w:r>
                            <w:r>
                              <w:rPr>
                                <w:rFonts w:ascii="Arial;Helvetica;Sans-Serif" w:hAnsi="Arial;Helvetica;Sans-Serif"/>
                                <w:b w:val="false"/>
                                <w:i w:val="false"/>
                                <w:caps w:val="false"/>
                                <w:smallCaps w:val="false"/>
                                <w:sz w:val="16"/>
                              </w:rPr>
                              <w:t xml:space="preserve"> the trigger level, you will receive at maturity a cash payment per $1,000 stated principal amount security equal to:</w:t>
                            </w:r>
                          </w:p>
                          <w:p>
                            <w:pPr>
                              <w:pStyle w:val="TableContents"/>
                              <w:bidi w:val="0"/>
                              <w:spacing w:before="40" w:after="40"/>
                              <w:ind w:left="40" w:right="4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$1,000 × stock performance factor</w:t>
                            </w:r>
                          </w:p>
                          <w:p>
                            <w:pPr>
                              <w:pStyle w:val="TableContents"/>
                              <w:bidi w:val="0"/>
                              <w:spacing w:before="40" w:after="40"/>
                              <w:ind w:left="40" w:right="40" w:hanging="0"/>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This amount will be less than the stated principal amount of $1,000 and will represent a loss of more than 30%, and possibly all, of your principal amount.</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Upside payment:</w:t>
                            </w:r>
                          </w:p>
                        </w:tc>
                        <w:tc>
                          <w:tcPr>
                            <w:tcW w:w="8377" w:type="dxa"/>
                            <w:tcBorders/>
                            <w:vAlign w:val="center"/>
                          </w:tcPr>
                          <w:p>
                            <w:pPr>
                              <w:pStyle w:val="TableContents"/>
                              <w:bidi w:val="0"/>
                              <w:spacing w:before="0" w:after="283"/>
                              <w:jc w:val="left"/>
                              <w:rPr>
                                <w:sz w:val="16"/>
                              </w:rPr>
                            </w:pPr>
                            <w:r>
                              <w:rPr>
                                <w:sz w:val="16"/>
                              </w:rPr>
                              <w:t>At least $271.50 per security (at least 27.15% of the stated principal amount)</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377" w:type="dxa"/>
                            <w:tcBorders/>
                            <w:shd w:fill="DCEBF4" w:val="clear"/>
                            <w:vAlign w:val="center"/>
                          </w:tcPr>
                          <w:p>
                            <w:pPr>
                              <w:pStyle w:val="TableContents"/>
                              <w:bidi w:val="0"/>
                              <w:spacing w:before="0" w:after="283"/>
                              <w:jc w:val="left"/>
                              <w:rPr/>
                            </w:pPr>
                            <w:r>
                              <w:rPr/>
                              <w:t>              </w:t>
                            </w:r>
                            <w:r>
                              <w:rPr>
                                <w:rFonts w:ascii="Arial;Helvetica;Sans-Serif" w:hAnsi="Arial;Helvetica;Sans-Serif"/>
                                <w:sz w:val="16"/>
                              </w:rPr>
                              <w:t>, which is 70% of the initial stock price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performance factor:</w:t>
                            </w:r>
                          </w:p>
                        </w:tc>
                        <w:tc>
                          <w:tcPr>
                            <w:tcW w:w="8377"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final stock price / initial stock price</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stock price:</w:t>
                            </w:r>
                          </w:p>
                        </w:tc>
                        <w:tc>
                          <w:tcPr>
                            <w:tcW w:w="8377" w:type="dxa"/>
                            <w:tcBorders/>
                            <w:shd w:fill="DCEBF4" w:val="clear"/>
                            <w:vAlign w:val="center"/>
                          </w:tcPr>
                          <w:p>
                            <w:pPr>
                              <w:pStyle w:val="TableContents"/>
                              <w:bidi w:val="0"/>
                              <w:spacing w:before="0" w:after="283"/>
                              <w:jc w:val="left"/>
                              <w:rPr>
                                <w:sz w:val="16"/>
                              </w:rPr>
                            </w:pPr>
                            <w:r>
                              <w:rPr>
                                <w:sz w:val="16"/>
                              </w:rPr>
                              <w:t>The closing price of one share of the underlying stock on the pricing date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stock price: </w:t>
                            </w:r>
                          </w:p>
                        </w:tc>
                        <w:tc>
                          <w:tcPr>
                            <w:tcW w:w="8377" w:type="dxa"/>
                            <w:tcBorders/>
                            <w:vAlign w:val="center"/>
                          </w:tcPr>
                          <w:p>
                            <w:pPr>
                              <w:pStyle w:val="TableContents"/>
                              <w:bidi w:val="0"/>
                              <w:spacing w:before="0" w:after="283"/>
                              <w:jc w:val="left"/>
                              <w:rPr>
                                <w:sz w:val="16"/>
                              </w:rPr>
                            </w:pPr>
                            <w:r>
                              <w:rPr>
                                <w:sz w:val="16"/>
                              </w:rPr>
                              <w:t>The closing price of one share of the underlying stock on the valuation date</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Stock adjustment factor: </w:t>
                            </w:r>
                          </w:p>
                        </w:tc>
                        <w:tc>
                          <w:tcPr>
                            <w:tcW w:w="8377" w:type="dxa"/>
                            <w:tcBorders/>
                            <w:shd w:fill="DCEBF4" w:val="clear"/>
                            <w:vAlign w:val="center"/>
                          </w:tcPr>
                          <w:p>
                            <w:pPr>
                              <w:pStyle w:val="TableContents"/>
                              <w:bidi w:val="0"/>
                              <w:spacing w:before="0" w:after="283"/>
                              <w:jc w:val="left"/>
                              <w:rPr>
                                <w:sz w:val="16"/>
                              </w:rPr>
                            </w:pPr>
                            <w:r>
                              <w:rPr>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377" w:type="dxa"/>
                            <w:tcBorders/>
                            <w:vAlign w:val="center"/>
                          </w:tcPr>
                          <w:p>
                            <w:pPr>
                              <w:pStyle w:val="TableContents"/>
                              <w:bidi w:val="0"/>
                              <w:spacing w:before="0" w:after="283"/>
                              <w:jc w:val="left"/>
                              <w:rPr>
                                <w:sz w:val="16"/>
                              </w:rPr>
                            </w:pPr>
                            <w:r>
                              <w:rPr>
                                <w:sz w:val="16"/>
                              </w:rPr>
                              <w:t>$1,000 per security</w:t>
                            </w:r>
                          </w:p>
                        </w:tc>
                      </w:tr>
                      <w:tr>
                        <w:trPr/>
                        <w:tc>
                          <w:tcPr>
                            <w:tcW w:w="1828" w:type="dxa"/>
                            <w:tcBorders/>
                            <w:shd w:fill="DCEBF4" w:val="clear"/>
                            <w:vAlign w:val="center"/>
                          </w:tcPr>
                          <w:p>
                            <w:pPr>
                              <w:pStyle w:val="TableContents"/>
                              <w:bidi w:val="0"/>
                              <w:spacing w:before="0" w:after="283"/>
                              <w:jc w:val="left"/>
                              <w:rPr/>
                            </w:pPr>
                            <w:r>
                              <w:rPr>
                                <w:rFonts w:ascii="Arial;Helvetica;Sans-Serif" w:hAnsi="Arial;Helvetica;Sans-Serif"/>
                                <w:b/>
                                <w:color w:val="296DC1"/>
                                <w:sz w:val="16"/>
                              </w:rPr>
                              <w:t>Issue price</w:t>
                            </w:r>
                            <w:r>
                              <w:rPr>
                                <w:rFonts w:ascii="Arial;Helvetica;Sans-Serif" w:hAnsi="Arial;Helvetica;Sans-Serif"/>
                                <w:b/>
                                <w:color w:val="296DC1"/>
                                <w:sz w:val="15"/>
                              </w:rPr>
                              <w:t>:</w:t>
                            </w:r>
                          </w:p>
                        </w:tc>
                        <w:tc>
                          <w:tcPr>
                            <w:tcW w:w="8377" w:type="dxa"/>
                            <w:tcBorders/>
                            <w:shd w:fill="DCEBF4" w:val="clear"/>
                            <w:vAlign w:val="center"/>
                          </w:tcPr>
                          <w:p>
                            <w:pPr>
                              <w:pStyle w:val="TableContents"/>
                              <w:bidi w:val="0"/>
                              <w:spacing w:before="0" w:after="283"/>
                              <w:jc w:val="left"/>
                              <w:rPr>
                                <w:sz w:val="16"/>
                              </w:rPr>
                            </w:pPr>
                            <w:r>
                              <w:rPr>
                                <w:sz w:val="16"/>
                              </w:rPr>
                              <w:t>$1,000 per security</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377" w:type="dxa"/>
                            <w:tcBorders/>
                            <w:vAlign w:val="center"/>
                          </w:tcPr>
                          <w:p>
                            <w:pPr>
                              <w:pStyle w:val="TableContents"/>
                              <w:bidi w:val="0"/>
                              <w:spacing w:before="0" w:after="283"/>
                              <w:jc w:val="left"/>
                              <w:rPr>
                                <w:sz w:val="16"/>
                              </w:rPr>
                            </w:pPr>
                            <w:r>
                              <w:rPr>
                                <w:sz w:val="16"/>
                              </w:rPr>
                              <w:t>Expected to be September 16, 2026</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377"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377" w:type="dxa"/>
                            <w:tcBorders/>
                            <w:vAlign w:val="center"/>
                          </w:tcPr>
                          <w:p>
                            <w:pPr>
                              <w:pStyle w:val="TableContents"/>
                              <w:bidi w:val="0"/>
                              <w:spacing w:before="0" w:after="283"/>
                              <w:jc w:val="left"/>
                              <w:rPr>
                                <w:sz w:val="16"/>
                              </w:rPr>
                            </w:pPr>
                            <w:r>
                              <w:rPr>
                                <w:sz w:val="16"/>
                              </w:rPr>
                              <w:t>March 16, 2028</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377" w:type="dxa"/>
                            <w:tcBorders/>
                            <w:shd w:fill="DCEBF4" w:val="clear"/>
                            <w:vAlign w:val="center"/>
                          </w:tcPr>
                          <w:p>
                            <w:pPr>
                              <w:pStyle w:val="TableContents"/>
                              <w:bidi w:val="0"/>
                              <w:spacing w:before="0" w:after="283"/>
                              <w:jc w:val="left"/>
                              <w:rPr>
                                <w:sz w:val="16"/>
                              </w:rPr>
                            </w:pPr>
                            <w:r>
                              <w:rPr>
                                <w:sz w:val="16"/>
                              </w:rPr>
                              <w:t>March 21, 2028</w:t>
                            </w:r>
                          </w:p>
                        </w:tc>
                      </w:tr>
                      <w:tr>
                        <w:trPr/>
                        <w:tc>
                          <w:tcPr>
                            <w:tcW w:w="1828" w:type="dxa"/>
                            <w:tcBorders/>
                            <w:vAlign w:val="center"/>
                          </w:tcPr>
                          <w:p>
                            <w:pPr>
                              <w:pStyle w:val="TableContents"/>
                              <w:bidi w:val="0"/>
                              <w:spacing w:before="0" w:after="283"/>
                              <w:jc w:val="left"/>
                              <w:rPr>
                                <w:b/>
                                <w:color w:val="296DC1"/>
                                <w:sz w:val="16"/>
                              </w:rPr>
                            </w:pPr>
                            <w:r>
                              <w:rPr>
                                <w:b/>
                                <w:color w:val="296DC1"/>
                                <w:sz w:val="16"/>
                              </w:rPr>
                              <w:t>CUSIP / ISIN:</w:t>
                            </w:r>
                          </w:p>
                        </w:tc>
                        <w:tc>
                          <w:tcPr>
                            <w:tcW w:w="8377" w:type="dxa"/>
                            <w:tcBorders/>
                            <w:vAlign w:val="center"/>
                          </w:tcPr>
                          <w:p>
                            <w:pPr>
                              <w:pStyle w:val="TableContents"/>
                              <w:bidi w:val="0"/>
                              <w:spacing w:before="0" w:after="283"/>
                              <w:jc w:val="left"/>
                              <w:rPr>
                                <w:sz w:val="16"/>
                              </w:rPr>
                            </w:pPr>
                            <w:r>
                              <w:rPr>
                                <w:sz w:val="16"/>
                              </w:rPr>
                              <w:t>46661MR97 / US46661MR970</w:t>
                            </w:r>
                          </w:p>
                        </w:tc>
                      </w:tr>
                      <w:tr>
                        <w:trPr/>
                        <w:tc>
                          <w:tcPr>
                            <w:tcW w:w="1828"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377" w:type="dxa"/>
                            <w:tcBorders/>
                            <w:shd w:fill="DCEBF4" w:val="clear"/>
                            <w:vAlign w:val="center"/>
                          </w:tcPr>
                          <w:p>
                            <w:pPr>
                              <w:pStyle w:val="TableContents"/>
                              <w:bidi w:val="0"/>
                              <w:spacing w:before="0" w:after="283"/>
                              <w:jc w:val="left"/>
                              <w:rPr/>
                            </w:pPr>
                            <w:hyperlink r:id="rId3">
                              <w:r>
                                <w:rPr>
                                  <w:rStyle w:val="InternetLink"/>
                                  <w:sz w:val="16"/>
                                </w:rPr>
                                <w:t>http://www.sec.gov/Archives/edgar/data/</w:t>
                                <w:br/>
                                <w:t>19617/000121390026097364/ea0304659-01_424b2.htm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1023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3260" w:type="dxa"/>
                              <w:jc w:val="left"/>
                              <w:tblInd w:w="0" w:type="dxa"/>
                              <w:tblLayout w:type="fixed"/>
                              <w:tblCellMar>
                                <w:top w:w="0" w:type="dxa"/>
                                <w:left w:w="0" w:type="dxa"/>
                                <w:bottom w:w="0" w:type="dxa"/>
                                <w:right w:w="0" w:type="dxa"/>
                              </w:tblCellMar>
                            </w:tblPr>
                            <w:tblGrid>
                              <w:gridCol w:w="3260"/>
                            </w:tblGrid>
                            <w:tr>
                              <w:trPr/>
                              <w:tc>
                                <w:tcPr>
                                  <w:tcW w:w="3260" w:type="dxa"/>
                                  <w:tcBorders/>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Trigger Jump Securities Payoff Diagram*</w:t>
                                  </w:r>
                                </w:p>
                              </w:tc>
                            </w:tr>
                          </w:tbl>
                          <w:p>
                            <w:pPr>
                              <w:pStyle w:val="TextBody"/>
                              <w:bidi w:val="0"/>
                              <w:jc w:val="center"/>
                              <w:rPr>
                                <w:caps w:val="false"/>
                                <w:smallCaps w:val="false"/>
                              </w:rPr>
                            </w:pPr>
                            <w:r>
                              <w:rPr>
                                <w:caps w:val="false"/>
                                <w:smallCaps w:val="false"/>
                              </w:rPr>
                              <w:drawing>
                                <wp:inline distT="0" distB="0" distL="0" distR="0">
                                  <wp:extent cx="3867150" cy="25908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3867150" cy="2590800"/>
                                          </a:xfrm>
                                          <a:prstGeom prst="rect">
                                            <a:avLst/>
                                          </a:prstGeom>
                                        </pic:spPr>
                                      </pic:pic>
                                    </a:graphicData>
                                  </a:graphic>
                                </wp:inline>
                              </w:drawing>
                            </w:r>
                          </w:p>
                          <w:p>
                            <w:pPr>
                              <w:pStyle w:val="TextBody"/>
                              <w:bidi w:val="0"/>
                              <w:ind w:left="45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actual upside payment will be provided in the pricing supplement and will not be less than $271.50 per security.</w:t>
                            </w:r>
                          </w:p>
                          <w:tbl>
                            <w:tblPr>
                              <w:tblW w:w="3910" w:type="dxa"/>
                              <w:jc w:val="left"/>
                              <w:tblInd w:w="0" w:type="dxa"/>
                              <w:tblLayout w:type="fixed"/>
                              <w:tblCellMar>
                                <w:top w:w="0" w:type="dxa"/>
                                <w:left w:w="0" w:type="dxa"/>
                                <w:bottom w:w="0" w:type="dxa"/>
                                <w:right w:w="0" w:type="dxa"/>
                              </w:tblCellMar>
                            </w:tblPr>
                            <w:tblGrid>
                              <w:gridCol w:w="2060"/>
                              <w:gridCol w:w="1850"/>
                            </w:tblGrid>
                            <w:tr>
                              <w:trPr/>
                              <w:tc>
                                <w:tcPr>
                                  <w:tcW w:w="2060" w:type="dxa"/>
                                  <w:tcBorders/>
                                  <w:shd w:fill="296DC1"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Change in Underlying Stock</w:t>
                                  </w:r>
                                </w:p>
                              </w:tc>
                              <w:tc>
                                <w:tcPr>
                                  <w:tcW w:w="1850" w:type="dxa"/>
                                  <w:tcBorders/>
                                  <w:shd w:fill="296DC1"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Return on the Securities*</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06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85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06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c>
                                <w:tcPr>
                                  <w:tcW w:w="185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bl>
                          <w:tbl>
                            <w:tblPr>
                              <w:tblW w:w="5180" w:type="dxa"/>
                              <w:jc w:val="left"/>
                              <w:tblInd w:w="0" w:type="dxa"/>
                              <w:tblLayout w:type="fixed"/>
                              <w:tblCellMar>
                                <w:top w:w="0" w:type="dxa"/>
                                <w:left w:w="0" w:type="dxa"/>
                                <w:bottom w:w="0" w:type="dxa"/>
                                <w:right w:w="0" w:type="dxa"/>
                              </w:tblCellMar>
                            </w:tblPr>
                            <w:tblGrid>
                              <w:gridCol w:w="2590"/>
                              <w:gridCol w:w="2590"/>
                            </w:tblGrid>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-30.01%</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-30.01%</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r>
                              <w:trPr/>
                              <w:tc>
                                <w:tcPr>
                                  <w:tcW w:w="5180" w:type="dxa"/>
                                  <w:gridSpan w:val="2"/>
                                  <w:tcBorders/>
                                  <w:vAlign w:val="center"/>
                                </w:tcPr>
                                <w:p>
                                  <w:pPr>
                                    <w:pStyle w:val="TableContents"/>
                                    <w:bidi w:val="0"/>
                                    <w:spacing w:before="0" w:after="283"/>
                                    <w:jc w:val="center"/>
                                    <w:rPr>
                                      <w:rFonts w:ascii="Arial;Helvetica;Sans-Serif" w:hAnsi="Arial;Helvetica;Sans-Serif"/>
                                      <w:i/>
                                      <w:sz w:val="16"/>
                                    </w:rPr>
                                  </w:pPr>
                                  <w:r>
                                    <w:rPr>
                                      <w:rFonts w:ascii="Arial;Helvetica;Sans-Serif" w:hAnsi="Arial;Helvetica;Sans-Serif"/>
                                      <w:i/>
                                      <w:sz w:val="16"/>
                                    </w:rPr>
                                    <w:t>*Assumes an upside payment of 27.15% of the stated principal amount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265.35pt;mso-position-horizontal:right;mso-position-horizontal-relative:text">
                <v:textbox>
                  <w:txbxContent>
                    <w:tbl>
                      <w:tblPr>
                        <w:tblW w:w="3260" w:type="dxa"/>
                        <w:jc w:val="left"/>
                        <w:tblInd w:w="0" w:type="dxa"/>
                        <w:tblLayout w:type="fixed"/>
                        <w:tblCellMar>
                          <w:top w:w="0" w:type="dxa"/>
                          <w:left w:w="0" w:type="dxa"/>
                          <w:bottom w:w="0" w:type="dxa"/>
                          <w:right w:w="0" w:type="dxa"/>
                        </w:tblCellMar>
                      </w:tblPr>
                      <w:tblGrid>
                        <w:gridCol w:w="3260"/>
                      </w:tblGrid>
                      <w:tr>
                        <w:trPr/>
                        <w:tc>
                          <w:tcPr>
                            <w:tcW w:w="3260" w:type="dxa"/>
                            <w:tcBorders/>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Trigger Jump Securities Payoff Diagram*</w:t>
                            </w:r>
                          </w:p>
                        </w:tc>
                      </w:tr>
                    </w:tbl>
                    <w:p>
                      <w:pPr>
                        <w:pStyle w:val="TextBody"/>
                        <w:bidi w:val="0"/>
                        <w:jc w:val="center"/>
                        <w:rPr>
                          <w:caps w:val="false"/>
                          <w:smallCaps w:val="false"/>
                        </w:rPr>
                      </w:pPr>
                      <w:r>
                        <w:rPr>
                          <w:caps w:val="false"/>
                          <w:smallCaps w:val="false"/>
                        </w:rPr>
                        <w:drawing>
                          <wp:inline distT="0" distB="0" distL="0" distR="0">
                            <wp:extent cx="3867150" cy="2590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3867150" cy="2590800"/>
                                    </a:xfrm>
                                    <a:prstGeom prst="rect">
                                      <a:avLst/>
                                    </a:prstGeom>
                                  </pic:spPr>
                                </pic:pic>
                              </a:graphicData>
                            </a:graphic>
                          </wp:inline>
                        </w:drawing>
                      </w:r>
                    </w:p>
                    <w:p>
                      <w:pPr>
                        <w:pStyle w:val="TextBody"/>
                        <w:bidi w:val="0"/>
                        <w:ind w:left="45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actual upside payment will be provided in the pricing supplement and will not be less than $271.50 per security.</w:t>
                      </w:r>
                    </w:p>
                    <w:tbl>
                      <w:tblPr>
                        <w:tblW w:w="3910" w:type="dxa"/>
                        <w:jc w:val="left"/>
                        <w:tblInd w:w="0" w:type="dxa"/>
                        <w:tblLayout w:type="fixed"/>
                        <w:tblCellMar>
                          <w:top w:w="0" w:type="dxa"/>
                          <w:left w:w="0" w:type="dxa"/>
                          <w:bottom w:w="0" w:type="dxa"/>
                          <w:right w:w="0" w:type="dxa"/>
                        </w:tblCellMar>
                      </w:tblPr>
                      <w:tblGrid>
                        <w:gridCol w:w="2060"/>
                        <w:gridCol w:w="1850"/>
                      </w:tblGrid>
                      <w:tr>
                        <w:trPr/>
                        <w:tc>
                          <w:tcPr>
                            <w:tcW w:w="2060" w:type="dxa"/>
                            <w:tcBorders/>
                            <w:shd w:fill="296DC1"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Change in Underlying Stock</w:t>
                            </w:r>
                          </w:p>
                        </w:tc>
                        <w:tc>
                          <w:tcPr>
                            <w:tcW w:w="1850" w:type="dxa"/>
                            <w:tcBorders/>
                            <w:shd w:fill="296DC1"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Return on the Securities*</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06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85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06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c>
                          <w:tcPr>
                            <w:tcW w:w="185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06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8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06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185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bl>
                    <w:tbl>
                      <w:tblPr>
                        <w:tblW w:w="5180" w:type="dxa"/>
                        <w:jc w:val="left"/>
                        <w:tblInd w:w="0" w:type="dxa"/>
                        <w:tblLayout w:type="fixed"/>
                        <w:tblCellMar>
                          <w:top w:w="0" w:type="dxa"/>
                          <w:left w:w="0" w:type="dxa"/>
                          <w:bottom w:w="0" w:type="dxa"/>
                          <w:right w:w="0" w:type="dxa"/>
                        </w:tblCellMar>
                      </w:tblPr>
                      <w:tblGrid>
                        <w:gridCol w:w="2590"/>
                        <w:gridCol w:w="2590"/>
                      </w:tblGrid>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27.15%</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-30.01%</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-30.01%</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r>
                        <w:trPr/>
                        <w:tc>
                          <w:tcPr>
                            <w:tcW w:w="5180" w:type="dxa"/>
                            <w:gridSpan w:val="2"/>
                            <w:tcBorders/>
                            <w:vAlign w:val="center"/>
                          </w:tcPr>
                          <w:p>
                            <w:pPr>
                              <w:pStyle w:val="TableContents"/>
                              <w:bidi w:val="0"/>
                              <w:spacing w:before="0" w:after="283"/>
                              <w:jc w:val="center"/>
                              <w:rPr>
                                <w:rFonts w:ascii="Arial;Helvetica;Sans-Serif" w:hAnsi="Arial;Helvetica;Sans-Serif"/>
                                <w:i/>
                                <w:sz w:val="16"/>
                              </w:rPr>
                            </w:pPr>
                            <w:r>
                              <w:rPr>
                                <w:rFonts w:ascii="Arial;Helvetica;Sans-Serif" w:hAnsi="Arial;Helvetica;Sans-Serif"/>
                                <w:i/>
                                <w:sz w:val="16"/>
                              </w:rPr>
                              <w:t>*Assumes an upside payment of 27.15% of the stated principal amount</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18-Month Trigger Jump Securities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Stock</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stock, including historical performance information, see the accompanying preliminary pricing supplement.</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8" w:type="dxa"/>
            <w:tcBorders/>
            <w:vAlign w:val="center"/>
          </w:tcPr>
          <w:p>
            <w:pPr>
              <w:pStyle w:val="TableContents"/>
              <w:bidi w:val="0"/>
              <w:spacing w:before="0" w:after="283"/>
              <w:jc w:val="left"/>
              <w:rPr>
                <w:sz w:val="18"/>
              </w:rPr>
            </w:pPr>
            <w:r>
              <w:rPr>
                <w:sz w:val="18"/>
              </w:rPr>
              <w:t>The securities do not pay interest or guarantee the return of any principal and your investment in the securities may result in a loss.</w:t>
            </w:r>
          </w:p>
        </w:tc>
      </w:tr>
    </w:tbl>
    <w:tbl>
      <w:tblPr>
        <w:tblW w:w="5000" w:type="pct"/>
        <w:jc w:val="left"/>
        <w:tblInd w:w="0" w:type="dxa"/>
        <w:tblLayout w:type="fixed"/>
        <w:tblCellMar>
          <w:top w:w="0" w:type="dxa"/>
          <w:left w:w="0" w:type="dxa"/>
          <w:bottom w:w="0" w:type="dxa"/>
          <w:right w:w="0" w:type="dxa"/>
        </w:tblCellMar>
      </w:tblPr>
      <w:tblGrid>
        <w:gridCol w:w="121"/>
        <w:gridCol w:w="398"/>
        <w:gridCol w:w="9686"/>
      </w:tblGrid>
      <w:tr>
        <w:trPr/>
        <w:tc>
          <w:tcPr>
            <w:tcW w:w="12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686" w:type="dxa"/>
            <w:tcBorders/>
            <w:vAlign w:val="center"/>
          </w:tcPr>
          <w:p>
            <w:pPr>
              <w:pStyle w:val="TableContents"/>
              <w:bidi w:val="0"/>
              <w:spacing w:before="0" w:after="283"/>
              <w:jc w:val="left"/>
              <w:rPr>
                <w:sz w:val="18"/>
              </w:rPr>
            </w:pPr>
            <w:r>
              <w:rPr>
                <w:sz w:val="18"/>
              </w:rPr>
              <w:t>Appreciation potential is fixed and limited.</w:t>
            </w:r>
          </w:p>
        </w:tc>
      </w:tr>
    </w:tbl>
    <w:tbl>
      <w:tblPr>
        <w:tblW w:w="5000" w:type="pct"/>
        <w:jc w:val="left"/>
        <w:tblInd w:w="0" w:type="dxa"/>
        <w:tblLayout w:type="fixed"/>
        <w:tblCellMar>
          <w:top w:w="0" w:type="dxa"/>
          <w:left w:w="0" w:type="dxa"/>
          <w:bottom w:w="0" w:type="dxa"/>
          <w:right w:w="0" w:type="dxa"/>
        </w:tblCellMar>
      </w:tblPr>
      <w:tblGrid>
        <w:gridCol w:w="67"/>
        <w:gridCol w:w="221"/>
        <w:gridCol w:w="9917"/>
      </w:tblGrid>
      <w:tr>
        <w:trPr/>
        <w:tc>
          <w:tcPr>
            <w:tcW w:w="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17" w:type="dxa"/>
            <w:tcBorders/>
            <w:vAlign w:val="center"/>
          </w:tcPr>
          <w:p>
            <w:pPr>
              <w:pStyle w:val="TableContents"/>
              <w:bidi w:val="0"/>
              <w:spacing w:before="0" w:after="283"/>
              <w:jc w:val="left"/>
              <w:rPr>
                <w:sz w:val="18"/>
              </w:rPr>
            </w:pPr>
            <w:r>
              <w:rPr>
                <w:sz w:val="18"/>
              </w:rPr>
              <w:t>Your ability to receive the upside payment may terminate on the valuation date.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9" w:type="dxa"/>
            <w:tcBorders/>
            <w:vAlign w:val="center"/>
          </w:tcPr>
          <w:p>
            <w:pPr>
              <w:pStyle w:val="TableContents"/>
              <w:bidi w:val="0"/>
              <w:spacing w:before="0" w:after="283"/>
              <w:jc w:val="left"/>
              <w:rPr>
                <w:sz w:val="18"/>
              </w:rPr>
            </w:pPr>
            <w:r>
              <w:rPr>
                <w:sz w:val="18"/>
              </w:rPr>
              <w:t>The benefit provided by the trigger level may terminate on the valuation date.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securities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59"/>
        <w:gridCol w:w="196"/>
        <w:gridCol w:w="9950"/>
      </w:tblGrid>
      <w:tr>
        <w:trPr/>
        <w:tc>
          <w:tcPr>
            <w:tcW w:w="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50" w:type="dxa"/>
            <w:tcBorders/>
            <w:vAlign w:val="center"/>
          </w:tcPr>
          <w:p>
            <w:pPr>
              <w:pStyle w:val="TableContents"/>
              <w:bidi w:val="0"/>
              <w:spacing w:before="0" w:after="283"/>
              <w:jc w:val="left"/>
              <w:rPr>
                <w:sz w:val="18"/>
              </w:rPr>
            </w:pPr>
            <w:r>
              <w:rPr>
                <w:sz w:val="18"/>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securities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20" w:type="dxa"/>
            <w:tcBorders/>
            <w:vAlign w:val="center"/>
          </w:tcPr>
          <w:p>
            <w:pPr>
              <w:pStyle w:val="TableContents"/>
              <w:bidi w:val="0"/>
              <w:spacing w:before="0" w:after="283"/>
              <w:jc w:val="left"/>
              <w:rPr>
                <w:sz w:val="18"/>
              </w:rPr>
            </w:pPr>
            <w:r>
              <w:rPr>
                <w:sz w:val="18"/>
              </w:rPr>
              <w:t>The estimated value of the securities does not represent future values of the securities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2"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securities </w:t>
            </w:r>
            <w:r>
              <w:rPr>
                <w:rFonts w:ascii="Arial;Helvetica;Sans-Serif" w:hAnsi="Arial;Helvetica;Sans-Serif"/>
                <w:b w:val="false"/>
                <w:sz w:val="18"/>
              </w:rPr>
              <w:t>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securities </w:t>
            </w:r>
            <w:r>
              <w:rPr>
                <w:rFonts w:ascii="Arial;Helvetica;Sans-Serif" w:hAnsi="Arial;Helvetica;Sans-Serif"/>
                <w:b w:val="false"/>
                <w:sz w:val="18"/>
              </w:rPr>
              <w:t xml:space="preserve">as published by J.P. Morgan Securities LLC (and which may be reflected on customer account statements) may be higher than the then-current estimated value of the </w:t>
            </w:r>
            <w:r>
              <w:rPr>
                <w:sz w:val="18"/>
              </w:rPr>
              <w:t xml:space="preserve">securities </w:t>
            </w:r>
            <w:r>
              <w:rPr>
                <w:rFonts w:ascii="Arial;Helvetica;Sans-Serif" w:hAnsi="Arial;Helvetica;Sans-Serif"/>
                <w:b w:val="false"/>
                <w:sz w:val="18"/>
              </w:rPr>
              <w:t>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securities </w:t>
            </w:r>
            <w:r>
              <w:rPr>
                <w:rFonts w:ascii="Arial;Helvetica;Sans-Serif" w:hAnsi="Arial;Helvetica;Sans-Serif"/>
                <w:b w:val="false"/>
                <w:sz w:val="18"/>
              </w:rPr>
              <w:t>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Stock</w:t>
      </w:r>
    </w:p>
    <w:tbl>
      <w:tblPr>
        <w:tblW w:w="5000" w:type="pct"/>
        <w:jc w:val="left"/>
        <w:tblInd w:w="0" w:type="dxa"/>
        <w:tblLayout w:type="fixed"/>
        <w:tblCellMar>
          <w:top w:w="0" w:type="dxa"/>
          <w:left w:w="0" w:type="dxa"/>
          <w:bottom w:w="0" w:type="dxa"/>
          <w:right w:w="0" w:type="dxa"/>
        </w:tblCellMar>
      </w:tblPr>
      <w:tblGrid>
        <w:gridCol w:w="58"/>
        <w:gridCol w:w="194"/>
        <w:gridCol w:w="9953"/>
      </w:tblGrid>
      <w:tr>
        <w:trPr/>
        <w:tc>
          <w:tcPr>
            <w:tcW w:w="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5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 xml:space="preserve">Investing in the securities is not equivalent to investing in the underlying stock. </w:t>
            </w:r>
          </w:p>
        </w:tc>
      </w:tr>
    </w:tbl>
    <w:tbl>
      <w:tblPr>
        <w:tblW w:w="5000" w:type="pct"/>
        <w:jc w:val="left"/>
        <w:tblInd w:w="0" w:type="dxa"/>
        <w:tblLayout w:type="fixed"/>
        <w:tblCellMar>
          <w:top w:w="0" w:type="dxa"/>
          <w:left w:w="0" w:type="dxa"/>
          <w:bottom w:w="0" w:type="dxa"/>
          <w:right w:w="0" w:type="dxa"/>
        </w:tblCellMar>
      </w:tblPr>
      <w:tblGrid>
        <w:gridCol w:w="127"/>
        <w:gridCol w:w="421"/>
        <w:gridCol w:w="9657"/>
      </w:tblGrid>
      <w:tr>
        <w:trPr/>
        <w:tc>
          <w:tcPr>
            <w:tcW w:w="12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657" w:type="dxa"/>
            <w:tcBorders/>
            <w:vAlign w:val="center"/>
          </w:tcPr>
          <w:p>
            <w:pPr>
              <w:pStyle w:val="TableContents"/>
              <w:bidi w:val="0"/>
              <w:spacing w:before="0" w:after="283"/>
              <w:jc w:val="left"/>
              <w:rPr/>
            </w:pPr>
            <w:r>
              <w:rPr>
                <w:rFonts w:ascii="Arial;Helvetica;Sans-Serif" w:hAnsi="Arial;Helvetica;Sans-Serif"/>
                <w:b w:val="false"/>
                <w:sz w:val="18"/>
              </w:rPr>
              <w:t>No affiliation with</w:t>
            </w:r>
            <w:r>
              <w:rPr/>
              <w:t xml:space="preserve"> </w:t>
            </w:r>
            <w:r>
              <w:rPr>
                <w:rFonts w:ascii="Arial;Helvetica;Sans-Serif" w:hAnsi="Arial;Helvetica;Sans-Serif"/>
                <w:b w:val="false"/>
              </w:rPr>
              <w:t>Alphabet Inc</w:t>
            </w:r>
            <w:r>
              <w:rPr>
                <w:sz w:val="18"/>
              </w:rPr>
              <w:t>.</w:t>
            </w:r>
          </w:p>
        </w:tc>
      </w:tr>
    </w:tbl>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2" w:type="dxa"/>
            <w:tcBorders/>
            <w:vAlign w:val="center"/>
          </w:tcPr>
          <w:p>
            <w:pPr>
              <w:pStyle w:val="TableContents"/>
              <w:bidi w:val="0"/>
              <w:spacing w:before="0" w:after="283"/>
              <w:jc w:val="left"/>
              <w:rPr/>
            </w:pPr>
            <w:r>
              <w:rPr>
                <w:rFonts w:ascii="Arial;Helvetica;Sans-Serif" w:hAnsi="Arial;Helvetica;Sans-Serif"/>
                <w:b w:val="false"/>
                <w:sz w:val="18"/>
              </w:rPr>
              <w:t xml:space="preserve">We may engage in business with or involving </w:t>
            </w:r>
            <w:r>
              <w:rPr>
                <w:rFonts w:ascii="Arial;Helvetica;Sans-Serif" w:hAnsi="Arial;Helvetica;Sans-Serif"/>
                <w:b w:val="false"/>
              </w:rPr>
              <w:t xml:space="preserve">Alphabet </w:t>
            </w:r>
            <w:r>
              <w:rPr>
                <w:sz w:val="18"/>
              </w:rPr>
              <w:t xml:space="preserve">Inc. </w:t>
            </w:r>
            <w:r>
              <w:rPr>
                <w:rFonts w:ascii="Arial;Helvetica;Sans-Serif" w:hAnsi="Arial;Helvetica;Sans-Serif"/>
                <w:b w:val="false"/>
                <w:sz w:val="18"/>
              </w:rPr>
              <w:t>without regard to your interests.</w:t>
            </w:r>
          </w:p>
        </w:tc>
      </w:tr>
    </w:tbl>
    <w:tbl>
      <w:tblPr>
        <w:tblW w:w="5000" w:type="pct"/>
        <w:jc w:val="left"/>
        <w:tblInd w:w="0" w:type="dxa"/>
        <w:tblLayout w:type="fixed"/>
        <w:tblCellMar>
          <w:top w:w="0" w:type="dxa"/>
          <w:left w:w="0" w:type="dxa"/>
          <w:bottom w:w="0" w:type="dxa"/>
          <w:right w:w="0" w:type="dxa"/>
        </w:tblCellMar>
      </w:tblPr>
      <w:tblGrid>
        <w:gridCol w:w="53"/>
        <w:gridCol w:w="177"/>
        <w:gridCol w:w="9975"/>
      </w:tblGrid>
      <w:tr>
        <w:trPr/>
        <w:tc>
          <w:tcPr>
            <w:tcW w:w="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5"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anti-dilution protection for the underlying stock is limited and may be discretionary.</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200"/>
        <w:ind w:left="360" w:right="0" w:hanging="0"/>
        <w:jc w:val="left"/>
        <w:rPr>
          <w:caps w:val="false"/>
          <w:smallCaps w:val="false"/>
        </w:rPr>
      </w:pPr>
      <w:r>
        <w:rPr>
          <w:caps w:val="false"/>
          <w:smallCaps w:val="false"/>
        </w:rPr>
        <w:t> </w:t>
      </w:r>
    </w:p>
    <w:p>
      <w:pPr>
        <w:pStyle w:val="TextBody"/>
        <w:bidi w:val="0"/>
        <w:ind w:left="120" w:right="120" w:hanging="0"/>
        <w:jc w:val="left"/>
        <w:rPr>
          <w:bdr w:val="single" w:sz="8" w:space="1" w:color="000000"/>
        </w:rPr>
      </w:pPr>
      <w:r>
        <w:rPr>
          <w:bdr w:val="single" w:sz="8" w:space="1" w:color="000000"/>
        </w:rPr>
        <w:t> </w:t>
      </w:r>
    </w:p>
    <w:p>
      <w:pPr>
        <w:pStyle w:val="TextBody"/>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97364/ea0304659-01_424b2.htm" TargetMode="External"/><Relationship Id="rId3" Type="http://schemas.openxmlformats.org/officeDocument/2006/relationships/hyperlink" Target="http://www.sec.gov/Archives/edgar/data/19617/000121390026097364/ea0304659-01_424b2.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1288</Words>
  <Characters>7007</Characters>
  <CharactersWithSpaces>8169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