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186055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201930</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May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231775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JPMorgan Chase &amp; Co.</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182880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tbl>
      <w:tblPr>
        <w:tblLayout w:type="fixed"/>
        <w:tblInd w:w="2620" w:type="dxa"/>
        <w:tblCellMar>
          <w:top w:w="0" w:type="dxa"/>
          <w:left w:w="0" w:type="dxa"/>
          <w:bottom w:w="0" w:type="dxa"/>
          <w:right w:w="0" w:type="dxa"/>
        </w:tblCellMar>
      </w:tblPr>
      <w:tr>
        <w:trPr>
          <w:trHeight w:val="172"/>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8"/>
              </w:rPr>
              <w:t>Delaware</w:t>
            </w:r>
          </w:p>
        </w:tc>
        <w:tc>
          <w:tcPr>
            <w:tcW w:w="1580" w:type="dxa"/>
            <w:vAlign w:val="bottom"/>
          </w:tcPr>
          <w:p>
            <w:pPr>
              <w:jc w:val="center"/>
              <w:ind w:right="197"/>
              <w:spacing w:after="0"/>
              <w:rPr>
                <w:sz w:val="20"/>
                <w:szCs w:val="20"/>
                <w:color w:val="auto"/>
              </w:rPr>
            </w:pPr>
            <w:r>
              <w:rPr>
                <w:rFonts w:ascii="Arial" w:cs="Arial" w:eastAsia="Arial" w:hAnsi="Arial"/>
                <w:sz w:val="13"/>
                <w:szCs w:val="13"/>
                <w:b w:val="1"/>
                <w:bCs w:val="1"/>
                <w:color w:val="auto"/>
                <w:w w:val="98"/>
              </w:rPr>
              <w:t>1-5805</w:t>
            </w:r>
          </w:p>
        </w:tc>
        <w:tc>
          <w:tcPr>
            <w:tcW w:w="1440" w:type="dxa"/>
            <w:vAlign w:val="bottom"/>
          </w:tcPr>
          <w:p>
            <w:pPr>
              <w:jc w:val="right"/>
              <w:ind w:right="137"/>
              <w:spacing w:after="0"/>
              <w:rPr>
                <w:sz w:val="20"/>
                <w:szCs w:val="20"/>
                <w:color w:val="auto"/>
              </w:rPr>
            </w:pPr>
            <w:r>
              <w:rPr>
                <w:rFonts w:ascii="Arial" w:cs="Arial" w:eastAsia="Arial" w:hAnsi="Arial"/>
                <w:sz w:val="13"/>
                <w:szCs w:val="13"/>
                <w:b w:val="1"/>
                <w:bCs w:val="1"/>
                <w:color w:val="auto"/>
              </w:rPr>
              <w:t>13-2624428</w:t>
            </w:r>
          </w:p>
        </w:tc>
      </w:tr>
      <w:tr>
        <w:trPr>
          <w:trHeight w:val="130"/>
        </w:trPr>
        <w:tc>
          <w:tcPr>
            <w:tcW w:w="250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6"/>
              </w:rPr>
              <w:t>(State or other jurisdiction of</w:t>
            </w:r>
          </w:p>
        </w:tc>
        <w:tc>
          <w:tcPr>
            <w:tcW w:w="1580" w:type="dxa"/>
            <w:vAlign w:val="bottom"/>
          </w:tcPr>
          <w:p>
            <w:pPr>
              <w:jc w:val="center"/>
              <w:ind w:right="197"/>
              <w:spacing w:after="0" w:line="129" w:lineRule="exact"/>
              <w:rPr>
                <w:sz w:val="20"/>
                <w:szCs w:val="20"/>
                <w:color w:val="auto"/>
              </w:rPr>
            </w:pPr>
            <w:r>
              <w:rPr>
                <w:rFonts w:ascii="Arial" w:cs="Arial" w:eastAsia="Arial" w:hAnsi="Arial"/>
                <w:sz w:val="13"/>
                <w:szCs w:val="13"/>
                <w:b w:val="1"/>
                <w:bCs w:val="1"/>
                <w:color w:val="auto"/>
                <w:w w:val="95"/>
              </w:rPr>
              <w:t>(Commission File</w:t>
            </w:r>
          </w:p>
        </w:tc>
        <w:tc>
          <w:tcPr>
            <w:tcW w:w="1440" w:type="dxa"/>
            <w:vAlign w:val="bottom"/>
          </w:tcPr>
          <w:p>
            <w:pPr>
              <w:jc w:val="center"/>
              <w:ind w:left="317"/>
              <w:spacing w:after="0" w:line="129" w:lineRule="exact"/>
              <w:rPr>
                <w:sz w:val="20"/>
                <w:szCs w:val="20"/>
                <w:color w:val="auto"/>
              </w:rPr>
            </w:pPr>
            <w:r>
              <w:rPr>
                <w:rFonts w:ascii="Arial" w:cs="Arial" w:eastAsia="Arial" w:hAnsi="Arial"/>
                <w:sz w:val="13"/>
                <w:szCs w:val="13"/>
                <w:b w:val="1"/>
                <w:bCs w:val="1"/>
                <w:color w:val="auto"/>
                <w:w w:val="95"/>
              </w:rPr>
              <w:t>(I.R.S. employer</w:t>
            </w:r>
          </w:p>
        </w:tc>
      </w:tr>
      <w:tr>
        <w:trPr>
          <w:trHeight w:val="172"/>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incorporation or organization)</w:t>
            </w:r>
          </w:p>
        </w:tc>
        <w:tc>
          <w:tcPr>
            <w:tcW w:w="1580" w:type="dxa"/>
            <w:vAlign w:val="bottom"/>
          </w:tcPr>
          <w:p>
            <w:pPr>
              <w:jc w:val="center"/>
              <w:ind w:right="197"/>
              <w:spacing w:after="0"/>
              <w:rPr>
                <w:sz w:val="20"/>
                <w:szCs w:val="20"/>
                <w:color w:val="auto"/>
              </w:rPr>
            </w:pPr>
            <w:r>
              <w:rPr>
                <w:rFonts w:ascii="Arial" w:cs="Arial" w:eastAsia="Arial" w:hAnsi="Arial"/>
                <w:sz w:val="13"/>
                <w:szCs w:val="13"/>
                <w:b w:val="1"/>
                <w:bCs w:val="1"/>
                <w:color w:val="auto"/>
                <w:w w:val="97"/>
              </w:rPr>
              <w:t>Number)</w:t>
            </w:r>
          </w:p>
        </w:tc>
        <w:tc>
          <w:tcPr>
            <w:tcW w:w="144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identification no.)</w:t>
            </w:r>
          </w:p>
        </w:tc>
      </w:tr>
      <w:tr>
        <w:trPr>
          <w:trHeight w:val="306"/>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383 Madison Avenue,</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2500" w:type="dxa"/>
            <w:vAlign w:val="bottom"/>
          </w:tcPr>
          <w:p>
            <w:pPr>
              <w:ind w:left="540"/>
              <w:spacing w:after="0"/>
              <w:rPr>
                <w:sz w:val="20"/>
                <w:szCs w:val="20"/>
                <w:color w:val="auto"/>
              </w:rPr>
            </w:pPr>
            <w:r>
              <w:rPr>
                <w:rFonts w:ascii="Arial" w:cs="Arial" w:eastAsia="Arial" w:hAnsi="Arial"/>
                <w:sz w:val="13"/>
                <w:szCs w:val="13"/>
                <w:b w:val="1"/>
                <w:bCs w:val="1"/>
                <w:color w:val="auto"/>
              </w:rPr>
              <w:t>New York, New York</w:t>
            </w:r>
          </w:p>
        </w:tc>
        <w:tc>
          <w:tcPr>
            <w:tcW w:w="1580" w:type="dxa"/>
            <w:vAlign w:val="bottom"/>
          </w:tcPr>
          <w:p>
            <w:pPr>
              <w:spacing w:after="0"/>
              <w:rPr>
                <w:sz w:val="15"/>
                <w:szCs w:val="15"/>
                <w:color w:val="auto"/>
              </w:rPr>
            </w:pPr>
          </w:p>
        </w:tc>
        <w:tc>
          <w:tcPr>
            <w:tcW w:w="1440" w:type="dxa"/>
            <w:vAlign w:val="bottom"/>
          </w:tcPr>
          <w:p>
            <w:pPr>
              <w:jc w:val="right"/>
              <w:ind w:right="297"/>
              <w:spacing w:after="0"/>
              <w:rPr>
                <w:sz w:val="20"/>
                <w:szCs w:val="20"/>
                <w:color w:val="auto"/>
              </w:rPr>
            </w:pPr>
            <w:r>
              <w:rPr>
                <w:rFonts w:ascii="Arial" w:cs="Arial" w:eastAsia="Arial" w:hAnsi="Arial"/>
                <w:sz w:val="13"/>
                <w:szCs w:val="13"/>
                <w:b w:val="1"/>
                <w:bCs w:val="1"/>
                <w:color w:val="auto"/>
              </w:rPr>
              <w:t>10179</w:t>
            </w:r>
          </w:p>
        </w:tc>
      </w:tr>
      <w:tr>
        <w:trPr>
          <w:trHeight w:val="216"/>
        </w:trPr>
        <w:tc>
          <w:tcPr>
            <w:tcW w:w="250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1580" w:type="dxa"/>
            <w:vAlign w:val="bottom"/>
          </w:tcPr>
          <w:p>
            <w:pPr>
              <w:spacing w:after="0"/>
              <w:rPr>
                <w:sz w:val="18"/>
                <w:szCs w:val="18"/>
                <w:color w:val="auto"/>
              </w:rPr>
            </w:pPr>
          </w:p>
        </w:tc>
        <w:tc>
          <w:tcPr>
            <w:tcW w:w="144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(Zip Code)</w:t>
            </w:r>
          </w:p>
        </w:tc>
      </w:tr>
    </w:tbl>
    <w:p>
      <w:pPr>
        <w:spacing w:after="0" w:line="8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1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Written communications pursuant to Rule 425 under the Securities Act (17 CFR 230.425)</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Soliciting material pursuant to Rule 14a-12 under the Exchange Act (17 CFR 240.14a-12)</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14d-2(b) under the Exchange Act (17 CFR 240.14d-2(b))</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13e-4(c) under the Exchange Act (17 CFR 240.13e-4(c))</w:t>
      </w:r>
    </w:p>
    <w:p>
      <w:pPr>
        <w:spacing w:after="0" w:line="11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7" w:lineRule="exact"/>
        <w:rPr>
          <w:sz w:val="24"/>
          <w:szCs w:val="24"/>
          <w:color w:val="auto"/>
        </w:rPr>
      </w:pPr>
    </w:p>
    <w:tbl>
      <w:tblPr>
        <w:tblLayout w:type="fixed"/>
        <w:tblInd w:w="100" w:type="dxa"/>
        <w:tblCellMar>
          <w:top w:w="0" w:type="dxa"/>
          <w:left w:w="0" w:type="dxa"/>
          <w:bottom w:w="0" w:type="dxa"/>
          <w:right w:w="0" w:type="dxa"/>
        </w:tblCellMar>
      </w:tblPr>
      <w:tr>
        <w:trPr>
          <w:trHeight w:val="149"/>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Title of each class</w:t>
            </w:r>
          </w:p>
        </w:tc>
        <w:tc>
          <w:tcPr>
            <w:tcW w:w="4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Trading Symbol(s)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88"/>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Common stock</w:t>
            </w: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rPr>
              <w:t>JPM</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The New York Stock Exchange</w:t>
            </w: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5.75%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D</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DD</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6.00%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C</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EE</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4.75%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J</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GG</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4.55%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K</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JJ</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4.625%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L</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LL</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4.20%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M</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MM</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75"/>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Alerian MLP Index ETNs due May 24, 2024</w:t>
            </w: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rPr>
              <w:t>AMJ</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NYSE Arca, Inc.</w:t>
            </w: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97"/>
              </w:rPr>
              <w:t>Guarantee of Callable Fixed Rate Notes due June 10, 2032 of JPMorgan Chase Financial Company</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JPM/32</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LLC</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Guarantee of Alerian MLP Index ETNs due January 28, 2044 of JPMorgan Chase Financial</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AMJB</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NYSE Arca, Inc.</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Company LLC</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93" w:lineRule="exact"/>
        <w:rPr>
          <w:sz w:val="24"/>
          <w:szCs w:val="24"/>
          <w:color w:val="auto"/>
        </w:rPr>
      </w:pPr>
    </w:p>
    <w:p>
      <w:pPr>
        <w:spacing w:after="0" w:line="272"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4" w:lineRule="exact"/>
        <w:rPr>
          <w:sz w:val="24"/>
          <w:szCs w:val="24"/>
          <w:color w:val="auto"/>
        </w:rPr>
      </w:pPr>
    </w:p>
    <w:p>
      <w:pPr>
        <w:ind w:right="12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8"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5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May 6, 2024, JPMorgan Chase &amp; Co. (“the Firm”) announced that Visa Inc. accepted the Firm’s tender of its 37.2 million shares of Visa Class B-1 common stock in exchange for a combination of Visa Class B-2 common stock and Visa Class C common stock. Visa’s acceptance has resulted in a gain for the Firm of approximately $8 billion relating to the Visa Class C common stock, which is held at fair value. The Visa Class B-2 common stock is held at the nominal carryover basis of the tendered Visa Class B-1 common stock. Refer to pages 8 and 100 of JPMorgan Chase’s Quarterly Report on Form 10-Q for the quarter ended March 31, 2024 for further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Firm intends to donate a portion of the Visa Class C common stock with a value of approximately $1 billion to the JPMorgan Chase</w:t>
      </w:r>
    </w:p>
    <w:p>
      <w:pPr>
        <w:spacing w:after="0" w:line="14"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Foundation. This donation will be recorded in non-compensation expense in 2024 and is expected to prefund the Firm’s anticipated contributions to the Foundation for the next several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copy of the Firm’s press release relating to this announcement is attached as Exhibit 99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35"/>
        </w:trPr>
        <w:tc>
          <w:tcPr>
            <w:tcW w:w="1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8440" w:type="dxa"/>
            <w:vAlign w:val="bottom"/>
            <w:gridSpan w:val="2"/>
          </w:tcPr>
          <w:p>
            <w:pPr>
              <w:ind w:left="3280"/>
              <w:spacing w:after="0"/>
              <w:rPr>
                <w:sz w:val="20"/>
                <w:szCs w:val="20"/>
                <w:color w:val="auto"/>
              </w:rPr>
            </w:pPr>
            <w:r>
              <w:rPr>
                <w:rFonts w:ascii="Arial" w:cs="Arial" w:eastAsia="Arial" w:hAnsi="Arial"/>
                <w:sz w:val="18"/>
                <w:szCs w:val="18"/>
                <w:b w:val="1"/>
                <w:bCs w:val="1"/>
                <w:color w:val="auto"/>
              </w:rPr>
              <w:t>Description of Exhibit</w:t>
            </w:r>
          </w:p>
        </w:tc>
      </w:tr>
      <w:tr>
        <w:trPr>
          <w:trHeight w:val="412"/>
        </w:trPr>
        <w:tc>
          <w:tcPr>
            <w:tcW w:w="1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20" w:type="dxa"/>
            <w:vAlign w:val="bottom"/>
            <w:tcBorders>
              <w:top w:val="single" w:sz="8" w:color="auto"/>
              <w:bottom w:val="single" w:sz="8" w:color="0000FF"/>
            </w:tcBorders>
          </w:tcPr>
          <w:p>
            <w:pPr>
              <w:spacing w:after="0"/>
              <w:rPr>
                <w:sz w:val="20"/>
                <w:szCs w:val="20"/>
                <w:color w:val="auto"/>
              </w:rPr>
            </w:pPr>
            <w:r>
              <w:rPr>
                <w:rFonts w:ascii="Arial" w:cs="Arial" w:eastAsia="Arial" w:hAnsi="Arial"/>
                <w:sz w:val="18"/>
                <w:szCs w:val="18"/>
                <w:color w:val="0000FF"/>
                <w:w w:val="99"/>
              </w:rPr>
              <w:t>JPMorgan Chase &amp; Co. press release dated May 6, 2024.</w:t>
            </w:r>
          </w:p>
        </w:tc>
        <w:tc>
          <w:tcPr>
            <w:tcW w:w="3820" w:type="dxa"/>
            <w:vAlign w:val="bottom"/>
            <w:tcBorders>
              <w:top w:val="single" w:sz="8" w:color="auto"/>
            </w:tcBorders>
          </w:tcPr>
          <w:p>
            <w:pPr>
              <w:spacing w:after="0"/>
              <w:rPr>
                <w:sz w:val="24"/>
                <w:szCs w:val="24"/>
                <w:color w:val="auto"/>
              </w:rPr>
            </w:pPr>
          </w:p>
        </w:tc>
      </w:tr>
      <w:tr>
        <w:trPr>
          <w:trHeight w:val="196"/>
        </w:trPr>
        <w:tc>
          <w:tcPr>
            <w:tcW w:w="148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40" w:type="dxa"/>
            <w:vAlign w:val="bottom"/>
            <w:gridSpan w:val="2"/>
          </w:tcPr>
          <w:p>
            <w:pPr>
              <w:spacing w:after="0" w:line="196" w:lineRule="exact"/>
              <w:rPr>
                <w:sz w:val="20"/>
                <w:szCs w:val="20"/>
                <w:color w:val="auto"/>
              </w:rPr>
            </w:pPr>
            <w:r>
              <w:rPr>
                <w:rFonts w:ascii="Arial" w:cs="Arial" w:eastAsia="Arial" w:hAnsi="Arial"/>
                <w:sz w:val="18"/>
                <w:szCs w:val="18"/>
                <w:color w:val="auto"/>
              </w:rPr>
              <w:t>Pursuant to Rule 406 of Regulation S-T, the cover page is formatted in Inline XBRL (Inline eXtensible</w:t>
            </w:r>
          </w:p>
        </w:tc>
      </w:tr>
      <w:tr>
        <w:trPr>
          <w:trHeight w:val="238"/>
        </w:trPr>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Business Reporting Language).</w:t>
            </w:r>
          </w:p>
        </w:tc>
      </w:tr>
      <w:tr>
        <w:trPr>
          <w:trHeight w:val="181"/>
        </w:trPr>
        <w:tc>
          <w:tcPr>
            <w:tcW w:w="1480" w:type="dxa"/>
            <w:vAlign w:val="bottom"/>
          </w:tcPr>
          <w:p>
            <w:pPr>
              <w:ind w:left="20"/>
              <w:spacing w:after="0" w:line="181"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40" w:type="dxa"/>
            <w:vAlign w:val="bottom"/>
            <w:gridSpan w:val="2"/>
          </w:tcPr>
          <w:p>
            <w:pPr>
              <w:spacing w:after="0" w:line="181" w:lineRule="exact"/>
              <w:rPr>
                <w:sz w:val="20"/>
                <w:szCs w:val="20"/>
                <w:color w:val="auto"/>
              </w:rPr>
            </w:pPr>
            <w:r>
              <w:rPr>
                <w:rFonts w:ascii="Arial" w:cs="Arial" w:eastAsia="Arial" w:hAnsi="Arial"/>
                <w:sz w:val="18"/>
                <w:szCs w:val="18"/>
                <w:color w:val="auto"/>
              </w:rPr>
              <w:t>Cover Page Interactive Data File (embedded within the Inline XBRL document and included in Exhibit</w:t>
            </w:r>
          </w:p>
        </w:tc>
      </w:tr>
      <w:tr>
        <w:trPr>
          <w:trHeight w:val="239"/>
        </w:trPr>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3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90"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2" w:lineRule="exact"/>
        <w:rPr>
          <w:sz w:val="20"/>
          <w:szCs w:val="20"/>
          <w:color w:val="auto"/>
        </w:rPr>
      </w:pPr>
    </w:p>
    <w:tbl>
      <w:tblPr>
        <w:tblLayout w:type="fixed"/>
        <w:tblInd w:w="5800" w:type="dxa"/>
        <w:tblCellMar>
          <w:top w:w="0" w:type="dxa"/>
          <w:left w:w="0" w:type="dxa"/>
          <w:bottom w:w="0" w:type="dxa"/>
          <w:right w:w="0" w:type="dxa"/>
        </w:tblCellMar>
      </w:tblPr>
      <w:tr>
        <w:trPr>
          <w:trHeight w:val="235"/>
        </w:trPr>
        <w:tc>
          <w:tcPr>
            <w:tcW w:w="5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JPMorgan Chase &amp; Co.</w:t>
            </w:r>
          </w:p>
        </w:tc>
      </w:tr>
      <w:tr>
        <w:trPr>
          <w:trHeight w:val="232"/>
        </w:trPr>
        <w:tc>
          <w:tcPr>
            <w:tcW w:w="5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71"/>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Elena Korablina</w:t>
            </w:r>
          </w:p>
        </w:tc>
      </w:tr>
      <w:tr>
        <w:trPr>
          <w:trHeight w:val="218"/>
        </w:trPr>
        <w:tc>
          <w:tcPr>
            <w:tcW w:w="5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Elena Korablina</w:t>
            </w:r>
          </w:p>
        </w:tc>
      </w:tr>
      <w:tr>
        <w:trPr>
          <w:trHeight w:val="230"/>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Managing Director and Firmwide Controller</w:t>
            </w:r>
          </w:p>
        </w:tc>
      </w:tr>
      <w:tr>
        <w:trPr>
          <w:trHeight w:val="239"/>
        </w:trPr>
        <w:tc>
          <w:tcPr>
            <w:tcW w:w="5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rPr>
              <w:t>(Principal Accounting Officer)</w:t>
            </w:r>
          </w:p>
        </w:tc>
      </w:tr>
    </w:tbl>
    <w:p>
      <w:pPr>
        <w:spacing w:after="0" w:line="396"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tab/>
        <w:t>May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36" w:right="339" w:bottom="1440" w:gutter="0" w:footer="0" w:header="0"/>
        </w:sectPr>
      </w:pPr>
    </w:p>
    <w:bookmarkStart w:id="3" w:name="page4"/>
    <w:bookmarkEnd w:id="3"/>
    <w:p>
      <w:pPr>
        <w:ind w:left="1038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4708525</wp:posOffset>
            </wp:positionH>
            <wp:positionV relativeFrom="page">
              <wp:posOffset>88900</wp:posOffset>
            </wp:positionV>
            <wp:extent cx="2631440" cy="231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631440" cy="231775"/>
                    </a:xfrm>
                    <a:prstGeom prst="rect">
                      <a:avLst/>
                    </a:prstGeom>
                    <a:noFill/>
                  </pic:spPr>
                </pic:pic>
              </a:graphicData>
            </a:graphic>
          </wp:anchor>
        </w:drawing>
        <w:t>Exhibit 99</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JPMorgan Chase &amp; Co</w:t>
      </w:r>
      <w:r>
        <w:rPr>
          <w:rFonts w:ascii="Times New Roman" w:cs="Times New Roman" w:eastAsia="Times New Roman" w:hAnsi="Times New Roman"/>
          <w:sz w:val="14"/>
          <w:szCs w:val="14"/>
          <w:color w:val="auto"/>
        </w:rPr>
        <w:t>.</w:t>
      </w:r>
    </w:p>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383 Madison Avenue, New York, NY 10179-0001</w:t>
      </w:r>
    </w:p>
    <w:p>
      <w:pPr>
        <w:spacing w:after="0" w:line="235" w:lineRule="auto"/>
        <w:rPr>
          <w:sz w:val="20"/>
          <w:szCs w:val="20"/>
          <w:color w:val="auto"/>
        </w:rPr>
      </w:pPr>
      <w:r>
        <w:rPr>
          <w:rFonts w:ascii="Times New Roman" w:cs="Times New Roman" w:eastAsia="Times New Roman" w:hAnsi="Times New Roman"/>
          <w:sz w:val="16"/>
          <w:szCs w:val="16"/>
          <w:color w:val="auto"/>
        </w:rPr>
        <w:t>NYSE symbol: JPM</w:t>
      </w:r>
    </w:p>
    <w:p>
      <w:pPr>
        <w:ind w:left="80"/>
        <w:spacing w:after="0"/>
        <w:rPr>
          <w:sz w:val="20"/>
          <w:szCs w:val="20"/>
          <w:color w:val="auto"/>
        </w:rPr>
      </w:pPr>
      <w:r>
        <w:rPr>
          <w:rFonts w:ascii="Times New Roman" w:cs="Times New Roman" w:eastAsia="Times New Roman" w:hAnsi="Times New Roman"/>
          <w:sz w:val="16"/>
          <w:szCs w:val="16"/>
          <w:color w:val="0000FF"/>
        </w:rPr>
        <w:t>www.jpmorganchase.com</w:t>
      </w:r>
    </w:p>
    <w:p>
      <w:pPr>
        <w:spacing w:after="0" w:line="2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News release: IMMEDIATE RELEASE</w:t>
      </w:r>
    </w:p>
    <w:p>
      <w:pPr>
        <w:spacing w:after="0" w:line="2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JPMorgan Chase Announces Visa’s Acceptance of Class B-1 Common Stock</w:t>
      </w:r>
    </w:p>
    <w:p>
      <w:pPr>
        <w:spacing w:after="0" w:line="331" w:lineRule="exact"/>
        <w:rPr>
          <w:sz w:val="20"/>
          <w:szCs w:val="20"/>
          <w:color w:val="auto"/>
        </w:rPr>
      </w:pPr>
    </w:p>
    <w:p>
      <w:pPr>
        <w:jc w:val="both"/>
        <w:ind w:left="80"/>
        <w:spacing w:after="0" w:line="313" w:lineRule="auto"/>
        <w:rPr>
          <w:sz w:val="20"/>
          <w:szCs w:val="20"/>
          <w:color w:val="auto"/>
        </w:rPr>
      </w:pPr>
      <w:r>
        <w:rPr>
          <w:rFonts w:ascii="Times New Roman" w:cs="Times New Roman" w:eastAsia="Times New Roman" w:hAnsi="Times New Roman"/>
          <w:sz w:val="22"/>
          <w:szCs w:val="22"/>
          <w:b w:val="1"/>
          <w:bCs w:val="1"/>
          <w:color w:val="auto"/>
        </w:rPr>
        <w:t xml:space="preserve">New York, May 6, 2024 </w:t>
      </w:r>
      <w:r>
        <w:rPr>
          <w:rFonts w:ascii="Times New Roman" w:cs="Times New Roman" w:eastAsia="Times New Roman" w:hAnsi="Times New Roman"/>
          <w:sz w:val="22"/>
          <w:szCs w:val="22"/>
          <w:color w:val="auto"/>
        </w:rPr>
        <w:t>– JPMorgan Chase &amp; Co. (“the Firm”) announced that Visa Inc. accepted the Firm’s tender of its 37.2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shares of Visa Class B-1 common stock in exchange for a combination of Visa Class B-2 common stock and Visa Class C common stock. Visa’s acceptance has resulted in a gain for the Firm of approximately $8 billion relating to the Visa Class C common stock, which is held at fair value. The Visa Class B-2 common stock is held at the nominal carryover basis of the tendered Visa Class B-1 common stock. Refer to pages 8 and 100 of JPMorgan Chase’s Quarterly Report on Form 10-Q for the quarter ended March 31, 2024 for further information.</w:t>
      </w:r>
    </w:p>
    <w:p>
      <w:pPr>
        <w:spacing w:after="0" w:line="211" w:lineRule="exact"/>
        <w:rPr>
          <w:sz w:val="20"/>
          <w:szCs w:val="20"/>
          <w:color w:val="auto"/>
        </w:rPr>
      </w:pPr>
    </w:p>
    <w:p>
      <w:pPr>
        <w:ind w:left="80" w:right="20"/>
        <w:spacing w:after="0" w:line="321" w:lineRule="auto"/>
        <w:rPr>
          <w:sz w:val="20"/>
          <w:szCs w:val="20"/>
          <w:color w:val="auto"/>
        </w:rPr>
      </w:pPr>
      <w:r>
        <w:rPr>
          <w:rFonts w:ascii="Times New Roman" w:cs="Times New Roman" w:eastAsia="Times New Roman" w:hAnsi="Times New Roman"/>
          <w:sz w:val="22"/>
          <w:szCs w:val="22"/>
          <w:color w:val="auto"/>
        </w:rPr>
        <w:t>The Firm intends to donate a portion of the Visa Class C common stock with a value of approximately $1 billion to the JPMorgan Chase Foundation. This donation will be recorded in non-compensation expense in 2024 and is expected to prefund the Firm’s anticipated contributions to the Foundation for the next several years.</w:t>
      </w:r>
    </w:p>
    <w:p>
      <w:pPr>
        <w:spacing w:after="0" w:line="200" w:lineRule="exact"/>
        <w:rPr>
          <w:sz w:val="20"/>
          <w:szCs w:val="20"/>
          <w:color w:val="auto"/>
        </w:rPr>
      </w:pPr>
    </w:p>
    <w:p>
      <w:pPr>
        <w:jc w:val="both"/>
        <w:ind w:left="80"/>
        <w:spacing w:after="0" w:line="312" w:lineRule="auto"/>
        <w:rPr>
          <w:sz w:val="20"/>
          <w:szCs w:val="20"/>
          <w:color w:val="auto"/>
        </w:rPr>
      </w:pPr>
      <w:r>
        <w:rPr>
          <w:rFonts w:ascii="Times New Roman" w:cs="Times New Roman" w:eastAsia="Times New Roman" w:hAnsi="Times New Roman"/>
          <w:sz w:val="22"/>
          <w:szCs w:val="22"/>
          <w:color w:val="auto"/>
        </w:rPr>
        <w:t xml:space="preserve">JPMorgan Chase &amp; Co. (NYSE: JPM) is a leading financial services firm based in the United States of America (“U.S.”), with operations worldwide. JPMorgan Chase had $4.1 trillion in assets and $337 billion in stockholders’ equity as of March 31, 2024. The Firm is a leader in investment banking, financial services for consumers and small businesses, commercial banking, financial transaction processing and asset management. Under the J.P.Morgan and Chase brands, the Firm serves millions of customers in the U.S., and many of the world's most prominent corporate, institutional and government clients globally. Information about JPMorgan Chase &amp; Co. is available at </w:t>
      </w:r>
      <w:r>
        <w:rPr>
          <w:rFonts w:ascii="Times New Roman" w:cs="Times New Roman" w:eastAsia="Times New Roman" w:hAnsi="Times New Roman"/>
          <w:sz w:val="22"/>
          <w:szCs w:val="22"/>
          <w:color w:val="0000FF"/>
        </w:rPr>
        <w:t>www.jpmorganchase.com</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right="53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Investor Contact: </w:t>
      </w:r>
      <w:r>
        <w:rPr>
          <w:rFonts w:ascii="Times New Roman" w:cs="Times New Roman" w:eastAsia="Times New Roman" w:hAnsi="Times New Roman"/>
          <w:sz w:val="22"/>
          <w:szCs w:val="22"/>
          <w:color w:val="auto"/>
        </w:rPr>
        <w:t>Mikael Grubb</w:t>
      </w:r>
      <w:r>
        <w:rPr>
          <w:rFonts w:ascii="Times New Roman" w:cs="Times New Roman" w:eastAsia="Times New Roman" w:hAnsi="Times New Roman"/>
          <w:sz w:val="22"/>
          <w:szCs w:val="22"/>
          <w:i w:val="1"/>
          <w:iCs w:val="1"/>
          <w:color w:val="auto"/>
        </w:rPr>
        <w:t xml:space="preserve"> Media Contact: </w:t>
      </w:r>
      <w:r>
        <w:rPr>
          <w:rFonts w:ascii="Times New Roman" w:cs="Times New Roman" w:eastAsia="Times New Roman" w:hAnsi="Times New Roman"/>
          <w:sz w:val="22"/>
          <w:szCs w:val="22"/>
          <w:color w:val="auto"/>
        </w:rPr>
        <w:t>Joseph Evangelisti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212-270-2479 212-270-7438</w:t>
      </w:r>
    </w:p>
    <w:sectPr>
      <w:pgSz w:w="11900" w:h="16838" w:orient="portrait"/>
      <w:cols w:equalWidth="0" w:num="1">
        <w:col w:w="11320"/>
      </w:cols>
      <w:pgMar w:left="24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2024-05-06T16:23:26Z</dcterms:created>
  <dcterms:modified xsi:type="dcterms:W3CDTF">2024-05-06T16:23:26Z</dcterms:modified>
</cp:coreProperties>
</file>