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4"/>
          <w:szCs w:val="14"/>
          <w:b w:val="1"/>
          <w:bCs w:val="1"/>
          <w:color w:val="FF0000"/>
        </w:rPr>
        <w:t>The information in this preliminary pricing supplement is not complete and may be changed. This preliminary pricing supplement is not an offer to sell nor does it seek</w:t>
      </w:r>
    </w:p>
    <w:p>
      <w:pPr>
        <w:sectPr>
          <w:pgSz w:w="11900" w:h="16838" w:orient="portrait"/>
          <w:cols w:equalWidth="0" w:num="1">
            <w:col w:w="11340"/>
          </w:cols>
          <w:pgMar w:left="320" w:top="230" w:right="239" w:bottom="1440" w:gutter="0" w:footer="0" w:header="0"/>
        </w:sectPr>
      </w:pPr>
    </w:p>
    <w:p>
      <w:pPr>
        <w:spacing w:after="0" w:line="318" w:lineRule="exact"/>
        <w:rPr>
          <w:sz w:val="24"/>
          <w:szCs w:val="24"/>
          <w:color w:val="auto"/>
        </w:rPr>
      </w:pPr>
    </w:p>
    <w:p>
      <w:pPr>
        <w:spacing w:after="0"/>
        <w:tabs>
          <w:tab w:leader="none" w:pos="640" w:val="left"/>
        </w:tabs>
        <w:rPr>
          <w:sz w:val="20"/>
          <w:szCs w:val="20"/>
          <w:color w:val="auto"/>
        </w:rPr>
      </w:pPr>
      <w:r>
        <w:rPr>
          <w:rFonts w:ascii="Arial" w:cs="Arial" w:eastAsia="Arial" w:hAnsi="Arial"/>
          <w:sz w:val="14"/>
          <w:szCs w:val="14"/>
          <w:color w:val="auto"/>
        </w:rPr>
        <w:t>January</w:t>
        <w:tab/>
        <w:t>, 2021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FF0000"/>
        </w:rPr>
        <w:t>an offer to buy these securities in any jurisdiction where the offer or sale is not permitted.</w:t>
      </w:r>
    </w:p>
    <w:p>
      <w:pPr>
        <w:ind w:left="1480"/>
        <w:spacing w:after="0" w:line="237" w:lineRule="auto"/>
        <w:rPr>
          <w:sz w:val="20"/>
          <w:szCs w:val="20"/>
          <w:color w:val="auto"/>
        </w:rPr>
      </w:pPr>
      <w:r>
        <w:rPr>
          <w:rFonts w:ascii="Arial" w:cs="Arial" w:eastAsia="Arial" w:hAnsi="Arial"/>
          <w:sz w:val="14"/>
          <w:szCs w:val="14"/>
          <w:b w:val="1"/>
          <w:bCs w:val="1"/>
          <w:color w:val="FF0000"/>
        </w:rPr>
        <w:t>Subject to completion dated January 26, 2021</w:t>
      </w:r>
    </w:p>
    <w:p>
      <w:pPr>
        <w:ind w:left="3800"/>
        <w:spacing w:after="0"/>
        <w:rPr>
          <w:sz w:val="20"/>
          <w:szCs w:val="20"/>
          <w:color w:val="auto"/>
        </w:rPr>
      </w:pPr>
      <w:r>
        <w:rPr>
          <w:rFonts w:ascii="Arial" w:cs="Arial" w:eastAsia="Arial" w:hAnsi="Arial"/>
          <w:sz w:val="14"/>
          <w:szCs w:val="14"/>
          <w:color w:val="auto"/>
        </w:rPr>
        <w:t>Registration Statement Nos. 333-236659 and 333-236659-01;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197485</wp:posOffset>
            </wp:positionV>
            <wp:extent cx="7197090" cy="4282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428244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900" w:space="720"/>
            <w:col w:w="8720"/>
          </w:cols>
          <w:pgMar w:left="320" w:top="23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20"/>
        <w:spacing w:after="0"/>
        <w:rPr>
          <w:sz w:val="20"/>
          <w:szCs w:val="20"/>
          <w:color w:val="auto"/>
        </w:rPr>
      </w:pPr>
      <w:r>
        <w:rPr>
          <w:rFonts w:ascii="Arial" w:cs="Arial" w:eastAsia="Arial" w:hAnsi="Arial"/>
          <w:sz w:val="25"/>
          <w:szCs w:val="25"/>
          <w:color w:val="404040"/>
        </w:rPr>
        <w:t>JPMorgan Chase Financial Company LLC</w:t>
      </w:r>
    </w:p>
    <w:p>
      <w:pPr>
        <w:spacing w:after="0" w:line="36" w:lineRule="exact"/>
        <w:rPr>
          <w:sz w:val="24"/>
          <w:szCs w:val="24"/>
          <w:color w:val="auto"/>
        </w:rPr>
      </w:pPr>
    </w:p>
    <w:p>
      <w:pPr>
        <w:ind w:left="120"/>
        <w:spacing w:after="0"/>
        <w:rPr>
          <w:sz w:val="20"/>
          <w:szCs w:val="20"/>
          <w:color w:val="auto"/>
        </w:rPr>
      </w:pPr>
      <w:r>
        <w:rPr>
          <w:rFonts w:ascii="Arial" w:cs="Arial" w:eastAsia="Arial" w:hAnsi="Arial"/>
          <w:sz w:val="25"/>
          <w:szCs w:val="25"/>
          <w:color w:val="404040"/>
        </w:rPr>
        <w:t>Structured Investments</w:t>
      </w:r>
    </w:p>
    <w:p>
      <w:pPr>
        <w:spacing w:after="0" w:line="71" w:lineRule="exact"/>
        <w:rPr>
          <w:sz w:val="24"/>
          <w:szCs w:val="24"/>
          <w:color w:val="auto"/>
        </w:rPr>
      </w:pPr>
    </w:p>
    <w:p>
      <w:pPr>
        <w:ind w:left="120" w:right="820"/>
        <w:spacing w:after="0" w:line="211" w:lineRule="auto"/>
        <w:rPr>
          <w:sz w:val="20"/>
          <w:szCs w:val="20"/>
          <w:color w:val="auto"/>
        </w:rPr>
      </w:pPr>
      <w:r>
        <w:rPr>
          <w:rFonts w:ascii="Arial" w:cs="Arial" w:eastAsia="Arial" w:hAnsi="Arial"/>
          <w:sz w:val="34"/>
          <w:szCs w:val="34"/>
          <w:color w:val="54301A"/>
        </w:rPr>
        <w:t>Auto Callable Contingent Interest Notes Linked to the iShares</w:t>
      </w:r>
      <w:r>
        <w:rPr>
          <w:rFonts w:ascii="Arial" w:cs="Arial" w:eastAsia="Arial" w:hAnsi="Arial"/>
          <w:sz w:val="55"/>
          <w:szCs w:val="55"/>
          <w:color w:val="54301A"/>
          <w:vertAlign w:val="superscript"/>
        </w:rPr>
        <w:t>®</w:t>
      </w:r>
      <w:r>
        <w:rPr>
          <w:rFonts w:ascii="Arial" w:cs="Arial" w:eastAsia="Arial" w:hAnsi="Arial"/>
          <w:sz w:val="34"/>
          <w:szCs w:val="34"/>
          <w:color w:val="54301A"/>
        </w:rPr>
        <w:t xml:space="preserve"> Global Clean Energy ETF due August 3, 2022</w:t>
      </w:r>
    </w:p>
    <w:p>
      <w:pPr>
        <w:spacing w:after="0" w:line="48" w:lineRule="exact"/>
        <w:rPr>
          <w:sz w:val="24"/>
          <w:szCs w:val="24"/>
          <w:color w:val="auto"/>
        </w:rPr>
      </w:pPr>
    </w:p>
    <w:p>
      <w:pPr>
        <w:ind w:left="120"/>
        <w:spacing w:after="0"/>
        <w:rPr>
          <w:sz w:val="20"/>
          <w:szCs w:val="20"/>
          <w:color w:val="auto"/>
        </w:rPr>
      </w:pPr>
      <w:r>
        <w:rPr>
          <w:rFonts w:ascii="Arial" w:cs="Arial" w:eastAsia="Arial" w:hAnsi="Arial"/>
          <w:sz w:val="25"/>
          <w:szCs w:val="25"/>
          <w:color w:val="54301A"/>
        </w:rPr>
        <w:t>Fully and Unconditionally Guaranteed by JPMorgan Chase &amp; Co.</w:t>
      </w:r>
    </w:p>
    <w:p>
      <w:pPr>
        <w:spacing w:after="0" w:line="122" w:lineRule="exact"/>
        <w:rPr>
          <w:sz w:val="24"/>
          <w:szCs w:val="24"/>
          <w:color w:val="auto"/>
        </w:rPr>
      </w:pPr>
    </w:p>
    <w:p>
      <w:pPr>
        <w:ind w:left="740" w:right="160" w:hanging="310"/>
        <w:spacing w:after="0" w:line="224" w:lineRule="auto"/>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The notes are designed for investors who seek a Contingent Interest Payment with respect to each Review Date for which the closing price of one share of the iShares</w:t>
      </w:r>
      <w:r>
        <w:rPr>
          <w:rFonts w:ascii="Arial" w:cs="Arial" w:eastAsia="Arial" w:hAnsi="Arial"/>
          <w:sz w:val="26"/>
          <w:szCs w:val="26"/>
          <w:color w:val="262626"/>
          <w:vertAlign w:val="superscript"/>
        </w:rPr>
        <w:t>®</w:t>
      </w:r>
      <w:r>
        <w:rPr>
          <w:rFonts w:ascii="Arial" w:cs="Arial" w:eastAsia="Arial" w:hAnsi="Arial"/>
          <w:sz w:val="16"/>
          <w:szCs w:val="16"/>
          <w:color w:val="262626"/>
        </w:rPr>
        <w:t xml:space="preserve"> Global Clean Energy ETF, which we refer to as the Fund, is greater than or equal to 60.00% of the Initial Value, which we refer to as the Interest Barrier.</w:t>
      </w:r>
    </w:p>
    <w:p>
      <w:pPr>
        <w:spacing w:after="0" w:line="79" w:lineRule="exact"/>
        <w:rPr>
          <w:rFonts w:ascii="Times New Roman" w:cs="Times New Roman" w:eastAsia="Times New Roman" w:hAnsi="Times New Roman"/>
          <w:sz w:val="16"/>
          <w:szCs w:val="16"/>
          <w:color w:val="262626"/>
        </w:rPr>
      </w:pPr>
    </w:p>
    <w:p>
      <w:pPr>
        <w:ind w:left="740" w:right="220" w:hanging="310"/>
        <w:spacing w:after="0" w:line="280" w:lineRule="auto"/>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The notes will be automatically called if the closing price of one share of the Fund on any Review Date (other than the first, second and final Review Dates) is greater than or equal to the Initial Value.</w:t>
      </w:r>
    </w:p>
    <w:p>
      <w:pPr>
        <w:spacing w:after="0" w:line="46" w:lineRule="exact"/>
        <w:rPr>
          <w:rFonts w:ascii="Times New Roman" w:cs="Times New Roman" w:eastAsia="Times New Roman" w:hAnsi="Times New Roman"/>
          <w:sz w:val="16"/>
          <w:szCs w:val="16"/>
          <w:color w:val="262626"/>
        </w:rPr>
      </w:pPr>
    </w:p>
    <w:p>
      <w:pPr>
        <w:ind w:left="740" w:hanging="310"/>
        <w:spacing w:after="0"/>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The earliest date on which an automatic call may be initiated is April 29, 2021.</w:t>
      </w:r>
    </w:p>
    <w:p>
      <w:pPr>
        <w:spacing w:after="0" w:line="120" w:lineRule="exact"/>
        <w:rPr>
          <w:rFonts w:ascii="Times New Roman" w:cs="Times New Roman" w:eastAsia="Times New Roman" w:hAnsi="Times New Roman"/>
          <w:sz w:val="16"/>
          <w:szCs w:val="16"/>
          <w:color w:val="262626"/>
        </w:rPr>
      </w:pPr>
    </w:p>
    <w:p>
      <w:pPr>
        <w:ind w:left="740" w:right="80" w:hanging="310"/>
        <w:spacing w:after="0" w:line="280" w:lineRule="auto"/>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Investors should be willing to accept the risk of losing some or all of their principal and the risk that no Contingent Interest Payment may be made with respect to some or all Review Dates.</w:t>
      </w:r>
    </w:p>
    <w:p>
      <w:pPr>
        <w:spacing w:after="0" w:line="46" w:lineRule="exact"/>
        <w:rPr>
          <w:rFonts w:ascii="Times New Roman" w:cs="Times New Roman" w:eastAsia="Times New Roman" w:hAnsi="Times New Roman"/>
          <w:sz w:val="16"/>
          <w:szCs w:val="16"/>
          <w:color w:val="262626"/>
        </w:rPr>
      </w:pPr>
    </w:p>
    <w:p>
      <w:pPr>
        <w:ind w:left="740" w:hanging="310"/>
        <w:spacing w:after="0"/>
        <w:tabs>
          <w:tab w:leader="none" w:pos="740" w:val="left"/>
        </w:tabs>
        <w:numPr>
          <w:ilvl w:val="0"/>
          <w:numId w:val="1"/>
        </w:numPr>
        <w:rPr>
          <w:rFonts w:ascii="Times New Roman" w:cs="Times New Roman" w:eastAsia="Times New Roman" w:hAnsi="Times New Roman"/>
          <w:sz w:val="15"/>
          <w:szCs w:val="15"/>
          <w:color w:val="262626"/>
        </w:rPr>
      </w:pPr>
      <w:r>
        <w:rPr>
          <w:rFonts w:ascii="Arial" w:cs="Arial" w:eastAsia="Arial" w:hAnsi="Arial"/>
          <w:sz w:val="15"/>
          <w:szCs w:val="15"/>
          <w:color w:val="262626"/>
        </w:rPr>
        <w:t>Investors should also be willing to forgo fixed interest and dividend payments, in exchange for the opportunity to receive Contingent Interest Payments.</w:t>
      </w:r>
    </w:p>
    <w:p>
      <w:pPr>
        <w:spacing w:after="0" w:line="131" w:lineRule="exact"/>
        <w:rPr>
          <w:rFonts w:ascii="Times New Roman" w:cs="Times New Roman" w:eastAsia="Times New Roman" w:hAnsi="Times New Roman"/>
          <w:sz w:val="15"/>
          <w:szCs w:val="15"/>
          <w:color w:val="262626"/>
        </w:rPr>
      </w:pPr>
    </w:p>
    <w:p>
      <w:pPr>
        <w:ind w:left="740" w:right="120" w:hanging="310"/>
        <w:spacing w:after="0" w:line="271" w:lineRule="auto"/>
        <w:tabs>
          <w:tab w:leader="none" w:pos="740" w:val="left"/>
        </w:tabs>
        <w:numPr>
          <w:ilvl w:val="0"/>
          <w:numId w:val="1"/>
        </w:numPr>
        <w:rPr>
          <w:rFonts w:ascii="Times New Roman" w:cs="Times New Roman" w:eastAsia="Times New Roman" w:hAnsi="Times New Roman"/>
          <w:sz w:val="15"/>
          <w:szCs w:val="15"/>
          <w:color w:val="262626"/>
        </w:rPr>
      </w:pPr>
      <w:r>
        <w:rPr>
          <w:rFonts w:ascii="Arial" w:cs="Arial" w:eastAsia="Arial" w:hAnsi="Arial"/>
          <w:sz w:val="15"/>
          <w:szCs w:val="15"/>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5"/>
          <w:szCs w:val="15"/>
          <w:b w:val="1"/>
          <w:bCs w:val="1"/>
          <w:color w:val="262626"/>
        </w:rPr>
        <w:t>Any payment on the notes is subject to the credit risk of</w:t>
      </w:r>
    </w:p>
    <w:p>
      <w:pPr>
        <w:ind w:left="740"/>
        <w:spacing w:after="0"/>
        <w:rPr>
          <w:rFonts w:ascii="Times New Roman" w:cs="Times New Roman" w:eastAsia="Times New Roman" w:hAnsi="Times New Roman"/>
          <w:sz w:val="15"/>
          <w:szCs w:val="15"/>
          <w:color w:val="262626"/>
        </w:rPr>
      </w:pPr>
      <w:r>
        <w:rPr>
          <w:rFonts w:ascii="Arial" w:cs="Arial" w:eastAsia="Arial" w:hAnsi="Arial"/>
          <w:sz w:val="16"/>
          <w:szCs w:val="16"/>
          <w:b w:val="1"/>
          <w:bCs w:val="1"/>
          <w:color w:val="262626"/>
        </w:rPr>
        <w:t>JPMorgan Financial, as issuer of the notes, and the credit risk of JPMorgan Chase &amp; Co., as guarantor of the notes.</w:t>
      </w:r>
    </w:p>
    <w:p>
      <w:pPr>
        <w:spacing w:after="0" w:line="1" w:lineRule="exact"/>
        <w:rPr>
          <w:rFonts w:ascii="Times New Roman" w:cs="Times New Roman" w:eastAsia="Times New Roman" w:hAnsi="Times New Roman"/>
          <w:sz w:val="15"/>
          <w:szCs w:val="15"/>
          <w:color w:val="262626"/>
        </w:rPr>
      </w:pPr>
    </w:p>
    <w:p>
      <w:pPr>
        <w:ind w:left="740" w:hanging="310"/>
        <w:spacing w:after="0"/>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Minimum denominations of $1,000 and integral multiples thereof</w:t>
      </w:r>
    </w:p>
    <w:p>
      <w:pPr>
        <w:spacing w:after="0" w:line="100" w:lineRule="exact"/>
        <w:rPr>
          <w:rFonts w:ascii="Times New Roman" w:cs="Times New Roman" w:eastAsia="Times New Roman" w:hAnsi="Times New Roman"/>
          <w:sz w:val="16"/>
          <w:szCs w:val="16"/>
          <w:color w:val="262626"/>
        </w:rPr>
      </w:pPr>
    </w:p>
    <w:p>
      <w:pPr>
        <w:ind w:left="740" w:hanging="310"/>
        <w:spacing w:after="0"/>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The notes are expected to price on or about January 29, 2021 and are expected to settle on or about February 3, 2021.</w:t>
      </w:r>
    </w:p>
    <w:p>
      <w:pPr>
        <w:spacing w:after="0" w:line="120" w:lineRule="exact"/>
        <w:rPr>
          <w:rFonts w:ascii="Times New Roman" w:cs="Times New Roman" w:eastAsia="Times New Roman" w:hAnsi="Times New Roman"/>
          <w:sz w:val="16"/>
          <w:szCs w:val="16"/>
          <w:color w:val="262626"/>
        </w:rPr>
      </w:pPr>
    </w:p>
    <w:p>
      <w:pPr>
        <w:ind w:left="740" w:hanging="310"/>
        <w:spacing w:after="0"/>
        <w:tabs>
          <w:tab w:leader="none" w:pos="740" w:val="left"/>
        </w:tabs>
        <w:numPr>
          <w:ilvl w:val="0"/>
          <w:numId w:val="1"/>
        </w:numPr>
        <w:rPr>
          <w:rFonts w:ascii="Times New Roman" w:cs="Times New Roman" w:eastAsia="Times New Roman" w:hAnsi="Times New Roman"/>
          <w:sz w:val="16"/>
          <w:szCs w:val="16"/>
          <w:color w:val="262626"/>
        </w:rPr>
      </w:pPr>
      <w:r>
        <w:rPr>
          <w:rFonts w:ascii="Arial" w:cs="Arial" w:eastAsia="Arial" w:hAnsi="Arial"/>
          <w:sz w:val="16"/>
          <w:szCs w:val="16"/>
          <w:color w:val="262626"/>
        </w:rPr>
        <w:t>CUSIP: 48132RPN4</w:t>
      </w:r>
    </w:p>
    <w:p>
      <w:pPr>
        <w:spacing w:after="0" w:line="211" w:lineRule="exact"/>
        <w:rPr>
          <w:sz w:val="24"/>
          <w:szCs w:val="24"/>
          <w:color w:val="auto"/>
        </w:rPr>
      </w:pPr>
    </w:p>
    <w:p>
      <w:pPr>
        <w:ind w:right="400"/>
        <w:spacing w:after="0" w:line="268"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S-2 of the accompanying prospectus supplement, “Risk Factors” beginning on page PS-12 of the accompanying product supplement, “Risk Factors” beginning on page US-3 of the accompanying underlying supplement and “Selected Risk Considerations” beginning on page PS-5 of this pricing supplement.</w:t>
      </w:r>
    </w:p>
    <w:p>
      <w:pPr>
        <w:spacing w:after="0" w:line="8"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80" w:lineRule="exact"/>
        <w:rPr>
          <w:sz w:val="24"/>
          <w:szCs w:val="24"/>
          <w:color w:val="auto"/>
        </w:rPr>
      </w:pPr>
    </w:p>
    <w:tbl>
      <w:tblPr>
        <w:tblLayout w:type="fixed"/>
        <w:tblInd w:w="180" w:type="dxa"/>
        <w:tblCellMar>
          <w:top w:w="0" w:type="dxa"/>
          <w:left w:w="0" w:type="dxa"/>
          <w:bottom w:w="0" w:type="dxa"/>
          <w:right w:w="0" w:type="dxa"/>
        </w:tblCellMar>
      </w:tblPr>
      <w:tr>
        <w:trPr>
          <w:trHeight w:val="185"/>
        </w:trPr>
        <w:tc>
          <w:tcPr>
            <w:tcW w:w="1180" w:type="dxa"/>
            <w:vAlign w:val="bottom"/>
            <w:shd w:val="clear" w:color="auto" w:fill="BFBFBF"/>
          </w:tcPr>
          <w:p>
            <w:pPr>
              <w:spacing w:after="0"/>
              <w:rPr>
                <w:sz w:val="16"/>
                <w:szCs w:val="16"/>
                <w:color w:val="auto"/>
              </w:rPr>
            </w:pPr>
          </w:p>
        </w:tc>
        <w:tc>
          <w:tcPr>
            <w:tcW w:w="2780" w:type="dxa"/>
            <w:vAlign w:val="bottom"/>
            <w:shd w:val="clear" w:color="auto" w:fill="BFBFBF"/>
          </w:tcPr>
          <w:p>
            <w:pPr>
              <w:ind w:left="560"/>
              <w:spacing w:after="0"/>
              <w:rPr>
                <w:sz w:val="20"/>
                <w:szCs w:val="20"/>
                <w:color w:val="auto"/>
              </w:rPr>
            </w:pPr>
            <w:r>
              <w:rPr>
                <w:rFonts w:ascii="Arial" w:cs="Arial" w:eastAsia="Arial" w:hAnsi="Arial"/>
                <w:sz w:val="16"/>
                <w:szCs w:val="16"/>
                <w:color w:val="auto"/>
              </w:rPr>
              <w:t>Price to Public (1)</w:t>
            </w:r>
          </w:p>
        </w:tc>
        <w:tc>
          <w:tcPr>
            <w:tcW w:w="3700" w:type="dxa"/>
            <w:vAlign w:val="bottom"/>
            <w:shd w:val="clear" w:color="auto" w:fill="BFBFBF"/>
          </w:tcPr>
          <w:p>
            <w:pPr>
              <w:ind w:left="960"/>
              <w:spacing w:after="0"/>
              <w:rPr>
                <w:sz w:val="20"/>
                <w:szCs w:val="20"/>
                <w:color w:val="auto"/>
              </w:rPr>
            </w:pPr>
            <w:r>
              <w:rPr>
                <w:rFonts w:ascii="Arial" w:cs="Arial" w:eastAsia="Arial" w:hAnsi="Arial"/>
                <w:sz w:val="16"/>
                <w:szCs w:val="16"/>
                <w:color w:val="auto"/>
              </w:rPr>
              <w:t>Fees and Commissions (2)</w:t>
            </w:r>
          </w:p>
        </w:tc>
        <w:tc>
          <w:tcPr>
            <w:tcW w:w="3220" w:type="dxa"/>
            <w:vAlign w:val="bottom"/>
            <w:shd w:val="clear" w:color="auto" w:fill="BFBFBF"/>
          </w:tcPr>
          <w:p>
            <w:pPr>
              <w:ind w:left="840"/>
              <w:spacing w:after="0"/>
              <w:rPr>
                <w:sz w:val="20"/>
                <w:szCs w:val="20"/>
                <w:color w:val="auto"/>
              </w:rPr>
            </w:pPr>
            <w:r>
              <w:rPr>
                <w:rFonts w:ascii="Arial" w:cs="Arial" w:eastAsia="Arial" w:hAnsi="Arial"/>
                <w:sz w:val="16"/>
                <w:szCs w:val="16"/>
                <w:color w:val="auto"/>
              </w:rPr>
              <w:t>Proceeds to Issuer</w:t>
            </w:r>
          </w:p>
        </w:tc>
      </w:tr>
      <w:tr>
        <w:trPr>
          <w:trHeight w:val="167"/>
        </w:trPr>
        <w:tc>
          <w:tcPr>
            <w:tcW w:w="1180" w:type="dxa"/>
            <w:vAlign w:val="bottom"/>
          </w:tcPr>
          <w:p>
            <w:pPr>
              <w:spacing w:after="0" w:line="168" w:lineRule="exact"/>
              <w:rPr>
                <w:sz w:val="20"/>
                <w:szCs w:val="20"/>
                <w:color w:val="auto"/>
              </w:rPr>
            </w:pPr>
            <w:r>
              <w:rPr>
                <w:rFonts w:ascii="Arial" w:cs="Arial" w:eastAsia="Arial" w:hAnsi="Arial"/>
                <w:sz w:val="16"/>
                <w:szCs w:val="16"/>
                <w:color w:val="404040"/>
              </w:rPr>
              <w:t>Per note</w:t>
            </w:r>
          </w:p>
        </w:tc>
        <w:tc>
          <w:tcPr>
            <w:tcW w:w="2780" w:type="dxa"/>
            <w:vAlign w:val="bottom"/>
          </w:tcPr>
          <w:p>
            <w:pPr>
              <w:ind w:left="560"/>
              <w:spacing w:after="0" w:line="168" w:lineRule="exact"/>
              <w:rPr>
                <w:sz w:val="20"/>
                <w:szCs w:val="20"/>
                <w:color w:val="auto"/>
              </w:rPr>
            </w:pPr>
            <w:r>
              <w:rPr>
                <w:rFonts w:ascii="Arial" w:cs="Arial" w:eastAsia="Arial" w:hAnsi="Arial"/>
                <w:sz w:val="16"/>
                <w:szCs w:val="16"/>
                <w:color w:val="404040"/>
              </w:rPr>
              <w:t>$1,000</w:t>
            </w:r>
          </w:p>
        </w:tc>
        <w:tc>
          <w:tcPr>
            <w:tcW w:w="3700" w:type="dxa"/>
            <w:vAlign w:val="bottom"/>
          </w:tcPr>
          <w:p>
            <w:pPr>
              <w:ind w:left="960"/>
              <w:spacing w:after="0" w:line="168" w:lineRule="exact"/>
              <w:rPr>
                <w:sz w:val="20"/>
                <w:szCs w:val="20"/>
                <w:color w:val="auto"/>
              </w:rPr>
            </w:pPr>
            <w:r>
              <w:rPr>
                <w:rFonts w:ascii="Arial" w:cs="Arial" w:eastAsia="Arial" w:hAnsi="Arial"/>
                <w:sz w:val="16"/>
                <w:szCs w:val="16"/>
                <w:color w:val="404040"/>
              </w:rPr>
              <w:t>$</w:t>
            </w:r>
          </w:p>
        </w:tc>
        <w:tc>
          <w:tcPr>
            <w:tcW w:w="3220" w:type="dxa"/>
            <w:vAlign w:val="bottom"/>
          </w:tcPr>
          <w:p>
            <w:pPr>
              <w:ind w:left="840"/>
              <w:spacing w:after="0" w:line="168" w:lineRule="exact"/>
              <w:rPr>
                <w:sz w:val="20"/>
                <w:szCs w:val="20"/>
                <w:color w:val="auto"/>
              </w:rPr>
            </w:pPr>
            <w:r>
              <w:rPr>
                <w:rFonts w:ascii="Arial" w:cs="Arial" w:eastAsia="Arial" w:hAnsi="Arial"/>
                <w:sz w:val="16"/>
                <w:szCs w:val="16"/>
                <w:color w:val="404040"/>
              </w:rPr>
              <w:t>$</w:t>
            </w:r>
          </w:p>
        </w:tc>
      </w:tr>
      <w:tr>
        <w:trPr>
          <w:trHeight w:val="204"/>
        </w:trPr>
        <w:tc>
          <w:tcPr>
            <w:tcW w:w="118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Total</w:t>
            </w:r>
          </w:p>
        </w:tc>
        <w:tc>
          <w:tcPr>
            <w:tcW w:w="2780" w:type="dxa"/>
            <w:vAlign w:val="bottom"/>
            <w:tcBorders>
              <w:bottom w:val="single" w:sz="8" w:color="6D6E71"/>
            </w:tcBorders>
          </w:tcPr>
          <w:p>
            <w:pPr>
              <w:ind w:left="560"/>
              <w:spacing w:after="0"/>
              <w:rPr>
                <w:sz w:val="20"/>
                <w:szCs w:val="20"/>
                <w:color w:val="auto"/>
              </w:rPr>
            </w:pPr>
            <w:r>
              <w:rPr>
                <w:rFonts w:ascii="Arial" w:cs="Arial" w:eastAsia="Arial" w:hAnsi="Arial"/>
                <w:sz w:val="16"/>
                <w:szCs w:val="16"/>
                <w:color w:val="404040"/>
              </w:rPr>
              <w:t>$</w:t>
            </w:r>
          </w:p>
        </w:tc>
        <w:tc>
          <w:tcPr>
            <w:tcW w:w="3700" w:type="dxa"/>
            <w:vAlign w:val="bottom"/>
            <w:tcBorders>
              <w:bottom w:val="single" w:sz="8" w:color="6D6E71"/>
            </w:tcBorders>
          </w:tcPr>
          <w:p>
            <w:pPr>
              <w:ind w:left="960"/>
              <w:spacing w:after="0"/>
              <w:rPr>
                <w:sz w:val="20"/>
                <w:szCs w:val="20"/>
                <w:color w:val="auto"/>
              </w:rPr>
            </w:pPr>
            <w:r>
              <w:rPr>
                <w:rFonts w:ascii="Arial" w:cs="Arial" w:eastAsia="Arial" w:hAnsi="Arial"/>
                <w:sz w:val="16"/>
                <w:szCs w:val="16"/>
                <w:color w:val="404040"/>
              </w:rPr>
              <w:t>$</w:t>
            </w:r>
          </w:p>
        </w:tc>
        <w:tc>
          <w:tcPr>
            <w:tcW w:w="3220" w:type="dxa"/>
            <w:vAlign w:val="bottom"/>
            <w:tcBorders>
              <w:bottom w:val="single" w:sz="8" w:color="6D6E71"/>
            </w:tcBorders>
          </w:tcPr>
          <w:p>
            <w:pPr>
              <w:ind w:left="840"/>
              <w:spacing w:after="0"/>
              <w:rPr>
                <w:sz w:val="20"/>
                <w:szCs w:val="20"/>
                <w:color w:val="auto"/>
              </w:rPr>
            </w:pPr>
            <w:r>
              <w:rPr>
                <w:rFonts w:ascii="Arial" w:cs="Arial" w:eastAsia="Arial" w:hAnsi="Arial"/>
                <w:sz w:val="16"/>
                <w:szCs w:val="16"/>
                <w:color w:val="404040"/>
              </w:rPr>
              <w:t>$</w:t>
            </w:r>
          </w:p>
        </w:tc>
      </w:tr>
    </w:tbl>
    <w:p>
      <w:pPr>
        <w:spacing w:after="0" w:line="106" w:lineRule="exact"/>
        <w:rPr>
          <w:sz w:val="24"/>
          <w:szCs w:val="24"/>
          <w:color w:val="auto"/>
        </w:rPr>
      </w:pPr>
    </w:p>
    <w:p>
      <w:pPr>
        <w:ind w:left="400" w:hanging="222"/>
        <w:spacing w:after="0"/>
        <w:tabs>
          <w:tab w:leader="none" w:pos="40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pricing supplement for information about the components of the price to public of the notes.</w:t>
      </w:r>
    </w:p>
    <w:p>
      <w:pPr>
        <w:spacing w:after="0" w:line="51" w:lineRule="exact"/>
        <w:rPr>
          <w:rFonts w:ascii="Arial" w:cs="Arial" w:eastAsia="Arial" w:hAnsi="Arial"/>
          <w:sz w:val="14"/>
          <w:szCs w:val="14"/>
          <w:color w:val="404040"/>
        </w:rPr>
      </w:pPr>
    </w:p>
    <w:p>
      <w:pPr>
        <w:ind w:left="180" w:right="300" w:hanging="2"/>
        <w:spacing w:after="0" w:line="258" w:lineRule="auto"/>
        <w:tabs>
          <w:tab w:leader="none" w:pos="392"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Financial, will pay all of the selling commissions it receives from us to other affiliated or unaffiliated dealers. In no event will these selling commissions exceed $7.25 per $1,000 principal amount note. See “Plan of Distribution (Conflicts of Interest)” in the accompanying product supplement.</w:t>
      </w:r>
    </w:p>
    <w:p>
      <w:pPr>
        <w:spacing w:after="0" w:line="44" w:lineRule="exact"/>
        <w:rPr>
          <w:sz w:val="24"/>
          <w:szCs w:val="24"/>
          <w:color w:val="auto"/>
        </w:rPr>
      </w:pPr>
    </w:p>
    <w:p>
      <w:pPr>
        <w:ind w:right="200"/>
        <w:spacing w:after="0" w:line="268" w:lineRule="auto"/>
        <w:rPr>
          <w:sz w:val="20"/>
          <w:szCs w:val="20"/>
          <w:color w:val="auto"/>
        </w:rPr>
      </w:pPr>
      <w:r>
        <w:rPr>
          <w:rFonts w:ascii="Arial" w:cs="Arial" w:eastAsia="Arial" w:hAnsi="Arial"/>
          <w:sz w:val="16"/>
          <w:szCs w:val="16"/>
          <w:b w:val="1"/>
          <w:bCs w:val="1"/>
          <w:color w:val="auto"/>
        </w:rPr>
        <w:t>If the notes priced today, the estimated value of the notes would be approximately $949.50 per $1,000 principal amount note. The estimated value of the notes, when the terms of the notes are set, will be provided in the pricing supplement and will not be less than $920.00 per $1,000 principal amount note. See “The Estimated Value of the Notes” in this pricing supplement for additional information.</w:t>
      </w:r>
    </w:p>
    <w:p>
      <w:pPr>
        <w:spacing w:after="0" w:line="10"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right="3060"/>
        <w:spacing w:after="0" w:line="280" w:lineRule="auto"/>
        <w:rPr>
          <w:sz w:val="20"/>
          <w:szCs w:val="20"/>
          <w:color w:val="auto"/>
        </w:rPr>
      </w:pPr>
      <w:r>
        <w:rPr>
          <w:rFonts w:ascii="Arial" w:cs="Arial" w:eastAsia="Arial" w:hAnsi="Arial"/>
          <w:sz w:val="14"/>
          <w:szCs w:val="14"/>
          <w:color w:val="6D6E71"/>
        </w:rPr>
        <w:t>Pricing supplement to product supplement no. 4-II dated November 4, 2020, underlying supplement no. 1-II dated November 4, 2020 and the prospectus and prospectus supplement, each dated April 8, 2020</w:t>
      </w:r>
    </w:p>
    <w:p>
      <w:pPr>
        <w:sectPr>
          <w:pgSz w:w="11900" w:h="16838" w:orient="portrait"/>
          <w:cols w:equalWidth="0" w:num="1">
            <w:col w:w="11340"/>
          </w:cols>
          <w:pgMar w:left="320" w:top="23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20"/>
          </w:cols>
          <w:pgMar w:left="320" w:top="605" w:right="459" w:bottom="1440" w:gutter="0" w:footer="0" w:header="0"/>
        </w:sectPr>
      </w:pPr>
    </w:p>
    <w:p>
      <w:pPr>
        <w:spacing w:after="0" w:line="5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an indirect, wholly owned</w:t>
      </w:r>
      <w:r>
        <w:rPr>
          <w:rFonts w:ascii="Arial" w:cs="Arial" w:eastAsia="Arial" w:hAnsi="Arial"/>
          <w:sz w:val="16"/>
          <w:szCs w:val="16"/>
          <w:b w:val="1"/>
          <w:bCs w:val="1"/>
          <w:color w:val="54301A"/>
        </w:rPr>
        <w:t xml:space="preserve"> </w:t>
      </w:r>
      <w:r>
        <w:rPr>
          <w:rFonts w:ascii="Arial" w:cs="Arial" w:eastAsia="Arial" w:hAnsi="Arial"/>
          <w:sz w:val="16"/>
          <w:szCs w:val="16"/>
          <w:color w:val="000000"/>
        </w:rPr>
        <w:t>finance subsidiary of JPMorgan Chase &amp; Co.</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Guarantor: </w:t>
      </w:r>
      <w:r>
        <w:rPr>
          <w:rFonts w:ascii="Arial" w:cs="Arial" w:eastAsia="Arial" w:hAnsi="Arial"/>
          <w:sz w:val="16"/>
          <w:szCs w:val="16"/>
          <w:color w:val="000000"/>
        </w:rPr>
        <w:t>JPMorgan Chase &amp; Co.</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Fund: </w:t>
      </w:r>
      <w:r>
        <w:rPr>
          <w:rFonts w:ascii="Arial" w:cs="Arial" w:eastAsia="Arial" w:hAnsi="Arial"/>
          <w:sz w:val="16"/>
          <w:szCs w:val="16"/>
          <w:color w:val="000000"/>
        </w:rPr>
        <w:t>The iShares</w:t>
      </w:r>
      <w:r>
        <w:rPr>
          <w:rFonts w:ascii="Arial" w:cs="Arial" w:eastAsia="Arial" w:hAnsi="Arial"/>
          <w:sz w:val="26"/>
          <w:szCs w:val="26"/>
          <w:color w:val="000000"/>
          <w:vertAlign w:val="superscript"/>
        </w:rPr>
        <w:t>®</w:t>
      </w:r>
      <w:r>
        <w:rPr>
          <w:rFonts w:ascii="Arial" w:cs="Arial" w:eastAsia="Arial" w:hAnsi="Arial"/>
          <w:sz w:val="16"/>
          <w:szCs w:val="16"/>
          <w:b w:val="1"/>
          <w:bCs w:val="1"/>
          <w:color w:val="54301A"/>
        </w:rPr>
        <w:t xml:space="preserve"> </w:t>
      </w:r>
      <w:r>
        <w:rPr>
          <w:rFonts w:ascii="Arial" w:cs="Arial" w:eastAsia="Arial" w:hAnsi="Arial"/>
          <w:sz w:val="16"/>
          <w:szCs w:val="16"/>
          <w:color w:val="000000"/>
        </w:rPr>
        <w:t>Global Clean Energy ETF (Bloomberg ticker: ICLN)</w:t>
      </w:r>
    </w:p>
    <w:p>
      <w:pPr>
        <w:spacing w:after="0" w:line="11"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b w:val="1"/>
          <w:bCs w:val="1"/>
          <w:color w:val="54301A"/>
        </w:rPr>
        <w:t xml:space="preserve">Contingent Interest Payments: </w:t>
      </w:r>
      <w:r>
        <w:rPr>
          <w:rFonts w:ascii="Arial" w:cs="Arial" w:eastAsia="Arial" w:hAnsi="Arial"/>
          <w:sz w:val="16"/>
          <w:szCs w:val="16"/>
          <w:color w:val="000000"/>
        </w:rPr>
        <w:t>If the notes have not been automatically</w:t>
      </w:r>
      <w:r>
        <w:rPr>
          <w:rFonts w:ascii="Arial" w:cs="Arial" w:eastAsia="Arial" w:hAnsi="Arial"/>
          <w:sz w:val="16"/>
          <w:szCs w:val="16"/>
          <w:b w:val="1"/>
          <w:bCs w:val="1"/>
          <w:color w:val="54301A"/>
        </w:rPr>
        <w:t xml:space="preserve"> </w:t>
      </w:r>
      <w:r>
        <w:rPr>
          <w:rFonts w:ascii="Arial" w:cs="Arial" w:eastAsia="Arial" w:hAnsi="Arial"/>
          <w:sz w:val="16"/>
          <w:szCs w:val="16"/>
          <w:color w:val="000000"/>
        </w:rPr>
        <w:t>called and the closing price of one share of the Fund on any Review Date is greater than or equal to the Interest Barrier, you will receive on the applicable Interest Payment Date for each $1,000 principal amount note a Contingent Interest Payment equal to at least $12.50 (equivalent to a Contingent Interest Rate of at least 15.00% per annum, payable at a rate of at least 1.25% per month) (to be provided in the pricing supplement).</w:t>
      </w:r>
    </w:p>
    <w:p>
      <w:pPr>
        <w:spacing w:after="0" w:line="51"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i w:val="1"/>
          <w:iCs w:val="1"/>
          <w:color w:val="auto"/>
        </w:rPr>
        <w:t>If the closing price of one share of the Fund on any Review Date is less than the Interest Barrier, no Contingent Interest Payment will be made with respect to that Review Date.</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color w:val="54301A"/>
        </w:rPr>
        <w:t xml:space="preserve">Contingent Interest Rate: </w:t>
      </w:r>
      <w:r>
        <w:rPr>
          <w:rFonts w:ascii="Arial" w:cs="Arial" w:eastAsia="Arial" w:hAnsi="Arial"/>
          <w:sz w:val="16"/>
          <w:szCs w:val="16"/>
          <w:color w:val="000000"/>
        </w:rPr>
        <w:t>At least 15.00% per annum, payable at a rate of at</w:t>
      </w:r>
      <w:r>
        <w:rPr>
          <w:rFonts w:ascii="Arial" w:cs="Arial" w:eastAsia="Arial" w:hAnsi="Arial"/>
          <w:sz w:val="16"/>
          <w:szCs w:val="16"/>
          <w:b w:val="1"/>
          <w:bCs w:val="1"/>
          <w:color w:val="54301A"/>
        </w:rPr>
        <w:t xml:space="preserve"> </w:t>
      </w:r>
      <w:r>
        <w:rPr>
          <w:rFonts w:ascii="Arial" w:cs="Arial" w:eastAsia="Arial" w:hAnsi="Arial"/>
          <w:sz w:val="16"/>
          <w:szCs w:val="16"/>
          <w:color w:val="000000"/>
        </w:rPr>
        <w:t>least 1.25% per month (to be provided in the pricing supplement)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Interest Barrier / Trigger Value: </w:t>
      </w:r>
      <w:r>
        <w:rPr>
          <w:rFonts w:ascii="Arial" w:cs="Arial" w:eastAsia="Arial" w:hAnsi="Arial"/>
          <w:sz w:val="16"/>
          <w:szCs w:val="16"/>
          <w:color w:val="000000"/>
        </w:rPr>
        <w:t>60.00% of the Initial Value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On or about January 29, 2021</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February 3, 2021</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54301A"/>
        </w:rPr>
        <w:t xml:space="preserve">Review Dates*: </w:t>
      </w:r>
      <w:r>
        <w:rPr>
          <w:rFonts w:ascii="Arial" w:cs="Arial" w:eastAsia="Arial" w:hAnsi="Arial"/>
          <w:sz w:val="16"/>
          <w:szCs w:val="16"/>
          <w:color w:val="000000"/>
        </w:rPr>
        <w:t>March 1, 2021, March 29, 2021, April 29, 2021, June 1, 2021,</w:t>
      </w:r>
      <w:r>
        <w:rPr>
          <w:rFonts w:ascii="Arial" w:cs="Arial" w:eastAsia="Arial" w:hAnsi="Arial"/>
          <w:sz w:val="16"/>
          <w:szCs w:val="16"/>
          <w:b w:val="1"/>
          <w:bCs w:val="1"/>
          <w:color w:val="54301A"/>
        </w:rPr>
        <w:t xml:space="preserve"> </w:t>
      </w:r>
      <w:r>
        <w:rPr>
          <w:rFonts w:ascii="Arial" w:cs="Arial" w:eastAsia="Arial" w:hAnsi="Arial"/>
          <w:sz w:val="16"/>
          <w:szCs w:val="16"/>
          <w:color w:val="000000"/>
        </w:rPr>
        <w:t>June 29, 2021, July 29, 2021, August 30, 2021, September 29, 2021, October 29, 2021, November 29, 2021, December 29, 2021, January 31, 2022, February 28, 2022, March 29, 2022, April 29, 2022, May 31, 2022, June 29, 2022 and July 29, 2022 (final Review Date)</w:t>
      </w:r>
    </w:p>
    <w:p>
      <w:pPr>
        <w:spacing w:after="0" w:line="4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color w:val="54301A"/>
        </w:rPr>
        <w:t xml:space="preserve">Interest Payment Dates*: </w:t>
      </w:r>
      <w:r>
        <w:rPr>
          <w:rFonts w:ascii="Arial" w:cs="Arial" w:eastAsia="Arial" w:hAnsi="Arial"/>
          <w:sz w:val="16"/>
          <w:szCs w:val="16"/>
          <w:color w:val="000000"/>
        </w:rPr>
        <w:t>March 4, 2021, April 1, 2021, May 4, 2021, June 4,</w:t>
      </w:r>
      <w:r>
        <w:rPr>
          <w:rFonts w:ascii="Arial" w:cs="Arial" w:eastAsia="Arial" w:hAnsi="Arial"/>
          <w:sz w:val="16"/>
          <w:szCs w:val="16"/>
          <w:b w:val="1"/>
          <w:bCs w:val="1"/>
          <w:color w:val="54301A"/>
        </w:rPr>
        <w:t xml:space="preserve"> </w:t>
      </w:r>
      <w:r>
        <w:rPr>
          <w:rFonts w:ascii="Arial" w:cs="Arial" w:eastAsia="Arial" w:hAnsi="Arial"/>
          <w:sz w:val="16"/>
          <w:szCs w:val="16"/>
          <w:color w:val="000000"/>
        </w:rPr>
        <w:t>2021, July 2, 2021, August 3, 2021, September 2, 2021, October 4, 2021, November 3, 2021, December 2, 2021, January 3, 2022, February 3, 2022, March 3, 2022, April 1, 2022, May 4, 2022, June 3, 2022, July 5, 2022 and the Maturity Date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August 3, 2022</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b w:val="1"/>
          <w:bCs w:val="1"/>
          <w:color w:val="54301A"/>
        </w:rPr>
        <w:t xml:space="preserve">Call Settlement Date*: </w:t>
      </w:r>
      <w:r>
        <w:rPr>
          <w:rFonts w:ascii="Arial" w:cs="Arial" w:eastAsia="Arial" w:hAnsi="Arial"/>
          <w:sz w:val="16"/>
          <w:szCs w:val="16"/>
          <w:color w:val="000000"/>
        </w:rPr>
        <w:t>If the notes are automatically called on any Review</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 (other than the first, second and final Review Dates), the first Interest Payment Date immediately following that Review Date</w:t>
      </w:r>
    </w:p>
    <w:p>
      <w:pPr>
        <w:spacing w:after="0" w:line="40" w:lineRule="exact"/>
        <w:rPr>
          <w:sz w:val="20"/>
          <w:szCs w:val="20"/>
          <w:color w:val="auto"/>
        </w:rPr>
      </w:pPr>
    </w:p>
    <w:p>
      <w:pPr>
        <w:ind w:right="260" w:firstLine="6"/>
        <w:spacing w:after="0" w:line="250" w:lineRule="auto"/>
        <w:tabs>
          <w:tab w:leader="none" w:pos="94"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 as described under “General Terms of Notes — Postponement of a Determination Date</w:t>
      </w:r>
    </w:p>
    <w:p>
      <w:pPr>
        <w:ind w:right="260"/>
        <w:spacing w:after="0" w:line="245" w:lineRule="auto"/>
        <w:rPr>
          <w:rFonts w:ascii="Arial" w:cs="Arial" w:eastAsia="Arial" w:hAnsi="Arial"/>
          <w:sz w:val="14"/>
          <w:szCs w:val="14"/>
          <w:color w:val="auto"/>
        </w:rPr>
      </w:pPr>
      <w:r>
        <w:rPr>
          <w:rFonts w:ascii="Arial" w:cs="Arial" w:eastAsia="Arial" w:hAnsi="Arial"/>
          <w:sz w:val="14"/>
          <w:szCs w:val="14"/>
          <w:color w:val="auto"/>
        </w:rPr>
        <w:t>— Notes Linked to a Single Underlying — Notes Linked to a Single Underlying (Other Than a Commodity Index)” and “General Terms of Notes — Postponement of a Payment Date” in the accompanying product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4301A"/>
        </w:rPr>
        <w:t>Automatic Call:</w:t>
      </w:r>
    </w:p>
    <w:p>
      <w:pPr>
        <w:spacing w:after="0" w:line="37" w:lineRule="exact"/>
        <w:rPr>
          <w:sz w:val="20"/>
          <w:szCs w:val="20"/>
          <w:color w:val="auto"/>
        </w:rPr>
      </w:pPr>
    </w:p>
    <w:p>
      <w:pPr>
        <w:ind w:left="3"/>
        <w:spacing w:after="0" w:line="248" w:lineRule="auto"/>
        <w:rPr>
          <w:sz w:val="20"/>
          <w:szCs w:val="20"/>
          <w:color w:val="auto"/>
        </w:rPr>
      </w:pPr>
      <w:r>
        <w:rPr>
          <w:rFonts w:ascii="Arial" w:cs="Arial" w:eastAsia="Arial" w:hAnsi="Arial"/>
          <w:sz w:val="16"/>
          <w:szCs w:val="16"/>
          <w:color w:val="auto"/>
        </w:rPr>
        <w:t xml:space="preserve">If the closing price of one share of the Fund on any Review Date (other than the first, second and final Review Dates) is greater than or equal to the Initial Value, the notes will be automatically called for a cash payment,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applicable to that Review Date, payable on the applicable Call Settlement Date. No further payments will be made on the notes.</w:t>
      </w:r>
    </w:p>
    <w:p>
      <w:pPr>
        <w:spacing w:after="0" w:line="3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4301A"/>
        </w:rPr>
        <w:t>Payment at Maturity:</w:t>
      </w:r>
    </w:p>
    <w:p>
      <w:pPr>
        <w:spacing w:after="0" w:line="43" w:lineRule="exact"/>
        <w:rPr>
          <w:sz w:val="20"/>
          <w:szCs w:val="20"/>
          <w:color w:val="auto"/>
        </w:rPr>
      </w:pPr>
    </w:p>
    <w:p>
      <w:pPr>
        <w:ind w:left="3" w:right="100"/>
        <w:spacing w:after="0" w:line="267" w:lineRule="auto"/>
        <w:rPr>
          <w:sz w:val="20"/>
          <w:szCs w:val="20"/>
          <w:color w:val="auto"/>
        </w:rPr>
      </w:pPr>
      <w:r>
        <w:rPr>
          <w:rFonts w:ascii="Arial" w:cs="Arial" w:eastAsia="Arial" w:hAnsi="Arial"/>
          <w:sz w:val="15"/>
          <w:szCs w:val="15"/>
          <w:color w:val="auto"/>
        </w:rPr>
        <w:t xml:space="preserve">If the notes have not been automatically called and the Final Value is greater than or equal to the Trigger Value, you will receive a cash payment at maturity, for each $1,000 principal amount note, equal to (a) $1,000 </w:t>
      </w:r>
      <w:r>
        <w:rPr>
          <w:rFonts w:ascii="Arial" w:cs="Arial" w:eastAsia="Arial" w:hAnsi="Arial"/>
          <w:sz w:val="15"/>
          <w:szCs w:val="15"/>
          <w:i w:val="1"/>
          <w:iCs w:val="1"/>
          <w:color w:val="auto"/>
        </w:rPr>
        <w:t>plus</w:t>
      </w:r>
    </w:p>
    <w:p>
      <w:pPr>
        <w:spacing w:after="0" w:line="1" w:lineRule="exact"/>
        <w:rPr>
          <w:sz w:val="20"/>
          <w:szCs w:val="20"/>
          <w:color w:val="auto"/>
        </w:rPr>
      </w:pPr>
    </w:p>
    <w:p>
      <w:pPr>
        <w:ind w:left="3" w:right="180" w:hanging="3"/>
        <w:spacing w:after="0" w:line="246" w:lineRule="auto"/>
        <w:tabs>
          <w:tab w:leader="none" w:pos="24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Contingent Interest Payment applicable to the final Review Date. If the notes have not been automatically called and the Final Value is less than the Trigger Value, your payment at maturity per $1,000 principal amount note will be calculated as follows:</w:t>
      </w:r>
    </w:p>
    <w:p>
      <w:pPr>
        <w:spacing w:after="0" w:line="34" w:lineRule="exact"/>
        <w:rPr>
          <w:sz w:val="20"/>
          <w:szCs w:val="20"/>
          <w:color w:val="auto"/>
        </w:rPr>
      </w:pPr>
    </w:p>
    <w:p>
      <w:pPr>
        <w:ind w:left="1523"/>
        <w:spacing w:after="0"/>
        <w:rPr>
          <w:sz w:val="20"/>
          <w:szCs w:val="20"/>
          <w:color w:val="auto"/>
        </w:rPr>
      </w:pPr>
      <w:r>
        <w:rPr>
          <w:rFonts w:ascii="Arial" w:cs="Arial" w:eastAsia="Arial" w:hAnsi="Arial"/>
          <w:sz w:val="16"/>
          <w:szCs w:val="16"/>
          <w:color w:val="auto"/>
        </w:rPr>
        <w:t>$1,000 + ($1,000 × Fund Return)</w:t>
      </w:r>
    </w:p>
    <w:p>
      <w:pPr>
        <w:spacing w:after="0" w:line="83" w:lineRule="exact"/>
        <w:rPr>
          <w:sz w:val="20"/>
          <w:szCs w:val="20"/>
          <w:color w:val="auto"/>
        </w:rPr>
      </w:pPr>
    </w:p>
    <w:p>
      <w:pPr>
        <w:ind w:left="3" w:right="180"/>
        <w:spacing w:after="0" w:line="285" w:lineRule="auto"/>
        <w:rPr>
          <w:sz w:val="20"/>
          <w:szCs w:val="20"/>
          <w:color w:val="auto"/>
        </w:rPr>
      </w:pPr>
      <w:r>
        <w:rPr>
          <w:rFonts w:ascii="Arial" w:cs="Arial" w:eastAsia="Arial" w:hAnsi="Arial"/>
          <w:sz w:val="15"/>
          <w:szCs w:val="15"/>
          <w:i w:val="1"/>
          <w:iCs w:val="1"/>
          <w:color w:val="auto"/>
        </w:rPr>
        <w:t>If the notes have not been automatically called and the Final Value is less than the Trigger Value, you will lose more than 40.00% of your principal amount at maturity and could lose all of your principal amount at maturity.</w:t>
      </w:r>
    </w:p>
    <w:p>
      <w:pPr>
        <w:spacing w:after="0" w:line="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4301A"/>
        </w:rPr>
        <w:t>Fund Return:</w:t>
      </w:r>
    </w:p>
    <w:p>
      <w:pPr>
        <w:spacing w:after="0" w:line="43" w:lineRule="exact"/>
        <w:rPr>
          <w:sz w:val="20"/>
          <w:szCs w:val="20"/>
          <w:color w:val="auto"/>
        </w:rPr>
      </w:pPr>
    </w:p>
    <w:p>
      <w:pPr>
        <w:jc w:val="center"/>
        <w:ind w:right="-22"/>
        <w:spacing w:after="0"/>
        <w:rPr>
          <w:sz w:val="20"/>
          <w:szCs w:val="20"/>
          <w:color w:val="auto"/>
        </w:rPr>
      </w:pPr>
      <w:r>
        <w:rPr>
          <w:rFonts w:ascii="Arial" w:cs="Arial" w:eastAsia="Arial" w:hAnsi="Arial"/>
          <w:sz w:val="16"/>
          <w:szCs w:val="16"/>
          <w:u w:val="single" w:color="auto"/>
          <w:color w:val="auto"/>
        </w:rPr>
        <w:t>(Final Value – Initial Value)</w:t>
      </w:r>
    </w:p>
    <w:p>
      <w:pPr>
        <w:spacing w:after="0" w:line="22"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Initial Value</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4301A"/>
        </w:rPr>
        <w:t xml:space="preserve">Initial Value: </w:t>
      </w:r>
      <w:r>
        <w:rPr>
          <w:rFonts w:ascii="Arial" w:cs="Arial" w:eastAsia="Arial" w:hAnsi="Arial"/>
          <w:sz w:val="15"/>
          <w:szCs w:val="15"/>
          <w:color w:val="000000"/>
        </w:rPr>
        <w:t>The closing price of one share of the Fund on the Pricing Date</w:t>
      </w:r>
    </w:p>
    <w:p>
      <w:pPr>
        <w:spacing w:after="0" w:line="79" w:lineRule="exact"/>
        <w:rPr>
          <w:sz w:val="20"/>
          <w:szCs w:val="20"/>
          <w:color w:val="auto"/>
        </w:rPr>
      </w:pPr>
    </w:p>
    <w:p>
      <w:pPr>
        <w:ind w:left="3" w:right="40"/>
        <w:spacing w:after="0" w:line="283" w:lineRule="auto"/>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The closing price of one share of the Fund on the final Review</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w:t>
      </w:r>
    </w:p>
    <w:p>
      <w:pPr>
        <w:spacing w:after="0" w:line="43" w:lineRule="exact"/>
        <w:rPr>
          <w:sz w:val="20"/>
          <w:szCs w:val="20"/>
          <w:color w:val="auto"/>
        </w:rPr>
      </w:pPr>
    </w:p>
    <w:p>
      <w:pPr>
        <w:ind w:left="3" w:right="140"/>
        <w:spacing w:after="0" w:line="250" w:lineRule="auto"/>
        <w:rPr>
          <w:sz w:val="20"/>
          <w:szCs w:val="20"/>
          <w:color w:val="auto"/>
        </w:rPr>
      </w:pPr>
      <w:r>
        <w:rPr>
          <w:rFonts w:ascii="Arial" w:cs="Arial" w:eastAsia="Arial" w:hAnsi="Arial"/>
          <w:sz w:val="16"/>
          <w:szCs w:val="16"/>
          <w:b w:val="1"/>
          <w:bCs w:val="1"/>
          <w:color w:val="54301A"/>
        </w:rPr>
        <w:t xml:space="preserve">Share Adjustment Factor: </w:t>
      </w:r>
      <w:r>
        <w:rPr>
          <w:rFonts w:ascii="Arial" w:cs="Arial" w:eastAsia="Arial" w:hAnsi="Arial"/>
          <w:sz w:val="16"/>
          <w:szCs w:val="16"/>
          <w:color w:val="000000"/>
        </w:rPr>
        <w:t>The Share Adjustment Factor is referenced in</w:t>
      </w:r>
      <w:r>
        <w:rPr>
          <w:rFonts w:ascii="Arial" w:cs="Arial" w:eastAsia="Arial" w:hAnsi="Arial"/>
          <w:sz w:val="16"/>
          <w:szCs w:val="16"/>
          <w:b w:val="1"/>
          <w:bCs w:val="1"/>
          <w:color w:val="54301A"/>
        </w:rPr>
        <w:t xml:space="preserve"> </w:t>
      </w:r>
      <w:r>
        <w:rPr>
          <w:rFonts w:ascii="Arial" w:cs="Arial" w:eastAsia="Arial" w:hAnsi="Arial"/>
          <w:sz w:val="16"/>
          <w:szCs w:val="16"/>
          <w:color w:val="000000"/>
        </w:rPr>
        <w:t>determining the closing price of one share of the Fund and is set equal to 1.0 on the Pricing Date. The Share Adjustment Factor is subject to adjustment upon the occurrence of certain events affecting the Fund. See “The Underlyings — Funds — Anti-Dilution Adjustments” in the accompanying product supplement for further information.</w:t>
      </w:r>
    </w:p>
    <w:p>
      <w:pPr>
        <w:spacing w:after="0" w:line="1515" w:lineRule="exact"/>
        <w:rPr>
          <w:sz w:val="20"/>
          <w:szCs w:val="20"/>
          <w:color w:val="auto"/>
        </w:rPr>
      </w:pPr>
    </w:p>
    <w:p>
      <w:pPr>
        <w:sectPr>
          <w:pgSz w:w="11900" w:h="16838" w:orient="portrait"/>
          <w:cols w:equalWidth="0" w:num="2">
            <w:col w:w="5520" w:space="257"/>
            <w:col w:w="5343"/>
          </w:cols>
          <w:pgMar w:left="320" w:top="605" w:right="45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120"/>
          </w:cols>
          <w:pgMar w:left="320" w:top="605" w:right="4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in Connection with the First and Second Review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34925</wp:posOffset>
            </wp:positionV>
            <wp:extent cx="4627245" cy="2272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2724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54301A"/>
        </w:rPr>
        <w:t>Payments in Connection with Review Dates (Other than the First, Second and Final Review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34860" cy="280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280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PS-2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0139"/>
          </w:cols>
          <w:pgMar w:left="320" w:top="605"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54301A"/>
        </w:rPr>
        <w:t>Payment at Maturity If the Notes Have Not Been Automatically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38735</wp:posOffset>
            </wp:positionV>
            <wp:extent cx="4627245" cy="2288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2724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Total Contingent Interest Payments</w:t>
      </w:r>
    </w:p>
    <w:p>
      <w:pPr>
        <w:spacing w:after="0" w:line="43" w:lineRule="exact"/>
        <w:rPr>
          <w:sz w:val="20"/>
          <w:szCs w:val="20"/>
          <w:color w:val="auto"/>
        </w:rPr>
      </w:pPr>
    </w:p>
    <w:p>
      <w:pPr>
        <w:jc w:val="both"/>
        <w:ind w:right="640"/>
        <w:spacing w:after="0" w:line="261" w:lineRule="auto"/>
        <w:rPr>
          <w:sz w:val="20"/>
          <w:szCs w:val="20"/>
          <w:color w:val="auto"/>
        </w:rPr>
      </w:pPr>
      <w:r>
        <w:rPr>
          <w:rFonts w:ascii="Arial" w:cs="Arial" w:eastAsia="Arial" w:hAnsi="Arial"/>
          <w:sz w:val="16"/>
          <w:szCs w:val="16"/>
          <w:color w:val="404040"/>
        </w:rPr>
        <w:t>The table below illustrates the hypothetical total Contingent Interest Payments per $1,000 principal amount note over the term of the notes based on a hypothetical Contingent Interest Rate of 15.00% per annum, depending on how many Contingent Interest Payments are made prior to automatic call or maturity. The actual Contingent Interest Rate will be provided in the pricing supplement and will be at least 15.00% per annum.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20" w:type="dxa"/>
            <w:vAlign w:val="bottom"/>
            <w:shd w:val="clear" w:color="auto" w:fill="BFBFBF"/>
          </w:tcPr>
          <w:p>
            <w:pPr>
              <w:ind w:left="80"/>
              <w:spacing w:after="0"/>
              <w:rPr>
                <w:sz w:val="20"/>
                <w:szCs w:val="20"/>
                <w:color w:val="auto"/>
              </w:rPr>
            </w:pPr>
            <w:r>
              <w:rPr>
                <w:rFonts w:ascii="Arial" w:cs="Arial" w:eastAsia="Arial" w:hAnsi="Arial"/>
                <w:sz w:val="16"/>
                <w:szCs w:val="16"/>
                <w:color w:val="333333"/>
              </w:rPr>
              <w:t>Number of Contingent</w:t>
            </w:r>
          </w:p>
        </w:tc>
        <w:tc>
          <w:tcPr>
            <w:tcW w:w="2560" w:type="dxa"/>
            <w:vAlign w:val="bottom"/>
            <w:shd w:val="clear" w:color="auto" w:fill="BFBFBF"/>
          </w:tcPr>
          <w:p>
            <w:pPr>
              <w:ind w:left="360"/>
              <w:spacing w:after="0"/>
              <w:rPr>
                <w:sz w:val="20"/>
                <w:szCs w:val="20"/>
                <w:color w:val="auto"/>
              </w:rPr>
            </w:pPr>
            <w:r>
              <w:rPr>
                <w:rFonts w:ascii="Arial" w:cs="Arial" w:eastAsia="Arial" w:hAnsi="Arial"/>
                <w:sz w:val="16"/>
                <w:szCs w:val="16"/>
                <w:color w:val="333333"/>
              </w:rPr>
              <w:t>Total Contingent Interest</w:t>
            </w:r>
          </w:p>
        </w:tc>
        <w:tc>
          <w:tcPr>
            <w:tcW w:w="3320" w:type="dxa"/>
            <w:vAlign w:val="bottom"/>
          </w:tcPr>
          <w:p>
            <w:pPr>
              <w:spacing w:after="0"/>
              <w:rPr>
                <w:sz w:val="20"/>
                <w:szCs w:val="20"/>
                <w:color w:val="auto"/>
              </w:rPr>
            </w:pPr>
          </w:p>
        </w:tc>
      </w:tr>
      <w:tr>
        <w:trPr>
          <w:trHeight w:val="204"/>
        </w:trPr>
        <w:tc>
          <w:tcPr>
            <w:tcW w:w="3340" w:type="dxa"/>
            <w:vAlign w:val="bottom"/>
          </w:tcPr>
          <w:p>
            <w:pPr>
              <w:spacing w:after="0"/>
              <w:rPr>
                <w:sz w:val="17"/>
                <w:szCs w:val="17"/>
                <w:color w:val="auto"/>
              </w:rPr>
            </w:pPr>
          </w:p>
        </w:tc>
        <w:tc>
          <w:tcPr>
            <w:tcW w:w="2020" w:type="dxa"/>
            <w:vAlign w:val="bottom"/>
            <w:tcBorders>
              <w:bottom w:val="single" w:sz="8" w:color="6D6E71"/>
            </w:tcBorders>
            <w:shd w:val="clear" w:color="auto" w:fill="BFBFBF"/>
          </w:tcPr>
          <w:p>
            <w:pPr>
              <w:ind w:left="80"/>
              <w:spacing w:after="0"/>
              <w:rPr>
                <w:sz w:val="20"/>
                <w:szCs w:val="20"/>
                <w:color w:val="auto"/>
              </w:rPr>
            </w:pPr>
            <w:r>
              <w:rPr>
                <w:rFonts w:ascii="Arial" w:cs="Arial" w:eastAsia="Arial" w:hAnsi="Arial"/>
                <w:sz w:val="16"/>
                <w:szCs w:val="16"/>
                <w:color w:val="333333"/>
              </w:rPr>
              <w:t>Interest Payments</w:t>
            </w:r>
          </w:p>
        </w:tc>
        <w:tc>
          <w:tcPr>
            <w:tcW w:w="2560" w:type="dxa"/>
            <w:vAlign w:val="bottom"/>
            <w:tcBorders>
              <w:bottom w:val="single" w:sz="8" w:color="6D6E71"/>
            </w:tcBorders>
            <w:shd w:val="clear" w:color="auto" w:fill="BFBFBF"/>
          </w:tcPr>
          <w:p>
            <w:pPr>
              <w:ind w:left="360"/>
              <w:spacing w:after="0"/>
              <w:rPr>
                <w:sz w:val="20"/>
                <w:szCs w:val="20"/>
                <w:color w:val="auto"/>
              </w:rPr>
            </w:pPr>
            <w:r>
              <w:rPr>
                <w:rFonts w:ascii="Arial" w:cs="Arial" w:eastAsia="Arial" w:hAnsi="Arial"/>
                <w:sz w:val="16"/>
                <w:szCs w:val="16"/>
                <w:color w:val="333333"/>
              </w:rPr>
              <w:t>Payments</w:t>
            </w:r>
          </w:p>
        </w:tc>
        <w:tc>
          <w:tcPr>
            <w:tcW w:w="3320" w:type="dxa"/>
            <w:vAlign w:val="bottom"/>
          </w:tcPr>
          <w:p>
            <w:pPr>
              <w:spacing w:after="0"/>
              <w:rPr>
                <w:sz w:val="17"/>
                <w:szCs w:val="17"/>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18</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$225.00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17</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$212.50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16</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$200.00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15</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$187.50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14</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$175.00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13</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$162.50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12</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$150.00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11</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$137.50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10</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$125.00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9</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$112.50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8</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$100.00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7</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$87.50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6</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$75.00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5</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$62.50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4</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$50.00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3</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$37.50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2</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$25.00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1</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$12.50</w:t>
            </w:r>
          </w:p>
        </w:tc>
        <w:tc>
          <w:tcPr>
            <w:tcW w:w="3320" w:type="dxa"/>
            <w:vAlign w:val="bottom"/>
          </w:tcPr>
          <w:p>
            <w:pPr>
              <w:spacing w:after="0"/>
              <w:rPr>
                <w:sz w:val="21"/>
                <w:szCs w:val="21"/>
                <w:color w:val="auto"/>
              </w:rPr>
            </w:pPr>
          </w:p>
        </w:tc>
      </w:tr>
      <w:tr>
        <w:trPr>
          <w:trHeight w:val="245"/>
        </w:trPr>
        <w:tc>
          <w:tcPr>
            <w:tcW w:w="3340" w:type="dxa"/>
            <w:vAlign w:val="bottom"/>
          </w:tcPr>
          <w:p>
            <w:pPr>
              <w:spacing w:after="0"/>
              <w:rPr>
                <w:sz w:val="21"/>
                <w:szCs w:val="21"/>
                <w:color w:val="auto"/>
              </w:rPr>
            </w:pPr>
          </w:p>
        </w:tc>
        <w:tc>
          <w:tcPr>
            <w:tcW w:w="2020" w:type="dxa"/>
            <w:vAlign w:val="bottom"/>
            <w:tcBorders>
              <w:bottom w:val="single" w:sz="8" w:color="808080"/>
            </w:tcBorders>
          </w:tcPr>
          <w:p>
            <w:pPr>
              <w:ind w:left="80"/>
              <w:spacing w:after="0"/>
              <w:rPr>
                <w:sz w:val="20"/>
                <w:szCs w:val="20"/>
                <w:color w:val="auto"/>
              </w:rPr>
            </w:pPr>
            <w:r>
              <w:rPr>
                <w:rFonts w:ascii="Arial" w:cs="Arial" w:eastAsia="Arial" w:hAnsi="Arial"/>
                <w:sz w:val="16"/>
                <w:szCs w:val="16"/>
                <w:color w:val="404040"/>
              </w:rPr>
              <w:t>0</w:t>
            </w:r>
          </w:p>
        </w:tc>
        <w:tc>
          <w:tcPr>
            <w:tcW w:w="2560" w:type="dxa"/>
            <w:vAlign w:val="bottom"/>
            <w:tcBorders>
              <w:bottom w:val="single" w:sz="8" w:color="808080"/>
            </w:tcBorders>
          </w:tcPr>
          <w:p>
            <w:pPr>
              <w:ind w:left="360"/>
              <w:spacing w:after="0"/>
              <w:rPr>
                <w:sz w:val="20"/>
                <w:szCs w:val="20"/>
                <w:color w:val="auto"/>
              </w:rPr>
            </w:pPr>
            <w:r>
              <w:rPr>
                <w:rFonts w:ascii="Arial" w:cs="Arial" w:eastAsia="Arial" w:hAnsi="Arial"/>
                <w:sz w:val="16"/>
                <w:szCs w:val="16"/>
                <w:color w:val="404040"/>
              </w:rPr>
              <w:t>$0.00</w:t>
            </w:r>
          </w:p>
        </w:tc>
        <w:tc>
          <w:tcPr>
            <w:tcW w:w="3320" w:type="dxa"/>
            <w:vAlign w:val="bottom"/>
          </w:tcPr>
          <w:p>
            <w:pPr>
              <w:spacing w:after="0"/>
              <w:rPr>
                <w:sz w:val="21"/>
                <w:szCs w:val="21"/>
                <w:color w:val="auto"/>
              </w:rPr>
            </w:pPr>
          </w:p>
        </w:tc>
      </w:tr>
      <w:tr>
        <w:trPr>
          <w:trHeight w:val="113"/>
        </w:trPr>
        <w:tc>
          <w:tcPr>
            <w:tcW w:w="33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5691505</wp:posOffset>
            </wp:positionH>
            <wp:positionV relativeFrom="paragraph">
              <wp:posOffset>0</wp:posOffset>
            </wp:positionV>
            <wp:extent cx="1438910" cy="429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8910" cy="429260"/>
                    </a:xfrm>
                    <a:prstGeom prst="rect">
                      <a:avLst/>
                    </a:prstGeom>
                    <a:noFill/>
                  </pic:spPr>
                </pic:pic>
              </a:graphicData>
            </a:graphic>
          </wp:anchor>
        </w:drawing>
      </w: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PS-3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40"/>
          </w:cols>
          <w:pgMar w:left="320" w:top="57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E8ABE"/>
        </w:rPr>
        <w:t>Hypothetical Payout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examples illustrate payments on the notes linked to a hypothetical Fund, assuming a range of performances for the hypothetical Fund on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404040"/>
        </w:rPr>
        <w:t>Review Dates. The hypothetical payments set forth below assume the following:</w:t>
      </w:r>
    </w:p>
    <w:p>
      <w:pPr>
        <w:spacing w:after="0" w:line="48"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6"/>
          <w:szCs w:val="16"/>
          <w:color w:val="404040"/>
        </w:rPr>
      </w:pPr>
      <w:r>
        <w:rPr>
          <w:rFonts w:ascii="Arial" w:cs="Arial" w:eastAsia="Arial" w:hAnsi="Arial"/>
          <w:sz w:val="16"/>
          <w:szCs w:val="16"/>
          <w:color w:val="404040"/>
        </w:rPr>
        <w:t>an Initial Value of $100.00;</w:t>
      </w:r>
    </w:p>
    <w:p>
      <w:pPr>
        <w:spacing w:after="0" w:line="80"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5"/>
        </w:numPr>
        <w:rPr>
          <w:rFonts w:ascii="Times New Roman" w:cs="Times New Roman" w:eastAsia="Times New Roman" w:hAnsi="Times New Roman"/>
          <w:sz w:val="16"/>
          <w:szCs w:val="16"/>
          <w:color w:val="404040"/>
        </w:rPr>
      </w:pPr>
      <w:r>
        <w:rPr>
          <w:rFonts w:ascii="Arial" w:cs="Arial" w:eastAsia="Arial" w:hAnsi="Arial"/>
          <w:sz w:val="16"/>
          <w:szCs w:val="16"/>
          <w:color w:val="404040"/>
        </w:rPr>
        <w:t>an Interest Barrier and a Trigger Value of $60.00 (equal to 60.00% of the hypothetical Initial Value); and</w:t>
      </w:r>
    </w:p>
    <w:p>
      <w:pPr>
        <w:spacing w:after="0" w:line="93"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5"/>
        </w:numPr>
        <w:rPr>
          <w:rFonts w:ascii="Times New Roman" w:cs="Times New Roman" w:eastAsia="Times New Roman" w:hAnsi="Times New Roman"/>
          <w:sz w:val="16"/>
          <w:szCs w:val="16"/>
          <w:color w:val="404040"/>
        </w:rPr>
      </w:pPr>
      <w:r>
        <w:rPr>
          <w:rFonts w:ascii="Arial" w:cs="Arial" w:eastAsia="Arial" w:hAnsi="Arial"/>
          <w:sz w:val="16"/>
          <w:szCs w:val="16"/>
          <w:color w:val="404040"/>
        </w:rPr>
        <w:t>a Contingent Interest Rate of 15.00% per annum (payable at a rate of 1.25% per month).</w:t>
      </w:r>
    </w:p>
    <w:p>
      <w:pPr>
        <w:spacing w:after="0" w:line="80" w:lineRule="exact"/>
        <w:rPr>
          <w:sz w:val="20"/>
          <w:szCs w:val="20"/>
          <w:color w:val="auto"/>
        </w:rPr>
      </w:pPr>
    </w:p>
    <w:p>
      <w:pPr>
        <w:jc w:val="both"/>
        <w:ind w:right="380"/>
        <w:spacing w:after="0" w:line="261" w:lineRule="auto"/>
        <w:rPr>
          <w:sz w:val="20"/>
          <w:szCs w:val="20"/>
          <w:color w:val="auto"/>
        </w:rPr>
      </w:pPr>
      <w:r>
        <w:rPr>
          <w:rFonts w:ascii="Arial" w:cs="Arial" w:eastAsia="Arial" w:hAnsi="Arial"/>
          <w:sz w:val="16"/>
          <w:szCs w:val="16"/>
          <w:color w:val="404040"/>
        </w:rPr>
        <w:t>The hypothetical Initial Value of $100.00 has been chosen for illustrative purposes only and may not represent a likely actual Initial Value. The actual Initial Value will be the closing price of one share of the Fund on the Pricing Date and will be provided in the pricing supplement. For historical data regarding the actual closing prices of one share of the Fund, please see the historical information set forth under “The Fund” in this pricing supplement.</w:t>
      </w:r>
    </w:p>
    <w:p>
      <w:pPr>
        <w:spacing w:after="0" w:line="22"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Example 1 — Notes are automatically called on the third Review Date.</w:t>
      </w:r>
    </w:p>
    <w:p>
      <w:pPr>
        <w:spacing w:after="0" w:line="61" w:lineRule="exact"/>
        <w:rPr>
          <w:sz w:val="20"/>
          <w:szCs w:val="20"/>
          <w:color w:val="auto"/>
        </w:rPr>
      </w:pPr>
    </w:p>
    <w:tbl>
      <w:tblPr>
        <w:tblLayout w:type="fixed"/>
        <w:tblInd w:w="180" w:type="dxa"/>
        <w:tblCellMar>
          <w:top w:w="0" w:type="dxa"/>
          <w:left w:w="0" w:type="dxa"/>
          <w:bottom w:w="0" w:type="dxa"/>
          <w:right w:w="0" w:type="dxa"/>
        </w:tblCellMar>
      </w:tblPr>
      <w:tr>
        <w:trPr>
          <w:trHeight w:val="252"/>
        </w:trPr>
        <w:tc>
          <w:tcPr>
            <w:tcW w:w="198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404040"/>
              </w:rPr>
              <w:t>Date</w:t>
            </w:r>
          </w:p>
        </w:tc>
        <w:tc>
          <w:tcPr>
            <w:tcW w:w="2320" w:type="dxa"/>
            <w:vAlign w:val="bottom"/>
            <w:tcBorders>
              <w:bottom w:val="single" w:sz="8" w:color="6D6E71"/>
            </w:tcBorders>
            <w:shd w:val="clear" w:color="auto" w:fill="BFBFBF"/>
          </w:tcPr>
          <w:p>
            <w:pPr>
              <w:ind w:left="400"/>
              <w:spacing w:after="0"/>
              <w:rPr>
                <w:sz w:val="20"/>
                <w:szCs w:val="20"/>
                <w:color w:val="auto"/>
              </w:rPr>
            </w:pPr>
            <w:r>
              <w:rPr>
                <w:rFonts w:ascii="Arial" w:cs="Arial" w:eastAsia="Arial" w:hAnsi="Arial"/>
                <w:sz w:val="16"/>
                <w:szCs w:val="16"/>
                <w:color w:val="404040"/>
              </w:rPr>
              <w:t>Closing Price</w:t>
            </w:r>
          </w:p>
        </w:tc>
        <w:tc>
          <w:tcPr>
            <w:tcW w:w="6580" w:type="dxa"/>
            <w:vAlign w:val="bottom"/>
            <w:tcBorders>
              <w:bottom w:val="single" w:sz="8" w:color="6D6E71"/>
            </w:tcBorders>
            <w:shd w:val="clear" w:color="auto" w:fill="BFBFBF"/>
          </w:tcPr>
          <w:p>
            <w:pPr>
              <w:ind w:left="920"/>
              <w:spacing w:after="0"/>
              <w:rPr>
                <w:sz w:val="20"/>
                <w:szCs w:val="20"/>
                <w:color w:val="auto"/>
              </w:rPr>
            </w:pPr>
            <w:r>
              <w:rPr>
                <w:rFonts w:ascii="Arial" w:cs="Arial" w:eastAsia="Arial" w:hAnsi="Arial"/>
                <w:sz w:val="16"/>
                <w:szCs w:val="16"/>
                <w:color w:val="404040"/>
              </w:rPr>
              <w:t>Payment (per $1,000 principal amount note)</w:t>
            </w:r>
          </w:p>
        </w:tc>
      </w:tr>
      <w:tr>
        <w:trPr>
          <w:trHeight w:val="245"/>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First Review Date</w:t>
            </w:r>
          </w:p>
        </w:tc>
        <w:tc>
          <w:tcPr>
            <w:tcW w:w="2320" w:type="dxa"/>
            <w:vAlign w:val="bottom"/>
            <w:tcBorders>
              <w:bottom w:val="single" w:sz="8" w:color="808080"/>
            </w:tcBorders>
          </w:tcPr>
          <w:p>
            <w:pPr>
              <w:ind w:left="400"/>
              <w:spacing w:after="0"/>
              <w:rPr>
                <w:sz w:val="20"/>
                <w:szCs w:val="20"/>
                <w:color w:val="auto"/>
              </w:rPr>
            </w:pPr>
            <w:r>
              <w:rPr>
                <w:rFonts w:ascii="Arial" w:cs="Arial" w:eastAsia="Arial" w:hAnsi="Arial"/>
                <w:sz w:val="16"/>
                <w:szCs w:val="16"/>
                <w:color w:val="404040"/>
              </w:rPr>
              <w:t>$105.00</w:t>
            </w:r>
          </w:p>
        </w:tc>
        <w:tc>
          <w:tcPr>
            <w:tcW w:w="6580" w:type="dxa"/>
            <w:vAlign w:val="bottom"/>
            <w:tcBorders>
              <w:bottom w:val="single" w:sz="8" w:color="808080"/>
            </w:tcBorders>
          </w:tcPr>
          <w:p>
            <w:pPr>
              <w:ind w:left="920"/>
              <w:spacing w:after="0"/>
              <w:rPr>
                <w:sz w:val="20"/>
                <w:szCs w:val="20"/>
                <w:color w:val="auto"/>
              </w:rPr>
            </w:pPr>
            <w:r>
              <w:rPr>
                <w:rFonts w:ascii="Arial" w:cs="Arial" w:eastAsia="Arial" w:hAnsi="Arial"/>
                <w:sz w:val="16"/>
                <w:szCs w:val="16"/>
                <w:color w:val="404040"/>
              </w:rPr>
              <w:t>$12.50</w:t>
            </w:r>
          </w:p>
        </w:tc>
      </w:tr>
      <w:tr>
        <w:trPr>
          <w:trHeight w:val="245"/>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Second Review Date</w:t>
            </w:r>
          </w:p>
        </w:tc>
        <w:tc>
          <w:tcPr>
            <w:tcW w:w="2320" w:type="dxa"/>
            <w:vAlign w:val="bottom"/>
            <w:tcBorders>
              <w:bottom w:val="single" w:sz="8" w:color="808080"/>
            </w:tcBorders>
          </w:tcPr>
          <w:p>
            <w:pPr>
              <w:ind w:left="400"/>
              <w:spacing w:after="0"/>
              <w:rPr>
                <w:sz w:val="20"/>
                <w:szCs w:val="20"/>
                <w:color w:val="auto"/>
              </w:rPr>
            </w:pPr>
            <w:r>
              <w:rPr>
                <w:rFonts w:ascii="Arial" w:cs="Arial" w:eastAsia="Arial" w:hAnsi="Arial"/>
                <w:sz w:val="16"/>
                <w:szCs w:val="16"/>
                <w:color w:val="404040"/>
              </w:rPr>
              <w:t>$115.00</w:t>
            </w:r>
          </w:p>
        </w:tc>
        <w:tc>
          <w:tcPr>
            <w:tcW w:w="6580" w:type="dxa"/>
            <w:vAlign w:val="bottom"/>
            <w:tcBorders>
              <w:bottom w:val="single" w:sz="8" w:color="808080"/>
            </w:tcBorders>
          </w:tcPr>
          <w:p>
            <w:pPr>
              <w:ind w:left="920"/>
              <w:spacing w:after="0"/>
              <w:rPr>
                <w:sz w:val="20"/>
                <w:szCs w:val="20"/>
                <w:color w:val="auto"/>
              </w:rPr>
            </w:pPr>
            <w:r>
              <w:rPr>
                <w:rFonts w:ascii="Arial" w:cs="Arial" w:eastAsia="Arial" w:hAnsi="Arial"/>
                <w:sz w:val="16"/>
                <w:szCs w:val="16"/>
                <w:color w:val="404040"/>
              </w:rPr>
              <w:t>$12.50</w:t>
            </w:r>
          </w:p>
        </w:tc>
      </w:tr>
      <w:tr>
        <w:trPr>
          <w:trHeight w:val="245"/>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Third Review Date</w:t>
            </w:r>
          </w:p>
        </w:tc>
        <w:tc>
          <w:tcPr>
            <w:tcW w:w="2320" w:type="dxa"/>
            <w:vAlign w:val="bottom"/>
            <w:tcBorders>
              <w:bottom w:val="single" w:sz="8" w:color="808080"/>
            </w:tcBorders>
          </w:tcPr>
          <w:p>
            <w:pPr>
              <w:ind w:left="400"/>
              <w:spacing w:after="0"/>
              <w:rPr>
                <w:sz w:val="20"/>
                <w:szCs w:val="20"/>
                <w:color w:val="auto"/>
              </w:rPr>
            </w:pPr>
            <w:r>
              <w:rPr>
                <w:rFonts w:ascii="Arial" w:cs="Arial" w:eastAsia="Arial" w:hAnsi="Arial"/>
                <w:sz w:val="16"/>
                <w:szCs w:val="16"/>
                <w:color w:val="404040"/>
              </w:rPr>
              <w:t>$110.00</w:t>
            </w:r>
          </w:p>
        </w:tc>
        <w:tc>
          <w:tcPr>
            <w:tcW w:w="6580" w:type="dxa"/>
            <w:vAlign w:val="bottom"/>
            <w:tcBorders>
              <w:bottom w:val="single" w:sz="8" w:color="808080"/>
            </w:tcBorders>
          </w:tcPr>
          <w:p>
            <w:pPr>
              <w:ind w:left="920"/>
              <w:spacing w:after="0"/>
              <w:rPr>
                <w:sz w:val="20"/>
                <w:szCs w:val="20"/>
                <w:color w:val="auto"/>
              </w:rPr>
            </w:pPr>
            <w:r>
              <w:rPr>
                <w:rFonts w:ascii="Arial" w:cs="Arial" w:eastAsia="Arial" w:hAnsi="Arial"/>
                <w:sz w:val="16"/>
                <w:szCs w:val="16"/>
                <w:color w:val="404040"/>
              </w:rPr>
              <w:t>$1,012.50</w:t>
            </w:r>
          </w:p>
        </w:tc>
      </w:tr>
      <w:tr>
        <w:trPr>
          <w:trHeight w:val="245"/>
        </w:trPr>
        <w:tc>
          <w:tcPr>
            <w:tcW w:w="1980" w:type="dxa"/>
            <w:vAlign w:val="bottom"/>
            <w:tcBorders>
              <w:bottom w:val="single" w:sz="8" w:color="808080"/>
            </w:tcBorders>
          </w:tcPr>
          <w:p>
            <w:pPr>
              <w:spacing w:after="0"/>
              <w:rPr>
                <w:sz w:val="21"/>
                <w:szCs w:val="21"/>
                <w:color w:val="auto"/>
              </w:rPr>
            </w:pPr>
          </w:p>
        </w:tc>
        <w:tc>
          <w:tcPr>
            <w:tcW w:w="2320" w:type="dxa"/>
            <w:vAlign w:val="bottom"/>
            <w:tcBorders>
              <w:bottom w:val="single" w:sz="8" w:color="808080"/>
            </w:tcBorders>
          </w:tcPr>
          <w:p>
            <w:pPr>
              <w:ind w:left="400"/>
              <w:spacing w:after="0"/>
              <w:rPr>
                <w:sz w:val="20"/>
                <w:szCs w:val="20"/>
                <w:color w:val="auto"/>
              </w:rPr>
            </w:pPr>
            <w:r>
              <w:rPr>
                <w:rFonts w:ascii="Arial" w:cs="Arial" w:eastAsia="Arial" w:hAnsi="Arial"/>
                <w:sz w:val="16"/>
                <w:szCs w:val="16"/>
                <w:color w:val="404040"/>
              </w:rPr>
              <w:t>Total Payment</w:t>
            </w:r>
          </w:p>
        </w:tc>
        <w:tc>
          <w:tcPr>
            <w:tcW w:w="6580" w:type="dxa"/>
            <w:vAlign w:val="bottom"/>
            <w:tcBorders>
              <w:bottom w:val="single" w:sz="8" w:color="808080"/>
            </w:tcBorders>
          </w:tcPr>
          <w:p>
            <w:pPr>
              <w:ind w:left="920"/>
              <w:spacing w:after="0"/>
              <w:rPr>
                <w:sz w:val="20"/>
                <w:szCs w:val="20"/>
                <w:color w:val="auto"/>
              </w:rPr>
            </w:pPr>
            <w:r>
              <w:rPr>
                <w:rFonts w:ascii="Arial" w:cs="Arial" w:eastAsia="Arial" w:hAnsi="Arial"/>
                <w:sz w:val="16"/>
                <w:szCs w:val="16"/>
                <w:color w:val="404040"/>
              </w:rPr>
              <w:t>$1,037.50 (3.75% return)</w:t>
            </w:r>
          </w:p>
        </w:tc>
      </w:tr>
    </w:tbl>
    <w:p>
      <w:pPr>
        <w:spacing w:after="0" w:line="48" w:lineRule="exact"/>
        <w:rPr>
          <w:sz w:val="20"/>
          <w:szCs w:val="20"/>
          <w:color w:val="auto"/>
        </w:rPr>
      </w:pPr>
    </w:p>
    <w:p>
      <w:pPr>
        <w:spacing w:after="0" w:line="272" w:lineRule="auto"/>
        <w:rPr>
          <w:sz w:val="20"/>
          <w:szCs w:val="20"/>
          <w:color w:val="auto"/>
        </w:rPr>
      </w:pPr>
      <w:r>
        <w:rPr>
          <w:rFonts w:ascii="Arial" w:cs="Arial" w:eastAsia="Arial" w:hAnsi="Arial"/>
          <w:sz w:val="15"/>
          <w:szCs w:val="15"/>
          <w:color w:val="404040"/>
        </w:rPr>
        <w:t xml:space="preserve">Because the closing price of one share of the Fund on the third Review Date is greater than or equal to the Initial Value, the notes will be automatically called for a cash payment, for each $1,000 principal amount note, of $1,012.50 (or $1,000 </w:t>
      </w:r>
      <w:r>
        <w:rPr>
          <w:rFonts w:ascii="Arial" w:cs="Arial" w:eastAsia="Arial" w:hAnsi="Arial"/>
          <w:sz w:val="15"/>
          <w:szCs w:val="15"/>
          <w:i w:val="1"/>
          <w:iCs w:val="1"/>
          <w:color w:val="404040"/>
        </w:rPr>
        <w:t>plus</w:t>
      </w:r>
      <w:r>
        <w:rPr>
          <w:rFonts w:ascii="Arial" w:cs="Arial" w:eastAsia="Arial" w:hAnsi="Arial"/>
          <w:sz w:val="15"/>
          <w:szCs w:val="15"/>
          <w:color w:val="404040"/>
        </w:rPr>
        <w:t xml:space="preserve"> the Contingent Interest Payment applicable to the third Review Date), payable on the applicable Call Settlement Date. The notes are not automatically callable before the third Review Date, even though the closing price of one share of the Fund on each of the first and second Review Dates is greater than the Initial Value. When added to the Contingent Interest Payments received with respect to the prior Review Dates, the total amount paid, for each $1,000 principal amount note, is $1,037.50. No further payments will be made on the notes.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Example 2 — Notes have NOT been automatically called and the Final Value is greater than or equal to the Trigger Value.</w:t>
      </w:r>
    </w:p>
    <w:p>
      <w:pPr>
        <w:spacing w:after="0" w:line="42" w:lineRule="exact"/>
        <w:rPr>
          <w:sz w:val="20"/>
          <w:szCs w:val="20"/>
          <w:color w:val="auto"/>
        </w:rPr>
      </w:pPr>
    </w:p>
    <w:tbl>
      <w:tblPr>
        <w:tblLayout w:type="fixed"/>
        <w:tblInd w:w="180" w:type="dxa"/>
        <w:tblCellMar>
          <w:top w:w="0" w:type="dxa"/>
          <w:left w:w="0" w:type="dxa"/>
          <w:bottom w:w="0" w:type="dxa"/>
          <w:right w:w="0" w:type="dxa"/>
        </w:tblCellMar>
      </w:tblPr>
      <w:tr>
        <w:trPr>
          <w:trHeight w:val="232"/>
        </w:trPr>
        <w:tc>
          <w:tcPr>
            <w:tcW w:w="218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404040"/>
              </w:rPr>
              <w:t>Date</w:t>
            </w:r>
          </w:p>
        </w:tc>
        <w:tc>
          <w:tcPr>
            <w:tcW w:w="2520" w:type="dxa"/>
            <w:vAlign w:val="bottom"/>
            <w:tcBorders>
              <w:bottom w:val="single" w:sz="8" w:color="6D6E71"/>
            </w:tcBorders>
            <w:shd w:val="clear" w:color="auto" w:fill="BFBFBF"/>
          </w:tcPr>
          <w:p>
            <w:pPr>
              <w:ind w:left="200"/>
              <w:spacing w:after="0"/>
              <w:rPr>
                <w:sz w:val="20"/>
                <w:szCs w:val="20"/>
                <w:color w:val="auto"/>
              </w:rPr>
            </w:pPr>
            <w:r>
              <w:rPr>
                <w:rFonts w:ascii="Arial" w:cs="Arial" w:eastAsia="Arial" w:hAnsi="Arial"/>
                <w:sz w:val="16"/>
                <w:szCs w:val="16"/>
                <w:color w:val="404040"/>
              </w:rPr>
              <w:t>Closing Price</w:t>
            </w:r>
          </w:p>
        </w:tc>
        <w:tc>
          <w:tcPr>
            <w:tcW w:w="6180" w:type="dxa"/>
            <w:vAlign w:val="bottom"/>
            <w:tcBorders>
              <w:bottom w:val="single" w:sz="8" w:color="6D6E71"/>
            </w:tcBorders>
            <w:shd w:val="clear" w:color="auto" w:fill="BFBFBF"/>
          </w:tcPr>
          <w:p>
            <w:pPr>
              <w:ind w:left="520"/>
              <w:spacing w:after="0"/>
              <w:rPr>
                <w:sz w:val="20"/>
                <w:szCs w:val="20"/>
                <w:color w:val="auto"/>
              </w:rPr>
            </w:pPr>
            <w:r>
              <w:rPr>
                <w:rFonts w:ascii="Arial" w:cs="Arial" w:eastAsia="Arial" w:hAnsi="Arial"/>
                <w:sz w:val="16"/>
                <w:szCs w:val="16"/>
                <w:color w:val="404040"/>
              </w:rPr>
              <w:t>Payment (per $1,000 principal amount note)</w:t>
            </w:r>
          </w:p>
        </w:tc>
      </w:tr>
      <w:tr>
        <w:trPr>
          <w:trHeight w:val="245"/>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First Review Date</w:t>
            </w: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$95.00</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$12.50</w:t>
            </w:r>
          </w:p>
        </w:tc>
      </w:tr>
      <w:tr>
        <w:trPr>
          <w:trHeight w:val="245"/>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Second Review Date</w:t>
            </w: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$85.00</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$12.50</w:t>
            </w:r>
          </w:p>
        </w:tc>
      </w:tr>
      <w:tr>
        <w:trPr>
          <w:trHeight w:val="227"/>
        </w:trPr>
        <w:tc>
          <w:tcPr>
            <w:tcW w:w="2180" w:type="dxa"/>
            <w:vAlign w:val="bottom"/>
          </w:tcPr>
          <w:p>
            <w:pPr>
              <w:ind w:left="100"/>
              <w:spacing w:after="0"/>
              <w:rPr>
                <w:sz w:val="20"/>
                <w:szCs w:val="20"/>
                <w:color w:val="auto"/>
              </w:rPr>
            </w:pPr>
            <w:r>
              <w:rPr>
                <w:rFonts w:ascii="Arial" w:cs="Arial" w:eastAsia="Arial" w:hAnsi="Arial"/>
                <w:sz w:val="16"/>
                <w:szCs w:val="16"/>
                <w:color w:val="404040"/>
              </w:rPr>
              <w:t>Third through Seventeenth</w:t>
            </w:r>
          </w:p>
        </w:tc>
        <w:tc>
          <w:tcPr>
            <w:tcW w:w="2520" w:type="dxa"/>
            <w:vAlign w:val="bottom"/>
          </w:tcPr>
          <w:p>
            <w:pPr>
              <w:ind w:left="200"/>
              <w:spacing w:after="0"/>
              <w:rPr>
                <w:sz w:val="20"/>
                <w:szCs w:val="20"/>
                <w:color w:val="auto"/>
              </w:rPr>
            </w:pPr>
            <w:r>
              <w:rPr>
                <w:rFonts w:ascii="Arial" w:cs="Arial" w:eastAsia="Arial" w:hAnsi="Arial"/>
                <w:sz w:val="16"/>
                <w:szCs w:val="16"/>
                <w:color w:val="404040"/>
              </w:rPr>
              <w:t>Less than Interest Barrier</w:t>
            </w:r>
          </w:p>
        </w:tc>
        <w:tc>
          <w:tcPr>
            <w:tcW w:w="6180" w:type="dxa"/>
            <w:vAlign w:val="bottom"/>
          </w:tcPr>
          <w:p>
            <w:pPr>
              <w:ind w:left="520"/>
              <w:spacing w:after="0"/>
              <w:rPr>
                <w:sz w:val="20"/>
                <w:szCs w:val="20"/>
                <w:color w:val="auto"/>
              </w:rPr>
            </w:pPr>
            <w:r>
              <w:rPr>
                <w:rFonts w:ascii="Arial" w:cs="Arial" w:eastAsia="Arial" w:hAnsi="Arial"/>
                <w:sz w:val="16"/>
                <w:szCs w:val="16"/>
                <w:color w:val="404040"/>
              </w:rPr>
              <w:t>$0</w:t>
            </w:r>
          </w:p>
        </w:tc>
      </w:tr>
      <w:tr>
        <w:trPr>
          <w:trHeight w:val="204"/>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Review Dates</w:t>
            </w:r>
          </w:p>
        </w:tc>
        <w:tc>
          <w:tcPr>
            <w:tcW w:w="2520" w:type="dxa"/>
            <w:vAlign w:val="bottom"/>
            <w:tcBorders>
              <w:bottom w:val="single" w:sz="8" w:color="808080"/>
            </w:tcBorders>
          </w:tcPr>
          <w:p>
            <w:pPr>
              <w:spacing w:after="0"/>
              <w:rPr>
                <w:sz w:val="17"/>
                <w:szCs w:val="17"/>
                <w:color w:val="auto"/>
              </w:rPr>
            </w:pPr>
          </w:p>
        </w:tc>
        <w:tc>
          <w:tcPr>
            <w:tcW w:w="6180" w:type="dxa"/>
            <w:vAlign w:val="bottom"/>
            <w:tcBorders>
              <w:bottom w:val="single" w:sz="8" w:color="808080"/>
            </w:tcBorders>
          </w:tcPr>
          <w:p>
            <w:pPr>
              <w:spacing w:after="0"/>
              <w:rPr>
                <w:sz w:val="17"/>
                <w:szCs w:val="17"/>
                <w:color w:val="auto"/>
              </w:rPr>
            </w:pPr>
          </w:p>
        </w:tc>
      </w:tr>
      <w:tr>
        <w:trPr>
          <w:trHeight w:val="245"/>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Final Review Date</w:t>
            </w: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$90.00</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$1,012.50</w:t>
            </w:r>
          </w:p>
        </w:tc>
      </w:tr>
      <w:tr>
        <w:trPr>
          <w:trHeight w:val="245"/>
        </w:trPr>
        <w:tc>
          <w:tcPr>
            <w:tcW w:w="2180" w:type="dxa"/>
            <w:vAlign w:val="bottom"/>
            <w:tcBorders>
              <w:bottom w:val="single" w:sz="8" w:color="808080"/>
            </w:tcBorders>
          </w:tcPr>
          <w:p>
            <w:pPr>
              <w:spacing w:after="0"/>
              <w:rPr>
                <w:sz w:val="21"/>
                <w:szCs w:val="21"/>
                <w:color w:val="auto"/>
              </w:rPr>
            </w:pP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Total Payment</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$1,037.50 (3.75% return)</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404040"/>
        </w:rPr>
        <w:t>Because the notes have not been automatically called and the Final Value is greater than or equal to the Trigger Value, the payment at maturity, for each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404040"/>
        </w:rPr>
        <w:t xml:space="preserve">$1,000 principal amount note, will be $1,012.50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Contingent Interest Payment applicable to the final Review Date). When added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04040"/>
        </w:rPr>
        <w:t>Contingent Interest Payments received with respect to the prior Review Dates, the total amount paid, for each $1,000 principal amount note, is $1,037.50.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Example 3 — Notes have NOT been automatically called and the Final Value is less than the Trigger Value.</w:t>
      </w:r>
    </w:p>
    <w:p>
      <w:pPr>
        <w:spacing w:after="0" w:line="42" w:lineRule="exact"/>
        <w:rPr>
          <w:sz w:val="20"/>
          <w:szCs w:val="20"/>
          <w:color w:val="auto"/>
        </w:rPr>
      </w:pPr>
    </w:p>
    <w:tbl>
      <w:tblPr>
        <w:tblLayout w:type="fixed"/>
        <w:tblInd w:w="180" w:type="dxa"/>
        <w:tblCellMar>
          <w:top w:w="0" w:type="dxa"/>
          <w:left w:w="0" w:type="dxa"/>
          <w:bottom w:w="0" w:type="dxa"/>
          <w:right w:w="0" w:type="dxa"/>
        </w:tblCellMar>
      </w:tblPr>
      <w:tr>
        <w:trPr>
          <w:trHeight w:val="232"/>
        </w:trPr>
        <w:tc>
          <w:tcPr>
            <w:tcW w:w="218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404040"/>
              </w:rPr>
              <w:t>Date</w:t>
            </w:r>
          </w:p>
        </w:tc>
        <w:tc>
          <w:tcPr>
            <w:tcW w:w="2520" w:type="dxa"/>
            <w:vAlign w:val="bottom"/>
            <w:tcBorders>
              <w:bottom w:val="single" w:sz="8" w:color="6D6E71"/>
            </w:tcBorders>
            <w:shd w:val="clear" w:color="auto" w:fill="BFBFBF"/>
          </w:tcPr>
          <w:p>
            <w:pPr>
              <w:ind w:left="200"/>
              <w:spacing w:after="0"/>
              <w:rPr>
                <w:sz w:val="20"/>
                <w:szCs w:val="20"/>
                <w:color w:val="auto"/>
              </w:rPr>
            </w:pPr>
            <w:r>
              <w:rPr>
                <w:rFonts w:ascii="Arial" w:cs="Arial" w:eastAsia="Arial" w:hAnsi="Arial"/>
                <w:sz w:val="16"/>
                <w:szCs w:val="16"/>
                <w:color w:val="404040"/>
              </w:rPr>
              <w:t>Closing Price</w:t>
            </w:r>
          </w:p>
        </w:tc>
        <w:tc>
          <w:tcPr>
            <w:tcW w:w="6180" w:type="dxa"/>
            <w:vAlign w:val="bottom"/>
            <w:tcBorders>
              <w:bottom w:val="single" w:sz="8" w:color="6D6E71"/>
            </w:tcBorders>
            <w:shd w:val="clear" w:color="auto" w:fill="BFBFBF"/>
          </w:tcPr>
          <w:p>
            <w:pPr>
              <w:ind w:left="520"/>
              <w:spacing w:after="0"/>
              <w:rPr>
                <w:sz w:val="20"/>
                <w:szCs w:val="20"/>
                <w:color w:val="auto"/>
              </w:rPr>
            </w:pPr>
            <w:r>
              <w:rPr>
                <w:rFonts w:ascii="Arial" w:cs="Arial" w:eastAsia="Arial" w:hAnsi="Arial"/>
                <w:sz w:val="16"/>
                <w:szCs w:val="16"/>
                <w:color w:val="404040"/>
              </w:rPr>
              <w:t>Payment (per $1,000 principal amount note)</w:t>
            </w:r>
          </w:p>
        </w:tc>
      </w:tr>
      <w:tr>
        <w:trPr>
          <w:trHeight w:val="245"/>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First Review Date</w:t>
            </w: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$40.00</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$0</w:t>
            </w:r>
          </w:p>
        </w:tc>
      </w:tr>
      <w:tr>
        <w:trPr>
          <w:trHeight w:val="245"/>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Second Review Date</w:t>
            </w: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$45.00</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$0</w:t>
            </w:r>
          </w:p>
        </w:tc>
      </w:tr>
      <w:tr>
        <w:trPr>
          <w:trHeight w:val="227"/>
        </w:trPr>
        <w:tc>
          <w:tcPr>
            <w:tcW w:w="2180" w:type="dxa"/>
            <w:vAlign w:val="bottom"/>
          </w:tcPr>
          <w:p>
            <w:pPr>
              <w:ind w:left="100"/>
              <w:spacing w:after="0"/>
              <w:rPr>
                <w:sz w:val="20"/>
                <w:szCs w:val="20"/>
                <w:color w:val="auto"/>
              </w:rPr>
            </w:pPr>
            <w:r>
              <w:rPr>
                <w:rFonts w:ascii="Arial" w:cs="Arial" w:eastAsia="Arial" w:hAnsi="Arial"/>
                <w:sz w:val="16"/>
                <w:szCs w:val="16"/>
                <w:color w:val="404040"/>
              </w:rPr>
              <w:t>Third through Seventeenth</w:t>
            </w:r>
          </w:p>
        </w:tc>
        <w:tc>
          <w:tcPr>
            <w:tcW w:w="2520" w:type="dxa"/>
            <w:vAlign w:val="bottom"/>
          </w:tcPr>
          <w:p>
            <w:pPr>
              <w:ind w:left="200"/>
              <w:spacing w:after="0"/>
              <w:rPr>
                <w:sz w:val="20"/>
                <w:szCs w:val="20"/>
                <w:color w:val="auto"/>
              </w:rPr>
            </w:pPr>
            <w:r>
              <w:rPr>
                <w:rFonts w:ascii="Arial" w:cs="Arial" w:eastAsia="Arial" w:hAnsi="Arial"/>
                <w:sz w:val="16"/>
                <w:szCs w:val="16"/>
                <w:color w:val="404040"/>
              </w:rPr>
              <w:t>Less than Interest Barrier</w:t>
            </w:r>
          </w:p>
        </w:tc>
        <w:tc>
          <w:tcPr>
            <w:tcW w:w="6180" w:type="dxa"/>
            <w:vAlign w:val="bottom"/>
          </w:tcPr>
          <w:p>
            <w:pPr>
              <w:ind w:left="520"/>
              <w:spacing w:after="0"/>
              <w:rPr>
                <w:sz w:val="20"/>
                <w:szCs w:val="20"/>
                <w:color w:val="auto"/>
              </w:rPr>
            </w:pPr>
            <w:r>
              <w:rPr>
                <w:rFonts w:ascii="Arial" w:cs="Arial" w:eastAsia="Arial" w:hAnsi="Arial"/>
                <w:sz w:val="16"/>
                <w:szCs w:val="16"/>
                <w:color w:val="404040"/>
              </w:rPr>
              <w:t>$0</w:t>
            </w:r>
          </w:p>
        </w:tc>
      </w:tr>
      <w:tr>
        <w:trPr>
          <w:trHeight w:val="204"/>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Review Dates</w:t>
            </w:r>
          </w:p>
        </w:tc>
        <w:tc>
          <w:tcPr>
            <w:tcW w:w="2520" w:type="dxa"/>
            <w:vAlign w:val="bottom"/>
            <w:tcBorders>
              <w:bottom w:val="single" w:sz="8" w:color="808080"/>
            </w:tcBorders>
          </w:tcPr>
          <w:p>
            <w:pPr>
              <w:spacing w:after="0"/>
              <w:rPr>
                <w:sz w:val="17"/>
                <w:szCs w:val="17"/>
                <w:color w:val="auto"/>
              </w:rPr>
            </w:pPr>
          </w:p>
        </w:tc>
        <w:tc>
          <w:tcPr>
            <w:tcW w:w="6180" w:type="dxa"/>
            <w:vAlign w:val="bottom"/>
            <w:tcBorders>
              <w:bottom w:val="single" w:sz="8" w:color="808080"/>
            </w:tcBorders>
          </w:tcPr>
          <w:p>
            <w:pPr>
              <w:spacing w:after="0"/>
              <w:rPr>
                <w:sz w:val="17"/>
                <w:szCs w:val="17"/>
                <w:color w:val="auto"/>
              </w:rPr>
            </w:pPr>
          </w:p>
        </w:tc>
      </w:tr>
      <w:tr>
        <w:trPr>
          <w:trHeight w:val="245"/>
        </w:trPr>
        <w:tc>
          <w:tcPr>
            <w:tcW w:w="21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Final Review Date</w:t>
            </w: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$50.00</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$500.00</w:t>
            </w:r>
          </w:p>
        </w:tc>
      </w:tr>
      <w:tr>
        <w:trPr>
          <w:trHeight w:val="245"/>
        </w:trPr>
        <w:tc>
          <w:tcPr>
            <w:tcW w:w="2180" w:type="dxa"/>
            <w:vAlign w:val="bottom"/>
            <w:tcBorders>
              <w:bottom w:val="single" w:sz="8" w:color="808080"/>
            </w:tcBorders>
          </w:tcPr>
          <w:p>
            <w:pPr>
              <w:spacing w:after="0"/>
              <w:rPr>
                <w:sz w:val="21"/>
                <w:szCs w:val="21"/>
                <w:color w:val="auto"/>
              </w:rPr>
            </w:pPr>
          </w:p>
        </w:tc>
        <w:tc>
          <w:tcPr>
            <w:tcW w:w="2520" w:type="dxa"/>
            <w:vAlign w:val="bottom"/>
            <w:tcBorders>
              <w:bottom w:val="single" w:sz="8" w:color="808080"/>
            </w:tcBorders>
          </w:tcPr>
          <w:p>
            <w:pPr>
              <w:ind w:left="200"/>
              <w:spacing w:after="0"/>
              <w:rPr>
                <w:sz w:val="20"/>
                <w:szCs w:val="20"/>
                <w:color w:val="auto"/>
              </w:rPr>
            </w:pPr>
            <w:r>
              <w:rPr>
                <w:rFonts w:ascii="Arial" w:cs="Arial" w:eastAsia="Arial" w:hAnsi="Arial"/>
                <w:sz w:val="16"/>
                <w:szCs w:val="16"/>
                <w:color w:val="404040"/>
              </w:rPr>
              <w:t>Total Payment</w:t>
            </w:r>
          </w:p>
        </w:tc>
        <w:tc>
          <w:tcPr>
            <w:tcW w:w="6180" w:type="dxa"/>
            <w:vAlign w:val="bottom"/>
            <w:tcBorders>
              <w:bottom w:val="single" w:sz="8" w:color="808080"/>
            </w:tcBorders>
          </w:tcPr>
          <w:p>
            <w:pPr>
              <w:ind w:left="520"/>
              <w:spacing w:after="0"/>
              <w:rPr>
                <w:sz w:val="20"/>
                <w:szCs w:val="20"/>
                <w:color w:val="auto"/>
              </w:rPr>
            </w:pPr>
            <w:r>
              <w:rPr>
                <w:rFonts w:ascii="Arial" w:cs="Arial" w:eastAsia="Arial" w:hAnsi="Arial"/>
                <w:sz w:val="16"/>
                <w:szCs w:val="16"/>
                <w:color w:val="404040"/>
              </w:rPr>
              <w:t>$500.00 (-50.00% return)</w:t>
            </w:r>
          </w:p>
        </w:tc>
      </w:tr>
    </w:tbl>
    <w:p>
      <w:pPr>
        <w:spacing w:after="0" w:line="61" w:lineRule="exact"/>
        <w:rPr>
          <w:sz w:val="20"/>
          <w:szCs w:val="20"/>
          <w:color w:val="auto"/>
        </w:rPr>
      </w:pPr>
    </w:p>
    <w:p>
      <w:pPr>
        <w:jc w:val="both"/>
        <w:ind w:right="140"/>
        <w:spacing w:after="0" w:line="280" w:lineRule="auto"/>
        <w:rPr>
          <w:sz w:val="20"/>
          <w:szCs w:val="20"/>
          <w:color w:val="auto"/>
        </w:rPr>
      </w:pPr>
      <w:r>
        <w:rPr>
          <w:rFonts w:ascii="Arial" w:cs="Arial" w:eastAsia="Arial" w:hAnsi="Arial"/>
          <w:sz w:val="16"/>
          <w:szCs w:val="16"/>
          <w:color w:val="404040"/>
        </w:rPr>
        <w:t>Because the notes have not been automatically called, the Final Value is less than the Trigger Value and the Fund Return is -50.00%, the payment at maturity will be $500.00 per $1,000 principal amount note,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134860"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PS-4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605"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404040"/>
        </w:rPr>
        <w:t>$1,000 + [$1,000 × (-50.00%)] = $500.00</w:t>
      </w:r>
    </w:p>
    <w:p>
      <w:pPr>
        <w:spacing w:after="0" w:line="6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 or until automatically</w:t>
      </w:r>
      <w:r>
        <w:rPr>
          <w:rFonts w:ascii="Arial" w:cs="Arial" w:eastAsia="Arial" w:hAnsi="Arial"/>
          <w:sz w:val="16"/>
          <w:szCs w:val="16"/>
          <w:color w:val="404040"/>
        </w:rPr>
        <w:t xml:space="preserve"> </w:t>
      </w:r>
      <w:r>
        <w:rPr>
          <w:rFonts w:ascii="Arial" w:cs="Arial" w:eastAsia="Arial" w:hAnsi="Arial"/>
          <w:sz w:val="16"/>
          <w:szCs w:val="16"/>
          <w:b w:val="1"/>
          <w:bCs w:val="1"/>
          <w:color w:val="404040"/>
        </w:rPr>
        <w:t xml:space="preserve">called. </w:t>
      </w:r>
      <w:r>
        <w:rPr>
          <w:rFonts w:ascii="Arial" w:cs="Arial" w:eastAsia="Arial" w:hAnsi="Arial"/>
          <w:sz w:val="16"/>
          <w:szCs w:val="16"/>
          <w:color w:val="404040"/>
        </w:rPr>
        <w:t>These hypotheticals do not reflect the fees or expenses that would be associated with any sale in the secondary market. If these fees and expenses</w:t>
      </w:r>
      <w:r>
        <w:rPr>
          <w:rFonts w:ascii="Arial" w:cs="Arial" w:eastAsia="Arial" w:hAnsi="Arial"/>
          <w:sz w:val="16"/>
          <w:szCs w:val="16"/>
          <w:b w:val="1"/>
          <w:bCs w:val="1"/>
          <w:color w:val="404040"/>
        </w:rPr>
        <w:t xml:space="preserve"> </w:t>
      </w:r>
      <w:r>
        <w:rPr>
          <w:rFonts w:ascii="Arial" w:cs="Arial" w:eastAsia="Arial" w:hAnsi="Arial"/>
          <w:sz w:val="16"/>
          <w:szCs w:val="16"/>
          <w:color w:val="404040"/>
        </w:rPr>
        <w:t>were included, the hypothetical returns and hypothetical payments shown above would likely be lower.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sections of the accompanying prospectus supplement, product supplement and underlying supplement.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Notes Generally</w:t>
      </w:r>
    </w:p>
    <w:p>
      <w:pPr>
        <w:spacing w:after="0" w:line="147"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YOUR INVESTMENT IN THE NOTES MAY RESULT IN A LOSS —</w:t>
      </w:r>
    </w:p>
    <w:p>
      <w:pPr>
        <w:spacing w:after="0" w:line="82" w:lineRule="exact"/>
        <w:rPr>
          <w:rFonts w:ascii="Times New Roman" w:cs="Times New Roman" w:eastAsia="Times New Roman" w:hAnsi="Times New Roman"/>
          <w:sz w:val="16"/>
          <w:szCs w:val="16"/>
          <w:color w:val="404040"/>
        </w:rPr>
      </w:pPr>
    </w:p>
    <w:p>
      <w:pPr>
        <w:jc w:val="both"/>
        <w:ind w:left="320" w:right="180"/>
        <w:spacing w:after="0" w:line="261"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notes do not guarantee any return of principal. If the notes have not been automatically called and the Final Value is less than the Trigger Value, you will lose 1% of the principal amount of your notes for every 1% that the Final Value is less than the Initial Value. Accordingly, under these circumstances, you will lose more than 40.00% of your principal amount at maturity and could lose all of your principal amount at maturity.</w:t>
      </w:r>
    </w:p>
    <w:p>
      <w:pPr>
        <w:spacing w:after="0" w:line="99"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NOTES DO NOT GUARANTEE THE PAYMENT OF INTEREST AND MAY NOT PAY ANY INTEREST AT ALL —</w:t>
      </w:r>
    </w:p>
    <w:p>
      <w:pPr>
        <w:spacing w:after="0" w:line="82" w:lineRule="exact"/>
        <w:rPr>
          <w:rFonts w:ascii="Times New Roman" w:cs="Times New Roman" w:eastAsia="Times New Roman" w:hAnsi="Times New Roman"/>
          <w:sz w:val="16"/>
          <w:szCs w:val="16"/>
          <w:color w:val="404040"/>
        </w:rPr>
      </w:pPr>
    </w:p>
    <w:p>
      <w:pPr>
        <w:jc w:val="both"/>
        <w:ind w:left="320" w:right="140"/>
        <w:spacing w:after="0" w:line="254"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If the notes have not been automatically called, we will make a Contingent Interest Payment with respect to a Review Date only if the closing price of one share of the Fund on that Review Date is greater than or equal to the Interest Barrier. If the closing price of one share of the Fund on that Review Date is less than the Interest Barrier, no Contingent Interest Payment will be made with respect to that Review Date. Accordingly, if the closing price of one share of the Fund on each Review Date is less than the Interest Barrier, you will not receive any interest payments over the term of the notes.</w:t>
      </w:r>
    </w:p>
    <w:p>
      <w:pPr>
        <w:spacing w:after="0" w:line="106"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CREDIT RISKS OF JPMORGAN FINANCIAL AND JPMORGAN CHASE &amp; CO. —</w:t>
      </w:r>
    </w:p>
    <w:p>
      <w:pPr>
        <w:spacing w:after="0" w:line="82" w:lineRule="exact"/>
        <w:rPr>
          <w:rFonts w:ascii="Times New Roman" w:cs="Times New Roman" w:eastAsia="Times New Roman" w:hAnsi="Times New Roman"/>
          <w:sz w:val="16"/>
          <w:szCs w:val="16"/>
          <w:color w:val="404040"/>
        </w:rPr>
      </w:pPr>
    </w:p>
    <w:p>
      <w:pPr>
        <w:ind w:left="320" w:right="60"/>
        <w:spacing w:after="0" w:line="254"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06"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AS A FINANCE SUBSIDIARY, JPMORGAN FINANCIAL HAS NO INDEPENDENT OPERATIONS AND HAS LIMITED ASSETS —</w:t>
      </w:r>
    </w:p>
    <w:p>
      <w:pPr>
        <w:spacing w:after="0" w:line="82" w:lineRule="exact"/>
        <w:rPr>
          <w:rFonts w:ascii="Times New Roman" w:cs="Times New Roman" w:eastAsia="Times New Roman" w:hAnsi="Times New Roman"/>
          <w:sz w:val="16"/>
          <w:szCs w:val="16"/>
          <w:color w:val="404040"/>
        </w:rPr>
      </w:pPr>
    </w:p>
    <w:p>
      <w:pPr>
        <w:ind w:left="320"/>
        <w:spacing w:after="0" w:line="249"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 xml:space="preserve">As a finance subsidiary of JPMorgan Chase &amp; Co., we have no independent operations beyond the issuance and administration of our securities. Aside from the initial capital contribution from JPMorgan Chase &amp; Co., substantially all of our assets relate to obligations of our affiliates to make payments under loans made by us or other intercompany agreements. As a result, we are dependent upon payments from our affiliates to meet our obligations under the notes. If these affiliates do not make payments to us and we fail to make 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w:t>
      </w:r>
    </w:p>
    <w:p>
      <w:pPr>
        <w:spacing w:after="0" w:line="111" w:lineRule="exact"/>
        <w:rPr>
          <w:rFonts w:ascii="Times New Roman" w:cs="Times New Roman" w:eastAsia="Times New Roman" w:hAnsi="Times New Roman"/>
          <w:sz w:val="16"/>
          <w:szCs w:val="16"/>
          <w:color w:val="404040"/>
        </w:rPr>
      </w:pPr>
    </w:p>
    <w:p>
      <w:pPr>
        <w:ind w:left="320" w:right="300" w:hanging="314"/>
        <w:spacing w:after="0" w:line="285" w:lineRule="auto"/>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APPRECIATION POTENTIAL OF THE NOTES IS LIMITED TO THE SUM OF ANY CONTINGENT INTEREST PAYMENTS THAT MAY BE PAID OVER THE TERM OF THE NOTES,</w:t>
      </w:r>
    </w:p>
    <w:p>
      <w:pPr>
        <w:spacing w:after="0" w:line="1" w:lineRule="exact"/>
        <w:rPr>
          <w:rFonts w:ascii="Times New Roman" w:cs="Times New Roman" w:eastAsia="Times New Roman" w:hAnsi="Times New Roman"/>
          <w:sz w:val="16"/>
          <w:szCs w:val="16"/>
          <w:color w:val="404040"/>
        </w:rPr>
      </w:pPr>
    </w:p>
    <w:p>
      <w:pPr>
        <w:ind w:left="320"/>
        <w:spacing w:after="0"/>
        <w:rPr>
          <w:rFonts w:ascii="Times New Roman" w:cs="Times New Roman" w:eastAsia="Times New Roman" w:hAnsi="Times New Roman"/>
          <w:sz w:val="16"/>
          <w:szCs w:val="16"/>
          <w:color w:val="404040"/>
        </w:rPr>
      </w:pPr>
      <w:r>
        <w:rPr>
          <w:rFonts w:ascii="Arial" w:cs="Arial" w:eastAsia="Arial" w:hAnsi="Arial"/>
          <w:sz w:val="16"/>
          <w:szCs w:val="16"/>
          <w:color w:val="404040"/>
        </w:rPr>
        <w:t>regardless of any appreciation of the Fund, which may be significant. You will not participate in any appreciation of the Fund.</w:t>
      </w:r>
    </w:p>
    <w:p>
      <w:pPr>
        <w:spacing w:after="0" w:line="145"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 xml:space="preserve">THE BENEFIT PROVIDED BY THE TRIGGER VALUE MAY TERMINATE ON THE FINAL REVIEW DATE </w:t>
      </w:r>
      <w:r>
        <w:rPr>
          <w:rFonts w:ascii="Arial" w:cs="Arial" w:eastAsia="Arial" w:hAnsi="Arial"/>
          <w:sz w:val="16"/>
          <w:szCs w:val="16"/>
          <w:color w:val="404040"/>
        </w:rPr>
        <w:t>—</w:t>
      </w:r>
    </w:p>
    <w:p>
      <w:pPr>
        <w:spacing w:after="0" w:line="82" w:lineRule="exact"/>
        <w:rPr>
          <w:rFonts w:ascii="Times New Roman" w:cs="Times New Roman" w:eastAsia="Times New Roman" w:hAnsi="Times New Roman"/>
          <w:sz w:val="16"/>
          <w:szCs w:val="16"/>
          <w:color w:val="404040"/>
        </w:rPr>
      </w:pPr>
    </w:p>
    <w:p>
      <w:pPr>
        <w:ind w:left="320" w:right="220"/>
        <w:spacing w:after="0" w:line="280"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If the Final Value is less than the Trigger Value and the notes have not been automatically called, the benefit provided by the Trigger Value will terminate and you will be fully exposed to any depreciation of the Fund.</w:t>
      </w:r>
    </w:p>
    <w:p>
      <w:pPr>
        <w:spacing w:after="0" w:line="85"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6"/>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AUTOMATIC CALL FEATURE MAY FORCE A POTENTIAL EARLY EXIT —</w:t>
      </w:r>
    </w:p>
    <w:p>
      <w:pPr>
        <w:spacing w:after="0" w:line="82" w:lineRule="exact"/>
        <w:rPr>
          <w:rFonts w:ascii="Times New Roman" w:cs="Times New Roman" w:eastAsia="Times New Roman" w:hAnsi="Times New Roman"/>
          <w:sz w:val="16"/>
          <w:szCs w:val="16"/>
          <w:color w:val="404040"/>
        </w:rPr>
      </w:pPr>
    </w:p>
    <w:p>
      <w:pPr>
        <w:ind w:left="320" w:right="220"/>
        <w:spacing w:after="0" w:line="254"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If your notes are automatically called, the term of the notes may be reduced to as short as approximately three months and you will not receive any Contingent Interest Payments after the applicable Call Settlement Date. There is no guarantee that you would be able to reinvest the proceeds from an investment in the notes at a comparable return and/or with a comparable interest rate for a similar level of risk. Even in cases where the notes are called before maturity, you are not entitled to any fees and commissions described on the front cover of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713486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PS-5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572" w:right="359" w:bottom="1440" w:gutter="0" w:footer="0" w:header="0"/>
        </w:sectPr>
      </w:pPr>
    </w:p>
    <w:bookmarkStart w:id="6" w:name="page7"/>
    <w:bookmarkEnd w:id="6"/>
    <w:p>
      <w:pPr>
        <w:ind w:left="320" w:right="60" w:hanging="314"/>
        <w:spacing w:after="0" w:line="293" w:lineRule="auto"/>
        <w:tabs>
          <w:tab w:leader="none" w:pos="320" w:val="left"/>
        </w:tabs>
        <w:numPr>
          <w:ilvl w:val="0"/>
          <w:numId w:val="7"/>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YOU WILL NOT RECEIVE DIVIDENDS ON THE FUND OR THE SECURITIES HELD BY THE FUND OR HAVE ANY RIGHTS WITH RESPECT TO THE FUND OR THOSE SECURITIES.</w:t>
      </w:r>
    </w:p>
    <w:p>
      <w:pPr>
        <w:spacing w:after="0" w:line="53" w:lineRule="exact"/>
        <w:rPr>
          <w:rFonts w:ascii="Times New Roman" w:cs="Times New Roman" w:eastAsia="Times New Roman" w:hAnsi="Times New Roman"/>
          <w:sz w:val="16"/>
          <w:szCs w:val="16"/>
          <w:color w:val="404040"/>
        </w:rPr>
      </w:pPr>
    </w:p>
    <w:p>
      <w:pPr>
        <w:ind w:left="320" w:right="340" w:hanging="314"/>
        <w:spacing w:after="0" w:line="293" w:lineRule="auto"/>
        <w:tabs>
          <w:tab w:leader="none" w:pos="320" w:val="left"/>
        </w:tabs>
        <w:numPr>
          <w:ilvl w:val="0"/>
          <w:numId w:val="7"/>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RISK OF THE CLOSING PRICE OF ONE SHARE OF THE FUND FALLING BELOW THE INTEREST BARRIER OR THE TRIGGER VALUE IS GREATER IF THE PRICE OF ONE SHARE OF THE FUND IS VOLATILE.</w:t>
      </w:r>
    </w:p>
    <w:p>
      <w:pPr>
        <w:spacing w:after="0" w:line="66"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7"/>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LACK OF LIQUIDITY —</w:t>
      </w:r>
    </w:p>
    <w:p>
      <w:pPr>
        <w:spacing w:after="0" w:line="82" w:lineRule="exact"/>
        <w:rPr>
          <w:rFonts w:ascii="Times New Roman" w:cs="Times New Roman" w:eastAsia="Times New Roman" w:hAnsi="Times New Roman"/>
          <w:sz w:val="16"/>
          <w:szCs w:val="16"/>
          <w:color w:val="404040"/>
        </w:rPr>
      </w:pPr>
    </w:p>
    <w:p>
      <w:pPr>
        <w:ind w:left="320"/>
        <w:spacing w:after="0" w:line="261"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99"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7"/>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FINAL TERMS AND VALUATION OF THE NOTES WILL BE PROVIDED IN THE PRICING SUPPLEMENT —</w:t>
      </w:r>
    </w:p>
    <w:p>
      <w:pPr>
        <w:spacing w:after="0" w:line="82" w:lineRule="exact"/>
        <w:rPr>
          <w:rFonts w:ascii="Times New Roman" w:cs="Times New Roman" w:eastAsia="Times New Roman" w:hAnsi="Times New Roman"/>
          <w:sz w:val="16"/>
          <w:szCs w:val="16"/>
          <w:color w:val="404040"/>
        </w:rPr>
      </w:pPr>
    </w:p>
    <w:p>
      <w:pPr>
        <w:ind w:left="320"/>
        <w:spacing w:after="0"/>
        <w:rPr>
          <w:rFonts w:ascii="Times New Roman" w:cs="Times New Roman" w:eastAsia="Times New Roman" w:hAnsi="Times New Roman"/>
          <w:sz w:val="16"/>
          <w:szCs w:val="16"/>
          <w:color w:val="404040"/>
        </w:rPr>
      </w:pPr>
      <w:r>
        <w:rPr>
          <w:rFonts w:ascii="Arial" w:cs="Arial" w:eastAsia="Arial" w:hAnsi="Arial"/>
          <w:sz w:val="16"/>
          <w:szCs w:val="16"/>
          <w:color w:val="404040"/>
        </w:rPr>
        <w:t>You should consider your potential investment in the notes based on the minimums for the estimated value of the notes and the Contingent Interest Rate.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Conflicts of Interest</w:t>
      </w:r>
    </w:p>
    <w:p>
      <w:pPr>
        <w:spacing w:after="0" w:line="134"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POTENTIAL CONFLICTS —</w:t>
      </w:r>
    </w:p>
    <w:p>
      <w:pPr>
        <w:spacing w:after="0" w:line="161" w:lineRule="exact"/>
        <w:rPr>
          <w:rFonts w:ascii="Times New Roman" w:cs="Times New Roman" w:eastAsia="Times New Roman" w:hAnsi="Times New Roman"/>
          <w:sz w:val="16"/>
          <w:szCs w:val="16"/>
          <w:color w:val="404040"/>
        </w:rPr>
      </w:pPr>
    </w:p>
    <w:p>
      <w:pPr>
        <w:ind w:left="320" w:right="20"/>
        <w:spacing w:after="0" w:line="254"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Estimated Value and Secondary Market Prices of the Notes</w:t>
      </w:r>
    </w:p>
    <w:p>
      <w:pPr>
        <w:spacing w:after="0" w:line="147" w:lineRule="exact"/>
        <w:rPr>
          <w:sz w:val="20"/>
          <w:szCs w:val="20"/>
          <w:color w:val="auto"/>
        </w:rPr>
      </w:pPr>
    </w:p>
    <w:p>
      <w:pPr>
        <w:ind w:left="320" w:right="120" w:hanging="314"/>
        <w:spacing w:after="0" w:line="270" w:lineRule="auto"/>
        <w:tabs>
          <w:tab w:leader="none" w:pos="320" w:val="left"/>
        </w:tabs>
        <w:numPr>
          <w:ilvl w:val="0"/>
          <w:numId w:val="9"/>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 xml:space="preserve">THE ESTIMATED VALUE OF THE NOTES WILL BE LOWER THAN THE ORIGINAL ISSUE PRICE (PRICE TO PUBLIC) OF THE NOTES — </w:t>
      </w:r>
      <w:r>
        <w:rPr>
          <w:rFonts w:ascii="Arial" w:cs="Arial" w:eastAsia="Arial" w:hAnsi="Arial"/>
          <w:sz w:val="16"/>
          <w:szCs w:val="16"/>
          <w:color w:val="404040"/>
        </w:rPr>
        <w:t>The estimated value of the notes is only an estimate determined by reference to several factors. The original issue price of the notes will exceed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“The Estimated Value of the Notes” in this pricing supplement.</w:t>
      </w:r>
    </w:p>
    <w:p>
      <w:pPr>
        <w:spacing w:after="0" w:line="95" w:lineRule="exact"/>
        <w:rPr>
          <w:rFonts w:ascii="Times New Roman" w:cs="Times New Roman" w:eastAsia="Times New Roman" w:hAnsi="Times New Roman"/>
          <w:sz w:val="16"/>
          <w:szCs w:val="16"/>
          <w:color w:val="404040"/>
        </w:rPr>
      </w:pPr>
    </w:p>
    <w:p>
      <w:pPr>
        <w:ind w:left="320" w:right="680" w:hanging="314"/>
        <w:spacing w:after="0" w:line="285" w:lineRule="auto"/>
        <w:tabs>
          <w:tab w:leader="none" w:pos="320" w:val="left"/>
        </w:tabs>
        <w:numPr>
          <w:ilvl w:val="0"/>
          <w:numId w:val="9"/>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ESTIMATED VALUE OF THE NOTES DOES NOT REPRESENT FUTURE VALUES OF THE NOTES AND MAY DIFFER FROM OTHERS’ ESTIMATES —</w:t>
      </w:r>
    </w:p>
    <w:p>
      <w:pPr>
        <w:spacing w:after="0" w:line="1" w:lineRule="exact"/>
        <w:rPr>
          <w:rFonts w:ascii="Times New Roman" w:cs="Times New Roman" w:eastAsia="Times New Roman" w:hAnsi="Times New Roman"/>
          <w:sz w:val="16"/>
          <w:szCs w:val="16"/>
          <w:color w:val="404040"/>
        </w:rPr>
      </w:pPr>
    </w:p>
    <w:p>
      <w:pPr>
        <w:ind w:left="320"/>
        <w:spacing w:after="0"/>
        <w:rPr>
          <w:rFonts w:ascii="Times New Roman" w:cs="Times New Roman" w:eastAsia="Times New Roman" w:hAnsi="Times New Roman"/>
          <w:sz w:val="16"/>
          <w:szCs w:val="16"/>
          <w:color w:val="404040"/>
        </w:rPr>
      </w:pPr>
      <w:r>
        <w:rPr>
          <w:rFonts w:ascii="Arial" w:cs="Arial" w:eastAsia="Arial" w:hAnsi="Arial"/>
          <w:sz w:val="16"/>
          <w:szCs w:val="16"/>
          <w:color w:val="404040"/>
        </w:rPr>
        <w:t>See “The Estimated Value of the Notes” in this pricing supplement.</w:t>
      </w:r>
    </w:p>
    <w:p>
      <w:pPr>
        <w:spacing w:after="0" w:line="145"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9"/>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ESTIMATED VALUE OF THE NOTES IS DERIVED BY REFERENCE TO AN INTERNAL FUNDING RATE —</w:t>
      </w:r>
    </w:p>
    <w:p>
      <w:pPr>
        <w:spacing w:after="0" w:line="82" w:lineRule="exact"/>
        <w:rPr>
          <w:rFonts w:ascii="Times New Roman" w:cs="Times New Roman" w:eastAsia="Times New Roman" w:hAnsi="Times New Roman"/>
          <w:sz w:val="16"/>
          <w:szCs w:val="16"/>
          <w:color w:val="404040"/>
        </w:rPr>
      </w:pPr>
    </w:p>
    <w:p>
      <w:pPr>
        <w:ind w:left="320"/>
        <w:spacing w:after="0" w:line="248"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111" w:lineRule="exact"/>
        <w:rPr>
          <w:rFonts w:ascii="Times New Roman" w:cs="Times New Roman" w:eastAsia="Times New Roman" w:hAnsi="Times New Roman"/>
          <w:sz w:val="16"/>
          <w:szCs w:val="16"/>
          <w:color w:val="404040"/>
        </w:rPr>
      </w:pPr>
    </w:p>
    <w:p>
      <w:pPr>
        <w:ind w:left="320" w:right="260" w:hanging="314"/>
        <w:spacing w:after="0" w:line="285" w:lineRule="auto"/>
        <w:tabs>
          <w:tab w:leader="none" w:pos="320" w:val="left"/>
        </w:tabs>
        <w:numPr>
          <w:ilvl w:val="0"/>
          <w:numId w:val="9"/>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VALUE OF THE NOTES AS PUBLISHED BY JPMS (AND WHICH MAY BE REFLECTED ON CUSTOMER ACCOUNT STATEMENTS) MAY BE HIGHER THAN THE THEN-CURRENT ESTIMATED VALUE OF THE NOTES FOR A LIMITED TIME PERIOD —</w:t>
      </w:r>
    </w:p>
    <w:p>
      <w:pPr>
        <w:spacing w:after="0" w:line="1" w:lineRule="exact"/>
        <w:rPr>
          <w:rFonts w:ascii="Times New Roman" w:cs="Times New Roman" w:eastAsia="Times New Roman" w:hAnsi="Times New Roman"/>
          <w:sz w:val="16"/>
          <w:szCs w:val="16"/>
          <w:color w:val="404040"/>
        </w:rPr>
      </w:pPr>
    </w:p>
    <w:p>
      <w:pPr>
        <w:ind w:left="320"/>
        <w:spacing w:after="0" w:line="254"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713486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PS-6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00"/>
          </w:cols>
          <w:pgMar w:left="320" w:top="610" w:right="379" w:bottom="1440" w:gutter="0" w:footer="0" w:header="0"/>
        </w:sectPr>
      </w:pPr>
    </w:p>
    <w:bookmarkStart w:id="7" w:name="page8"/>
    <w:bookmarkEnd w:id="7"/>
    <w:p>
      <w:pPr>
        <w:ind w:left="320" w:hanging="314"/>
        <w:spacing w:after="0"/>
        <w:tabs>
          <w:tab w:leader="none" w:pos="320" w:val="left"/>
        </w:tabs>
        <w:numPr>
          <w:ilvl w:val="0"/>
          <w:numId w:val="10"/>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SECONDARY MARKET PRICES OF THE NOTES WILL LIKELY BE LOWER THAN THE ORIGINAL ISSUE PRICE OF THE NOTES —</w:t>
      </w:r>
    </w:p>
    <w:p>
      <w:pPr>
        <w:spacing w:after="0" w:line="82" w:lineRule="exact"/>
        <w:rPr>
          <w:rFonts w:ascii="Times New Roman" w:cs="Times New Roman" w:eastAsia="Times New Roman" w:hAnsi="Times New Roman"/>
          <w:sz w:val="16"/>
          <w:szCs w:val="16"/>
          <w:color w:val="404040"/>
        </w:rPr>
      </w:pPr>
    </w:p>
    <w:p>
      <w:pPr>
        <w:ind w:left="320" w:right="220"/>
        <w:spacing w:after="0" w:line="251"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69"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10"/>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82" w:lineRule="exact"/>
        <w:rPr>
          <w:rFonts w:ascii="Times New Roman" w:cs="Times New Roman" w:eastAsia="Times New Roman" w:hAnsi="Times New Roman"/>
          <w:sz w:val="16"/>
          <w:szCs w:val="16"/>
          <w:color w:val="404040"/>
        </w:rPr>
      </w:pPr>
    </w:p>
    <w:p>
      <w:pPr>
        <w:ind w:left="320"/>
        <w:spacing w:after="0" w:line="249"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price of one share of the Fund.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Fund</w:t>
      </w:r>
    </w:p>
    <w:p>
      <w:pPr>
        <w:spacing w:after="0" w:line="108"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THERE ARE RISKS ASSOCIATED WITH THE FUND —</w:t>
      </w:r>
    </w:p>
    <w:p>
      <w:pPr>
        <w:spacing w:after="0" w:line="82" w:lineRule="exact"/>
        <w:rPr>
          <w:rFonts w:ascii="Times New Roman" w:cs="Times New Roman" w:eastAsia="Times New Roman" w:hAnsi="Times New Roman"/>
          <w:sz w:val="16"/>
          <w:szCs w:val="16"/>
          <w:color w:val="404040"/>
        </w:rPr>
      </w:pPr>
    </w:p>
    <w:p>
      <w:pPr>
        <w:ind w:left="320" w:right="220"/>
        <w:spacing w:after="0" w:line="261"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Fund is subject to management risk, which is the risk that the investment strategies of the Fund’s investment adviser, the implementation of which is subject to a number of constraints, may not produce the intended results. These constraints could adversely affect the market price of the shares of the Fund and, consequently, the value of the notes.</w:t>
      </w:r>
    </w:p>
    <w:p>
      <w:pPr>
        <w:spacing w:after="0" w:line="60" w:lineRule="exact"/>
        <w:rPr>
          <w:rFonts w:ascii="Times New Roman" w:cs="Times New Roman" w:eastAsia="Times New Roman" w:hAnsi="Times New Roman"/>
          <w:sz w:val="16"/>
          <w:szCs w:val="16"/>
          <w:color w:val="404040"/>
        </w:rPr>
      </w:pPr>
    </w:p>
    <w:p>
      <w:pPr>
        <w:ind w:left="320" w:right="20" w:hanging="314"/>
        <w:spacing w:after="0" w:line="285" w:lineRule="auto"/>
        <w:tabs>
          <w:tab w:leader="none" w:pos="320" w:val="left"/>
        </w:tabs>
        <w:numPr>
          <w:ilvl w:val="0"/>
          <w:numId w:val="11"/>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PERFORMANCE AND MARKET VALUE OF THE FUND, PARTICULARLY DURING PERIODS OF MARKET VOLATILITY, MAY NOT CORRELATE WITH THE PERFORMANCE OF THE FUND’S UNDERLYING INDEX AS WELL AS THE NET ASSET VALUE PER SHARE —</w:t>
      </w:r>
    </w:p>
    <w:p>
      <w:pPr>
        <w:spacing w:after="0" w:line="1" w:lineRule="exact"/>
        <w:rPr>
          <w:rFonts w:ascii="Times New Roman" w:cs="Times New Roman" w:eastAsia="Times New Roman" w:hAnsi="Times New Roman"/>
          <w:sz w:val="16"/>
          <w:szCs w:val="16"/>
          <w:color w:val="404040"/>
        </w:rPr>
      </w:pPr>
    </w:p>
    <w:p>
      <w:pPr>
        <w:ind w:left="320" w:right="20"/>
        <w:spacing w:after="0" w:line="249"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Fund does not fully replicate its Underlying Index (as defined under “The Fund” below) and may hold securities different from those included in its Underlying Index. In addition, the performance of the Fund will reflect additional transaction costs and fees that are not included in the calculation of its Underlying Index. All of these factors may lead to a lack of correlation between the performance of the Fund and its Underlying Index. In addition, corporate actions with respect to the equity securities underlying the Fund (such as mergers and spin-offs) may impact the variance between the performances of the Fund and its Underlying Index. Finally, because the shares of the Fund are traded on a securities exchange and are subject to market supply and investor demand, the market value of one share of the Fund may differ from the net asset value per share of the Fund.</w:t>
      </w:r>
    </w:p>
    <w:p>
      <w:pPr>
        <w:spacing w:after="0" w:line="47" w:lineRule="exact"/>
        <w:rPr>
          <w:rFonts w:ascii="Times New Roman" w:cs="Times New Roman" w:eastAsia="Times New Roman" w:hAnsi="Times New Roman"/>
          <w:sz w:val="16"/>
          <w:szCs w:val="16"/>
          <w:color w:val="404040"/>
        </w:rPr>
      </w:pPr>
    </w:p>
    <w:p>
      <w:pPr>
        <w:ind w:left="320"/>
        <w:spacing w:after="0" w:line="248"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During periods of market volatility, securities underlying the Fund may be unavailable in the secondary market, market participants may be unable to calculate accurately the net asset value per share of the Fund and the liquidity of the Fund may be adversely affected. This kind of market volatility may also disrupt the ability of market participants to create and redeem shares of the Fund. Further, market volatility may adversely affect, sometimes materially, the prices at which market participants are willing to buy and sell shares of the Fund. As a result, under these circumstances, the market value of shares of the Fund may vary substantially from the net asset value per share of the Fund. For all of the foregoing reasons, the performance of the Fund may not correlate with the performance of its Underlying Index as well as the net asset value per share of the Fund, which could materially and adversely affect the value of the notes in the secondary market and/or reduce any payment on the notes.</w:t>
      </w:r>
    </w:p>
    <w:p>
      <w:pPr>
        <w:spacing w:after="0" w:line="98" w:lineRule="exact"/>
        <w:rPr>
          <w:rFonts w:ascii="Times New Roman" w:cs="Times New Roman" w:eastAsia="Times New Roman" w:hAnsi="Times New Roman"/>
          <w:sz w:val="16"/>
          <w:szCs w:val="16"/>
          <w:color w:val="404040"/>
        </w:rPr>
      </w:pPr>
    </w:p>
    <w:p>
      <w:pPr>
        <w:ind w:left="320" w:hanging="314"/>
        <w:spacing w:after="0"/>
        <w:tabs>
          <w:tab w:leader="none" w:pos="320" w:val="left"/>
        </w:tabs>
        <w:numPr>
          <w:ilvl w:val="0"/>
          <w:numId w:val="11"/>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 xml:space="preserve">RISKS ASSOCIATED WITH THE CLEAN ENERGY SECTOR </w:t>
      </w:r>
      <w:r>
        <w:rPr>
          <w:rFonts w:ascii="Arial" w:cs="Arial" w:eastAsia="Arial" w:hAnsi="Arial"/>
          <w:sz w:val="16"/>
          <w:szCs w:val="16"/>
          <w:color w:val="404040"/>
        </w:rPr>
        <w:t>—</w:t>
      </w:r>
    </w:p>
    <w:p>
      <w:pPr>
        <w:spacing w:after="0" w:line="161" w:lineRule="exact"/>
        <w:rPr>
          <w:rFonts w:ascii="Times New Roman" w:cs="Times New Roman" w:eastAsia="Times New Roman" w:hAnsi="Times New Roman"/>
          <w:sz w:val="16"/>
          <w:szCs w:val="16"/>
          <w:color w:val="404040"/>
        </w:rPr>
      </w:pPr>
    </w:p>
    <w:p>
      <w:pPr>
        <w:ind w:left="320" w:right="20"/>
        <w:spacing w:after="0" w:line="247"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All or substantially all of the equity securities held by the Fund are issued by companies whose primary line of business is directly associated with the clean energy sector. As a result, the value of the notes may be subject to greater volatility and be more adversely affected by a single economic, political or regulatory occurrence affecting this sector than a different investment linked to securities of a more broadly diversified group of issuers. Clean energy companies may be highly dependent upon government subsidies, contracts with government entities and the successful development of new and proprietary technologies. In addition, seasonal weather conditions, fluctuations in the supply of and demand for clean energy products, changes in energy prices and international political events may cause fluctuations in the performance of clean energy companies and the prices of their securities. These factors could affect the clean energy sector and could affect the value of the equity securities held by the Fund and the price of the Fund during the term of the notes, which may adversely affect the value of your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860"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PS-7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40"/>
          </w:cols>
          <w:pgMar w:left="320" w:top="610" w:right="339" w:bottom="1440" w:gutter="0" w:footer="0" w:header="0"/>
        </w:sectPr>
      </w:pPr>
    </w:p>
    <w:bookmarkStart w:id="8" w:name="page9"/>
    <w:bookmarkEnd w:id="8"/>
    <w:p>
      <w:pPr>
        <w:ind w:left="314" w:hanging="314"/>
        <w:spacing w:after="0"/>
        <w:tabs>
          <w:tab w:leader="none" w:pos="314" w:val="left"/>
        </w:tabs>
        <w:numPr>
          <w:ilvl w:val="0"/>
          <w:numId w:val="12"/>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NON-U.S. SECURITIES RISK —</w:t>
      </w:r>
    </w:p>
    <w:p>
      <w:pPr>
        <w:spacing w:after="0" w:line="82" w:lineRule="exact"/>
        <w:rPr>
          <w:rFonts w:ascii="Times New Roman" w:cs="Times New Roman" w:eastAsia="Times New Roman" w:hAnsi="Times New Roman"/>
          <w:sz w:val="16"/>
          <w:szCs w:val="16"/>
          <w:color w:val="404040"/>
        </w:rPr>
      </w:pPr>
    </w:p>
    <w:p>
      <w:pPr>
        <w:ind w:left="314" w:right="80"/>
        <w:spacing w:after="0" w:line="254"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Some of the equity securities held by the Fund have been issued by non-U.S. companies. Investments in securities linked to the value of such non-U.S. equity securities involve risks associated with the securities markets in the home countries of the issuers of those non-U.S. equity securities. Also, there is generally less publicly available information about companies in some of these jurisdictions than there is about U.S. companies that are subject to the reporting requirements of the SEC.</w:t>
      </w:r>
    </w:p>
    <w:p>
      <w:pPr>
        <w:spacing w:after="0" w:line="106" w:lineRule="exact"/>
        <w:rPr>
          <w:rFonts w:ascii="Times New Roman" w:cs="Times New Roman" w:eastAsia="Times New Roman" w:hAnsi="Times New Roman"/>
          <w:sz w:val="16"/>
          <w:szCs w:val="16"/>
          <w:color w:val="404040"/>
        </w:rPr>
      </w:pPr>
    </w:p>
    <w:p>
      <w:pPr>
        <w:ind w:left="314" w:hanging="314"/>
        <w:spacing w:after="0"/>
        <w:tabs>
          <w:tab w:leader="none" w:pos="314" w:val="left"/>
        </w:tabs>
        <w:numPr>
          <w:ilvl w:val="0"/>
          <w:numId w:val="12"/>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EMERGING MARKETS RISK —</w:t>
      </w:r>
    </w:p>
    <w:p>
      <w:pPr>
        <w:spacing w:after="0" w:line="82" w:lineRule="exact"/>
        <w:rPr>
          <w:rFonts w:ascii="Times New Roman" w:cs="Times New Roman" w:eastAsia="Times New Roman" w:hAnsi="Times New Roman"/>
          <w:sz w:val="16"/>
          <w:szCs w:val="16"/>
          <w:color w:val="404040"/>
        </w:rPr>
      </w:pPr>
    </w:p>
    <w:p>
      <w:pPr>
        <w:ind w:left="314" w:right="60"/>
        <w:spacing w:after="0" w:line="249"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Some of the equity securities held by the Fund have been issued by non-U.S. companies located in emerging markets countries. Countries with emerging markets may have relatively unstable governments, may present the risks of nationalization of businesses, restrictions on foreign ownership and prohibitions on the repatriation of assets, and may have less protection of property rights than more developed countries. The economies of countries with emerging markets may be based on only a few industries, may be highly vulnerable to changes in local or global trade conditions, and may suffer from extreme and volatile debt burdens or inflation rates. Local securities markets may trade a small number of securities and may be unable to respond effectively to increases in trading volume, potentially making prompt liquidation of holdings difficult or impossible at times.</w:t>
      </w:r>
    </w:p>
    <w:p>
      <w:pPr>
        <w:spacing w:after="0" w:line="111" w:lineRule="exact"/>
        <w:rPr>
          <w:rFonts w:ascii="Times New Roman" w:cs="Times New Roman" w:eastAsia="Times New Roman" w:hAnsi="Times New Roman"/>
          <w:sz w:val="16"/>
          <w:szCs w:val="16"/>
          <w:color w:val="404040"/>
        </w:rPr>
      </w:pPr>
    </w:p>
    <w:p>
      <w:pPr>
        <w:ind w:left="314" w:hanging="314"/>
        <w:spacing w:after="0"/>
        <w:tabs>
          <w:tab w:leader="none" w:pos="314" w:val="left"/>
        </w:tabs>
        <w:numPr>
          <w:ilvl w:val="0"/>
          <w:numId w:val="12"/>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NOTES ARE SUBJECT TO CURRENCY EXCHANGE RISK —</w:t>
      </w:r>
    </w:p>
    <w:p>
      <w:pPr>
        <w:spacing w:after="0" w:line="82" w:lineRule="exact"/>
        <w:rPr>
          <w:rFonts w:ascii="Times New Roman" w:cs="Times New Roman" w:eastAsia="Times New Roman" w:hAnsi="Times New Roman"/>
          <w:sz w:val="16"/>
          <w:szCs w:val="16"/>
          <w:color w:val="404040"/>
        </w:rPr>
      </w:pPr>
    </w:p>
    <w:p>
      <w:pPr>
        <w:ind w:left="314"/>
        <w:spacing w:after="0" w:line="251"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Because the prices of the non-U.S. equity securities held by the Fund are converted into U.S. dollars for purposes of calculating the net asset value of the Fund, holders of the notes will be exposed to currency exchange rate risk with respect to each of the currencies in which the non-U.S. equity securities held by the Fund trade. Your net exposure will depend on the extent to which those currencies strengthen or weaken against the U.S. dollar and the relative weight of equity securities held by the Fund denominated in each of those currencies. If, taking into account the relevant weighting, the U.S. dollar strengthens against those currencies, the price of the Fund will be adversely affected and any payment on the notes may be reduced.</w:t>
      </w:r>
    </w:p>
    <w:p>
      <w:pPr>
        <w:spacing w:after="0" w:line="109" w:lineRule="exact"/>
        <w:rPr>
          <w:rFonts w:ascii="Times New Roman" w:cs="Times New Roman" w:eastAsia="Times New Roman" w:hAnsi="Times New Roman"/>
          <w:sz w:val="16"/>
          <w:szCs w:val="16"/>
          <w:color w:val="404040"/>
        </w:rPr>
      </w:pPr>
    </w:p>
    <w:p>
      <w:pPr>
        <w:ind w:left="314" w:hanging="314"/>
        <w:spacing w:after="0"/>
        <w:tabs>
          <w:tab w:leader="none" w:pos="314" w:val="left"/>
        </w:tabs>
        <w:numPr>
          <w:ilvl w:val="0"/>
          <w:numId w:val="12"/>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RECENT EXECUTIVE ORDERS MAY ADVERSELY AFFECT THE PERFORMANCE OF THE FUND —</w:t>
      </w:r>
    </w:p>
    <w:p>
      <w:pPr>
        <w:spacing w:after="0" w:line="82" w:lineRule="exact"/>
        <w:rPr>
          <w:rFonts w:ascii="Times New Roman" w:cs="Times New Roman" w:eastAsia="Times New Roman" w:hAnsi="Times New Roman"/>
          <w:sz w:val="16"/>
          <w:szCs w:val="16"/>
          <w:color w:val="404040"/>
        </w:rPr>
      </w:pPr>
    </w:p>
    <w:p>
      <w:pPr>
        <w:ind w:left="314" w:right="80"/>
        <w:spacing w:after="0" w:line="266" w:lineRule="auto"/>
        <w:rPr>
          <w:rFonts w:ascii="Times New Roman" w:cs="Times New Roman" w:eastAsia="Times New Roman" w:hAnsi="Times New Roman"/>
          <w:sz w:val="16"/>
          <w:szCs w:val="16"/>
          <w:color w:val="404040"/>
        </w:rPr>
      </w:pPr>
      <w:r>
        <w:rPr>
          <w:rFonts w:ascii="Arial" w:cs="Arial" w:eastAsia="Arial" w:hAnsi="Arial"/>
          <w:sz w:val="15"/>
          <w:szCs w:val="15"/>
          <w:color w:val="404040"/>
        </w:rPr>
        <w:t>Pursuant to recent executive orders, U.S. persons are prohibited from engaging in transactions in, or possession of, publicly traded securities of certain companies that are determined to be linked to the People’s Republic of China military, intelligence and security apparatus, or securities that are derivative of, or are designed to provide investment exposure to, those securities. The sponsor of the Underlying Index for the Fund has recently removed the equity securities of a small number of companies from the index from which the constituents of the Underlying Index are drawn in response to these executive orders. If the issuer of any of the equity securities held by the Fund is in the future designated as such a prohibited company, the value of that company may be adversely affected, perhaps significantly, which would adversely affect the performance of the Fund. In addition, under these circumstances, each of the sponsor of the Underlying Index and the Fund is expected to remove the equity securities of that company from the Underlying Index and the Fund, respectively. Any changes to the composition of the Fund in response to these executive orders could adversely affect the performance of the Fund.</w:t>
      </w:r>
    </w:p>
    <w:p>
      <w:pPr>
        <w:spacing w:after="0" w:line="98" w:lineRule="exact"/>
        <w:rPr>
          <w:rFonts w:ascii="Times New Roman" w:cs="Times New Roman" w:eastAsia="Times New Roman" w:hAnsi="Times New Roman"/>
          <w:sz w:val="16"/>
          <w:szCs w:val="16"/>
          <w:color w:val="404040"/>
        </w:rPr>
      </w:pPr>
    </w:p>
    <w:p>
      <w:pPr>
        <w:ind w:left="314" w:hanging="314"/>
        <w:spacing w:after="0"/>
        <w:tabs>
          <w:tab w:leader="none" w:pos="314" w:val="left"/>
        </w:tabs>
        <w:numPr>
          <w:ilvl w:val="0"/>
          <w:numId w:val="12"/>
        </w:numPr>
        <w:rPr>
          <w:rFonts w:ascii="Times New Roman" w:cs="Times New Roman" w:eastAsia="Times New Roman" w:hAnsi="Times New Roman"/>
          <w:sz w:val="16"/>
          <w:szCs w:val="16"/>
          <w:color w:val="404040"/>
        </w:rPr>
      </w:pPr>
      <w:r>
        <w:rPr>
          <w:rFonts w:ascii="Arial" w:cs="Arial" w:eastAsia="Arial" w:hAnsi="Arial"/>
          <w:sz w:val="16"/>
          <w:szCs w:val="16"/>
          <w:b w:val="1"/>
          <w:bCs w:val="1"/>
          <w:color w:val="404040"/>
        </w:rPr>
        <w:t>THE ANTI-DILUTION PROTECTION FOR THE FUND IS LIMITED —</w:t>
      </w:r>
    </w:p>
    <w:p>
      <w:pPr>
        <w:spacing w:after="0" w:line="82" w:lineRule="exact"/>
        <w:rPr>
          <w:rFonts w:ascii="Times New Roman" w:cs="Times New Roman" w:eastAsia="Times New Roman" w:hAnsi="Times New Roman"/>
          <w:sz w:val="16"/>
          <w:szCs w:val="16"/>
          <w:color w:val="404040"/>
        </w:rPr>
      </w:pPr>
    </w:p>
    <w:p>
      <w:pPr>
        <w:ind w:left="314" w:right="40"/>
        <w:spacing w:after="0" w:line="261" w:lineRule="auto"/>
        <w:rPr>
          <w:rFonts w:ascii="Times New Roman" w:cs="Times New Roman" w:eastAsia="Times New Roman" w:hAnsi="Times New Roman"/>
          <w:sz w:val="16"/>
          <w:szCs w:val="16"/>
          <w:color w:val="404040"/>
        </w:rPr>
      </w:pPr>
      <w:r>
        <w:rPr>
          <w:rFonts w:ascii="Arial" w:cs="Arial" w:eastAsia="Arial" w:hAnsi="Arial"/>
          <w:sz w:val="16"/>
          <w:szCs w:val="16"/>
          <w:color w:val="404040"/>
        </w:rPr>
        <w:t>The calculation agent will make adjustments to the Share Adjustment Factor for certain events affecting the shares of the Fund. However, the calculation agent will not make an adjustment in response to all events that could affect the shares of the Fund. If an event occurs that does not require the calculation agent to make an adjustment, the value of the notes may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3486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88" w:lineRule="exact"/>
        <w:rPr>
          <w:sz w:val="20"/>
          <w:szCs w:val="20"/>
          <w:color w:val="auto"/>
        </w:rPr>
      </w:pPr>
    </w:p>
    <w:p>
      <w:pPr>
        <w:ind w:left="14"/>
        <w:spacing w:after="0"/>
        <w:rPr>
          <w:sz w:val="20"/>
          <w:szCs w:val="20"/>
          <w:color w:val="auto"/>
        </w:rPr>
      </w:pPr>
      <w:r>
        <w:rPr>
          <w:rFonts w:ascii="Arial" w:cs="Arial" w:eastAsia="Arial" w:hAnsi="Arial"/>
          <w:sz w:val="16"/>
          <w:szCs w:val="16"/>
          <w:color w:val="7F7F7F"/>
        </w:rPr>
        <w:t>PS-8 | Structured Investments</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34"/>
          </w:cols>
          <w:pgMar w:left="326" w:top="5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4E8ABE"/>
        </w:rPr>
        <w:t>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86" w:lineRule="exact"/>
        <w:rPr>
          <w:sz w:val="20"/>
          <w:szCs w:val="20"/>
          <w:color w:val="auto"/>
        </w:rPr>
      </w:pPr>
    </w:p>
    <w:p>
      <w:pPr>
        <w:ind w:right="680"/>
        <w:spacing w:after="0" w:line="222" w:lineRule="auto"/>
        <w:rPr>
          <w:sz w:val="20"/>
          <w:szCs w:val="20"/>
          <w:color w:val="auto"/>
        </w:rPr>
      </w:pPr>
      <w:r>
        <w:rPr>
          <w:rFonts w:ascii="Arial" w:cs="Arial" w:eastAsia="Arial" w:hAnsi="Arial"/>
          <w:sz w:val="15"/>
          <w:szCs w:val="15"/>
          <w:color w:val="404040"/>
        </w:rPr>
        <w:t>The Fund is an exchange-traded fund of iShares</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Trust, a registered investment company, that seeks to track the investment results, before fees and expenses, of an index composed of global equities in the clean energy sector, which we refer to as the Underlying Index with respect to the Fund. The</w:t>
      </w:r>
    </w:p>
    <w:p>
      <w:pPr>
        <w:spacing w:after="0" w:line="1"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404040"/>
        </w:rPr>
        <w:t>Underlying Index for the Fund is currently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is a modified market capitalization-weighted index that is designed to measure the performance of 30 of the largest companies in global clean energy related businesses from both developed and emerging markets. For additional information about the Fund, see Annex A in this pricing supplement.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Historical Information</w:t>
      </w:r>
    </w:p>
    <w:p>
      <w:pPr>
        <w:spacing w:after="0" w:line="83"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404040"/>
        </w:rPr>
        <w:t>The following graph sets forth the historical performance of the Fund based on the weekly historical closing prices of one share of the Fund from January 8, 2016 through January 22, 2021. The closing price of one share of the Fund on January 25, 2021 was $32.48. We obtained the closing prices above and below</w:t>
      </w:r>
    </w:p>
    <w:p>
      <w:pPr>
        <w:ind w:right="300"/>
        <w:spacing w:after="0" w:line="209" w:lineRule="auto"/>
        <w:rPr>
          <w:sz w:val="20"/>
          <w:szCs w:val="20"/>
          <w:color w:val="auto"/>
        </w:rPr>
      </w:pPr>
      <w:r>
        <w:rPr>
          <w:rFonts w:ascii="Arial" w:cs="Arial" w:eastAsia="Arial" w:hAnsi="Arial"/>
          <w:sz w:val="16"/>
          <w:szCs w:val="16"/>
          <w:color w:val="404040"/>
        </w:rPr>
        <w:t>from the Bloomberg Professional</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service (“Bloomberg”), without independent verification. The closing prices above and below may have been adjusted by Bloomberg for actions taken by the Fund, such as stock splits.</w:t>
      </w:r>
    </w:p>
    <w:p>
      <w:pPr>
        <w:spacing w:after="0" w:line="39"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404040"/>
        </w:rPr>
        <w:t>The historical closing prices of one share of the Fund should not be taken as an indication of future performance, and no assurance can be given as to the closing price of one share of the Fund on the Pricing Date or any Review Date. There can be no assurance that the performance of the Fund will result in the return of any of your principal amount or the payment of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118110</wp:posOffset>
            </wp:positionV>
            <wp:extent cx="4240530" cy="2431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40530"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You should review carefully the section entitled “Material U.S. Federal Income Tax Consequences” in the accompanying product supplement no. 4-II. In determining our reporting responsibilities we intend to treat (i) the notes for U.S. federal income tax purposes as prepaid forward contracts with associated contingent coupons and (ii) any Contingent Interest Payments as ordinary income, as described in the section entitled “Material U.S. Federal Income Tax Consequences — Tax Consequences to U.S. Holders — Notes Treated as Prepaid Forward Contracts with Associated Contingent Coupons” in the accompanying product supplement.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notes, possibly with retroactive effect. The discussions above and in the accompanying product supplement do not address the consequences to taxpayers subject to special tax accounting rules under Section 451(b) of the Code. You should consult your tax adviser regarding the U.S. federal income tax consequences of an investment in the notes, including possible alternative treatments and the issues presented by the notice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13486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PS-9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605" w:right="359" w:bottom="1440" w:gutter="0" w:footer="0" w:header="0"/>
        </w:sectPr>
      </w:pPr>
    </w:p>
    <w:bookmarkStart w:id="10" w:name="page11"/>
    <w:bookmarkEnd w:id="10"/>
    <w:p>
      <w:pPr>
        <w:ind w:right="220"/>
        <w:spacing w:after="0" w:line="249" w:lineRule="auto"/>
        <w:rPr>
          <w:sz w:val="20"/>
          <w:szCs w:val="20"/>
          <w:color w:val="auto"/>
        </w:rPr>
      </w:pPr>
      <w:r>
        <w:rPr>
          <w:rFonts w:ascii="Arial" w:cs="Arial" w:eastAsia="Arial" w:hAnsi="Arial"/>
          <w:sz w:val="16"/>
          <w:szCs w:val="16"/>
          <w:i w:val="1"/>
          <w:iCs w:val="1"/>
          <w:color w:val="404040"/>
        </w:rPr>
        <w:t>Non-U.S. Holders — Tax Considerations</w:t>
      </w:r>
      <w:r>
        <w:rPr>
          <w:rFonts w:ascii="Arial" w:cs="Arial" w:eastAsia="Arial" w:hAnsi="Arial"/>
          <w:sz w:val="16"/>
          <w:szCs w:val="16"/>
          <w:color w:val="404040"/>
        </w:rPr>
        <w:t>. The U.S. federal income tax treatment of Contingent Interest Payments is uncertain, and although we believe it is</w:t>
      </w:r>
      <w:r>
        <w:rPr>
          <w:rFonts w:ascii="Arial" w:cs="Arial" w:eastAsia="Arial" w:hAnsi="Arial"/>
          <w:sz w:val="16"/>
          <w:szCs w:val="16"/>
          <w:i w:val="1"/>
          <w:iCs w:val="1"/>
          <w:color w:val="404040"/>
        </w:rPr>
        <w:t xml:space="preserve"> </w:t>
      </w:r>
      <w:r>
        <w:rPr>
          <w:rFonts w:ascii="Arial" w:cs="Arial" w:eastAsia="Arial" w:hAnsi="Arial"/>
          <w:sz w:val="16"/>
          <w:szCs w:val="16"/>
          <w:color w:val="404040"/>
        </w:rPr>
        <w:t>reasonable to take a position that Contingent Interest Payments are not subject to U.S. withholding tax (at least if an applicable Form W-8 is provided), a withholding agent may nonetheless withhold on these payments (generally at a rate of 30%, subject to the possible reduction of that rate under an applicable income tax treaty), unless income from your notes is effectively connected with your conduct of a trade or business in the United States (and, if an applicable treaty so requires, attributable to a permanent establishment in the United States). If you are not a United States person, you are urged to consult your tax adviser regarding the U.S. federal income tax consequences of an investment in the notes in light of your particular circumstances.</w:t>
      </w:r>
    </w:p>
    <w:p>
      <w:pPr>
        <w:spacing w:after="0" w:line="113" w:lineRule="exact"/>
        <w:rPr>
          <w:sz w:val="20"/>
          <w:szCs w:val="20"/>
          <w:color w:val="auto"/>
        </w:rPr>
      </w:pPr>
    </w:p>
    <w:p>
      <w:pPr>
        <w:spacing w:after="0" w:line="246" w:lineRule="auto"/>
        <w:rPr>
          <w:sz w:val="20"/>
          <w:szCs w:val="20"/>
          <w:color w:val="auto"/>
        </w:rPr>
      </w:pPr>
      <w:r>
        <w:rPr>
          <w:rFonts w:ascii="Arial" w:cs="Arial" w:eastAsia="Arial" w:hAnsi="Arial"/>
          <w:sz w:val="16"/>
          <w:szCs w:val="16"/>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2023 that do not have a delta of one with respect to underlying securities that could pay U.S.-source dividends for U.S. federal income tax purposes (each an “Underlying Security”). Based on certain determinations made by us, we expect that Section 871(m) will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If necessary, further information regarding the potential application of Section 871(m) will be provided in the pricing supplement for the notes. You should consult your tax adviser regarding the potential application of Section 871(m) to the notes.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404040"/>
        </w:rPr>
        <w:t>In the event of any withholding on the notes, we will not be required to pay any additional amounts with respect to amounts so withheld.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1" w:lineRule="exact"/>
        <w:rPr>
          <w:sz w:val="20"/>
          <w:szCs w:val="20"/>
          <w:color w:val="auto"/>
        </w:rPr>
      </w:pPr>
    </w:p>
    <w:p>
      <w:pPr>
        <w:spacing w:after="0" w:line="263" w:lineRule="auto"/>
        <w:rPr>
          <w:sz w:val="20"/>
          <w:szCs w:val="20"/>
          <w:color w:val="auto"/>
        </w:rPr>
      </w:pPr>
      <w:r>
        <w:rPr>
          <w:rFonts w:ascii="Arial" w:cs="Arial" w:eastAsia="Arial" w:hAnsi="Arial"/>
          <w:sz w:val="15"/>
          <w:szCs w:val="15"/>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67" w:lineRule="exact"/>
        <w:rPr>
          <w:sz w:val="20"/>
          <w:szCs w:val="20"/>
          <w:color w:val="auto"/>
        </w:rPr>
      </w:pPr>
    </w:p>
    <w:p>
      <w:pPr>
        <w:jc w:val="both"/>
        <w:ind w:right="40"/>
        <w:spacing w:after="0" w:line="267" w:lineRule="auto"/>
        <w:rPr>
          <w:sz w:val="20"/>
          <w:szCs w:val="20"/>
          <w:color w:val="auto"/>
        </w:rPr>
      </w:pPr>
      <w:r>
        <w:rPr>
          <w:rFonts w:ascii="Arial" w:cs="Arial" w:eastAsia="Arial" w:hAnsi="Arial"/>
          <w:sz w:val="15"/>
          <w:szCs w:val="15"/>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w:t>
      </w:r>
    </w:p>
    <w:p>
      <w:pPr>
        <w:spacing w:after="0" w:line="1"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404040"/>
        </w:rPr>
        <w:t>Accordingly, the estimated value of the notes is determined when the terms of the notes are set based on market conditions and other relevant factors and assumptions existing at that time.</w:t>
      </w:r>
    </w:p>
    <w:p>
      <w:pPr>
        <w:spacing w:after="0" w:line="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71" w:lineRule="exact"/>
        <w:rPr>
          <w:sz w:val="20"/>
          <w:szCs w:val="20"/>
          <w:color w:val="auto"/>
        </w:rPr>
      </w:pPr>
    </w:p>
    <w:p>
      <w:pPr>
        <w:spacing w:after="0" w:line="251" w:lineRule="auto"/>
        <w:rPr>
          <w:sz w:val="20"/>
          <w:szCs w:val="20"/>
          <w:color w:val="auto"/>
        </w:rPr>
      </w:pPr>
      <w:r>
        <w:rPr>
          <w:rFonts w:ascii="Arial" w:cs="Arial" w:eastAsia="Arial" w:hAnsi="Arial"/>
          <w:sz w:val="16"/>
          <w:szCs w:val="16"/>
          <w:color w:val="404040"/>
        </w:rPr>
        <w:t>The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PS-10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572" w:right="359" w:bottom="1440" w:gutter="0" w:footer="0" w:header="0"/>
        </w:sectPr>
      </w:pPr>
    </w:p>
    <w:bookmarkStart w:id="11" w:name="page12"/>
    <w:bookmarkEnd w:id="11"/>
    <w:p>
      <w:pPr>
        <w:ind w:right="220"/>
        <w:spacing w:after="0" w:line="254" w:lineRule="auto"/>
        <w:rPr>
          <w:sz w:val="20"/>
          <w:szCs w:val="20"/>
          <w:color w:val="auto"/>
        </w:rPr>
      </w:pPr>
      <w:r>
        <w:rPr>
          <w:rFonts w:ascii="Arial" w:cs="Arial" w:eastAsia="Arial" w:hAnsi="Arial"/>
          <w:sz w:val="16"/>
          <w:szCs w:val="16"/>
          <w:color w:val="404040"/>
        </w:rPr>
        <w:t>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Risks Relating to the Estimated Value and Secondary Market Prices of the Notes — The Estimated Value of the Notes Will Be Lower Than the Original Issue Price (Price to Public) of the Notes” in this pricing supplement.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Fund” in this pricing supplement for a description of the market exposure provided by the notes.</w:t>
      </w:r>
    </w:p>
    <w:p>
      <w:pPr>
        <w:spacing w:after="0" w:line="22"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404040"/>
        </w:rPr>
        <w:t>We expect that delivery of the notes will be made against payment for the notes on or about the Original Issue Date set forth on the front cover of this pricing supplement, which will be the third business day following the Pricing Date of the notes (this settlement cycle being referred to as “T+3”). Under Rule 15c6-1 of the Securities Exchange Act of 1934, as amended, trades in the secondary market generally are required to settle in two business days, unless the parties to that trade expressly agree otherwise. Accordingly, purchasers who wish to trade notes on any date prior to two business days before delivery will be required to specify an alternate settlement cycle at the time of any such trade to prevent a failed settlement and should consult their own advisors.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6"/>
          <w:szCs w:val="16"/>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29" w:lineRule="exact"/>
        <w:rPr>
          <w:sz w:val="20"/>
          <w:szCs w:val="20"/>
          <w:color w:val="auto"/>
        </w:rPr>
      </w:pPr>
    </w:p>
    <w:p>
      <w:pPr>
        <w:spacing w:after="0" w:line="247" w:lineRule="auto"/>
        <w:rPr>
          <w:sz w:val="20"/>
          <w:szCs w:val="20"/>
          <w:color w:val="auto"/>
        </w:rPr>
      </w:pPr>
      <w:r>
        <w:rPr>
          <w:rFonts w:ascii="Arial" w:cs="Arial" w:eastAsia="Arial" w:hAnsi="Arial"/>
          <w:sz w:val="16"/>
          <w:szCs w:val="16"/>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the accompanying product supplement and the accompanying underlying supplement, as the notes involve risks not associated with conventional debt securities. We urge you to consult your investment, legal, tax, accounting and other advisers before you invest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860"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PS-11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572" w:right="3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6"/>
          <w:szCs w:val="16"/>
          <w:color w:val="404040"/>
        </w:rPr>
        <w:t>You may access these documents on the SEC website at www.sec.gov as follows (or if such address has changed, by reviewing our filings for the relevant date on the SEC website):</w:t>
      </w:r>
    </w:p>
    <w:p>
      <w:pPr>
        <w:ind w:left="320" w:right="4200" w:hanging="314"/>
        <w:spacing w:after="0" w:line="286" w:lineRule="auto"/>
        <w:tabs>
          <w:tab w:leader="none" w:pos="320" w:val="left"/>
        </w:tabs>
        <w:numPr>
          <w:ilvl w:val="0"/>
          <w:numId w:val="13"/>
        </w:numPr>
        <w:rPr>
          <w:rFonts w:ascii="Arial" w:cs="Arial" w:eastAsia="Arial" w:hAnsi="Arial"/>
          <w:sz w:val="15"/>
          <w:szCs w:val="15"/>
          <w:color w:val="0000EE"/>
        </w:rPr>
      </w:pPr>
      <w:r>
        <w:rPr>
          <w:rFonts w:ascii="Arial" w:cs="Arial" w:eastAsia="Arial" w:hAnsi="Arial"/>
          <w:sz w:val="15"/>
          <w:szCs w:val="15"/>
          <w:color w:val="404040"/>
        </w:rPr>
        <w:t xml:space="preserve">Product supplement no. 4-II dated November 4, 2020: </w:t>
      </w:r>
      <w:hyperlink r:id="rId34">
        <w:r>
          <w:rPr>
            <w:rFonts w:ascii="Arial" w:cs="Arial" w:eastAsia="Arial" w:hAnsi="Arial"/>
            <w:sz w:val="15"/>
            <w:szCs w:val="15"/>
            <w:color w:val="0000EE"/>
          </w:rPr>
          <w:t>http://www.sec.gov/Archives/edgar/data/19617/000095010320021467/crt_dp139322-424b2.pdf</w:t>
        </w:r>
      </w:hyperlink>
    </w:p>
    <w:p>
      <w:pPr>
        <w:spacing w:after="0" w:line="45" w:lineRule="exact"/>
        <w:rPr>
          <w:rFonts w:ascii="Arial" w:cs="Arial" w:eastAsia="Arial" w:hAnsi="Arial"/>
          <w:sz w:val="15"/>
          <w:szCs w:val="15"/>
          <w:color w:val="0000EE"/>
        </w:rPr>
      </w:pPr>
    </w:p>
    <w:p>
      <w:pPr>
        <w:ind w:left="320" w:right="4200" w:hanging="314"/>
        <w:spacing w:after="0" w:line="303" w:lineRule="auto"/>
        <w:tabs>
          <w:tab w:leader="none" w:pos="320" w:val="left"/>
        </w:tabs>
        <w:numPr>
          <w:ilvl w:val="0"/>
          <w:numId w:val="13"/>
        </w:numPr>
        <w:rPr>
          <w:rFonts w:ascii="Arial" w:cs="Arial" w:eastAsia="Arial" w:hAnsi="Arial"/>
          <w:sz w:val="15"/>
          <w:szCs w:val="15"/>
          <w:color w:val="0000EE"/>
        </w:rPr>
      </w:pPr>
      <w:r>
        <w:rPr>
          <w:rFonts w:ascii="Arial" w:cs="Arial" w:eastAsia="Arial" w:hAnsi="Arial"/>
          <w:sz w:val="15"/>
          <w:szCs w:val="15"/>
          <w:color w:val="404040"/>
        </w:rPr>
        <w:t xml:space="preserve">Underlying supplement no. 1-II dated November 4, 2020: </w:t>
      </w:r>
      <w:hyperlink r:id="rId35">
        <w:r>
          <w:rPr>
            <w:rFonts w:ascii="Arial" w:cs="Arial" w:eastAsia="Arial" w:hAnsi="Arial"/>
            <w:sz w:val="15"/>
            <w:szCs w:val="15"/>
            <w:color w:val="0000EE"/>
          </w:rPr>
          <w:t>http://www.sec.gov/Archives/edgar/data/19617/000095010320021471/crt_dp139381-424b2.pdf</w:t>
        </w:r>
      </w:hyperlink>
    </w:p>
    <w:p>
      <w:pPr>
        <w:ind w:left="320" w:right="4200" w:hanging="314"/>
        <w:spacing w:after="0" w:line="312" w:lineRule="auto"/>
        <w:tabs>
          <w:tab w:leader="none" w:pos="320" w:val="left"/>
        </w:tabs>
        <w:numPr>
          <w:ilvl w:val="0"/>
          <w:numId w:val="13"/>
        </w:numPr>
        <w:rPr>
          <w:rFonts w:ascii="Arial" w:cs="Arial" w:eastAsia="Arial" w:hAnsi="Arial"/>
          <w:sz w:val="15"/>
          <w:szCs w:val="15"/>
          <w:color w:val="0000EE"/>
        </w:rPr>
      </w:pPr>
      <w:r>
        <w:rPr>
          <w:rFonts w:ascii="Arial" w:cs="Arial" w:eastAsia="Arial" w:hAnsi="Arial"/>
          <w:sz w:val="15"/>
          <w:szCs w:val="15"/>
          <w:color w:val="404040"/>
        </w:rPr>
        <w:t xml:space="preserve">Prospectus supplement and prospectus, each dated April 8, 2020: </w:t>
      </w:r>
      <w:hyperlink r:id="rId36">
        <w:r>
          <w:rPr>
            <w:rFonts w:ascii="Arial" w:cs="Arial" w:eastAsia="Arial" w:hAnsi="Arial"/>
            <w:sz w:val="15"/>
            <w:szCs w:val="15"/>
            <w:color w:val="0000EE"/>
          </w:rPr>
          <w:t>http://www.sec.gov/Archives/edgar/data/19617/000095010320007214/crt_dp124361-424b2.pdf</w:t>
        </w:r>
      </w:hyperlink>
    </w:p>
    <w:p>
      <w:pPr>
        <w:spacing w:after="0" w:line="1" w:lineRule="exact"/>
        <w:rPr>
          <w:rFonts w:ascii="Times New Roman" w:cs="Times New Roman" w:eastAsia="Times New Roman" w:hAnsi="Times New Roman"/>
          <w:sz w:val="15"/>
          <w:szCs w:val="15"/>
          <w:color w:val="404040"/>
        </w:rPr>
      </w:pPr>
    </w:p>
    <w:p>
      <w:pPr>
        <w:ind w:right="80"/>
        <w:spacing w:after="0" w:line="280" w:lineRule="auto"/>
        <w:rPr>
          <w:sz w:val="20"/>
          <w:szCs w:val="20"/>
          <w:color w:val="auto"/>
        </w:rPr>
      </w:pPr>
      <w:r>
        <w:rPr>
          <w:rFonts w:ascii="Arial" w:cs="Arial" w:eastAsia="Arial" w:hAnsi="Arial"/>
          <w:sz w:val="16"/>
          <w:szCs w:val="16"/>
          <w:color w:val="404040"/>
        </w:rPr>
        <w:t>Our Central Index Key, or CIK, on the SEC website is 1665650, and JPMorgan Chase &amp; Co.’s CIK is 19617. As used in this pricing supplement, “we,” “us” and “our” refer to JPMorgan Financial.</w:t>
      </w:r>
    </w:p>
    <w:p>
      <w:pPr>
        <w:spacing w:after="0" w:line="20" w:lineRule="exact"/>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134860" cy="43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60" w:lineRule="exact"/>
        <w:rPr>
          <w:rFonts w:ascii="Times New Roman" w:cs="Times New Roman" w:eastAsia="Times New Roman" w:hAnsi="Times New Roman"/>
          <w:sz w:val="15"/>
          <w:szCs w:val="15"/>
          <w:color w:val="404040"/>
        </w:rPr>
      </w:pPr>
    </w:p>
    <w:p>
      <w:pPr>
        <w:ind w:left="20"/>
        <w:spacing w:after="0"/>
        <w:rPr>
          <w:sz w:val="20"/>
          <w:szCs w:val="20"/>
          <w:color w:val="auto"/>
        </w:rPr>
      </w:pPr>
      <w:r>
        <w:rPr>
          <w:rFonts w:ascii="Arial" w:cs="Arial" w:eastAsia="Arial" w:hAnsi="Arial"/>
          <w:sz w:val="16"/>
          <w:szCs w:val="16"/>
          <w:color w:val="7F7F7F"/>
        </w:rPr>
        <w:t>PS-12 | Structured Investments</w:t>
      </w:r>
    </w:p>
    <w:p>
      <w:pPr>
        <w:spacing w:after="0" w:line="19" w:lineRule="exact"/>
        <w:rPr>
          <w:rFonts w:ascii="Times New Roman" w:cs="Times New Roman" w:eastAsia="Times New Roman" w:hAnsi="Times New Roman"/>
          <w:sz w:val="15"/>
          <w:szCs w:val="15"/>
          <w:color w:val="404040"/>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00"/>
          </w:cols>
          <w:pgMar w:left="320" w:top="572" w:right="37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4E8ABE"/>
        </w:rPr>
        <w:t>Annex 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iShares</w:t>
      </w:r>
      <w:r>
        <w:rPr>
          <w:rFonts w:ascii="Arial" w:cs="Arial" w:eastAsia="Arial" w:hAnsi="Arial"/>
          <w:sz w:val="29"/>
          <w:szCs w:val="29"/>
          <w:b w:val="1"/>
          <w:bCs w:val="1"/>
          <w:color w:val="4E8ABE"/>
          <w:vertAlign w:val="superscript"/>
        </w:rPr>
        <w:t>®</w:t>
      </w:r>
      <w:r>
        <w:rPr>
          <w:rFonts w:ascii="Arial" w:cs="Arial" w:eastAsia="Arial" w:hAnsi="Arial"/>
          <w:sz w:val="18"/>
          <w:szCs w:val="18"/>
          <w:b w:val="1"/>
          <w:bCs w:val="1"/>
          <w:color w:val="4E8ABE"/>
        </w:rPr>
        <w:t xml:space="preserve"> Global Clean Energy ETF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 w:lineRule="exact"/>
        <w:rPr>
          <w:sz w:val="20"/>
          <w:szCs w:val="20"/>
          <w:color w:val="auto"/>
        </w:rPr>
      </w:pPr>
    </w:p>
    <w:p>
      <w:pPr>
        <w:ind w:right="20"/>
        <w:spacing w:after="0" w:line="188" w:lineRule="auto"/>
        <w:rPr>
          <w:sz w:val="20"/>
          <w:szCs w:val="20"/>
          <w:color w:val="auto"/>
        </w:rPr>
      </w:pPr>
      <w:r>
        <w:rPr>
          <w:rFonts w:ascii="Arial" w:cs="Arial" w:eastAsia="Arial" w:hAnsi="Arial"/>
          <w:sz w:val="15"/>
          <w:szCs w:val="15"/>
          <w:color w:val="404040"/>
        </w:rPr>
        <w:t>All information contained in this pricing supplement regarding the iShares</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Clean Energy ETF (the “ICLN Fund”) has been derived from publicly available information, without independent verification. This information reflects the policies of, and is subject to change by iShares</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Trust and BlackRock Fund</w:t>
      </w:r>
    </w:p>
    <w:p>
      <w:pPr>
        <w:ind w:right="140"/>
        <w:spacing w:after="0" w:line="209" w:lineRule="auto"/>
        <w:rPr>
          <w:sz w:val="20"/>
          <w:szCs w:val="20"/>
          <w:color w:val="auto"/>
        </w:rPr>
      </w:pPr>
      <w:r>
        <w:rPr>
          <w:rFonts w:ascii="Arial" w:cs="Arial" w:eastAsia="Arial" w:hAnsi="Arial"/>
          <w:sz w:val="16"/>
          <w:szCs w:val="16"/>
          <w:color w:val="404040"/>
        </w:rPr>
        <w:t>Advisors (“BFA”). The ICLN Fund is an investment portfolio of iShares</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Trust. BFA is currently the investment adviser to the ICLN Fund. The ICLN Fund is an exchange-traded fund that trades on The NASDAQ Stock Market under the ticker symbol “ICLN.”</w:t>
      </w:r>
    </w:p>
    <w:p>
      <w:pPr>
        <w:spacing w:after="0" w:line="39" w:lineRule="exact"/>
        <w:rPr>
          <w:sz w:val="20"/>
          <w:szCs w:val="20"/>
          <w:color w:val="auto"/>
        </w:rPr>
      </w:pPr>
    </w:p>
    <w:p>
      <w:pPr>
        <w:spacing w:after="0" w:line="223" w:lineRule="auto"/>
        <w:rPr>
          <w:sz w:val="20"/>
          <w:szCs w:val="20"/>
          <w:color w:val="auto"/>
        </w:rPr>
      </w:pPr>
      <w:r>
        <w:rPr>
          <w:rFonts w:ascii="Arial" w:cs="Arial" w:eastAsia="Arial" w:hAnsi="Arial"/>
          <w:sz w:val="15"/>
          <w:szCs w:val="15"/>
          <w:color w:val="404040"/>
        </w:rPr>
        <w:t>The ICLN Fund seeks to track the investment results, before fees and expenses, of an index composed of global equities in the clean energy sector, which is currently 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For additional information about the ICLN Fund, see the information set forth under “Fund Descriptions — The</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5"/>
          <w:szCs w:val="15"/>
          <w:color w:val="404040"/>
        </w:rPr>
        <w:t>iShares</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ETFs” in the accompanying underlying supplement. For the purposes of the accompanying underlying supplement, the ICLN Fund is an “iShares</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ETF.”</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The S&amp;P Global Clean Energy Index</w:t>
      </w:r>
      <w:r>
        <w:rPr>
          <w:rFonts w:ascii="Arial" w:cs="Arial" w:eastAsia="Arial" w:hAnsi="Arial"/>
          <w:sz w:val="26"/>
          <w:szCs w:val="26"/>
          <w:b w:val="1"/>
          <w:bCs w:val="1"/>
          <w:color w:val="54301A"/>
          <w:vertAlign w:val="superscript"/>
        </w:rPr>
        <w:t>TM</w:t>
      </w:r>
    </w:p>
    <w:p>
      <w:pPr>
        <w:ind w:right="100"/>
        <w:spacing w:after="0" w:line="214" w:lineRule="auto"/>
        <w:rPr>
          <w:sz w:val="20"/>
          <w:szCs w:val="20"/>
          <w:color w:val="auto"/>
        </w:rPr>
      </w:pPr>
      <w:r>
        <w:rPr>
          <w:rFonts w:ascii="Arial" w:cs="Arial" w:eastAsia="Arial" w:hAnsi="Arial"/>
          <w:sz w:val="15"/>
          <w:szCs w:val="15"/>
          <w:color w:val="404040"/>
        </w:rPr>
        <w:t>All information contained in this pricing supplement regarding 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including, without limitation, its make-up, method of calculation and changes in its components, has been derived from publicly available information, without independent verification. This information reflects the</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15"/>
          <w:szCs w:val="15"/>
          <w:color w:val="404040"/>
        </w:rPr>
        <w:t>policies of, and is subject to change by, S&amp;P Dow Jones Indices LLC (“S&amp;P Dow Jones”). 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xml:space="preserve"> is calculated, maintained and published by S&amp;P Dow Jones. S&amp;P Dow Jones has no obligation to continue to calculate and publish, and may discontinue calculation and publication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404040"/>
        </w:rPr>
        <w:t>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w:t>
      </w:r>
    </w:p>
    <w:p>
      <w:pPr>
        <w:spacing w:after="0" w:line="185" w:lineRule="auto"/>
        <w:rPr>
          <w:sz w:val="20"/>
          <w:szCs w:val="20"/>
          <w:color w:val="auto"/>
        </w:rPr>
      </w:pPr>
      <w:r>
        <w:rPr>
          <w:rFonts w:ascii="Arial" w:cs="Arial" w:eastAsia="Arial" w:hAnsi="Arial"/>
          <w:sz w:val="16"/>
          <w:szCs w:val="16"/>
          <w:color w:val="404040"/>
        </w:rPr>
        <w:t>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is a modified market capitalization-weighted index that is designed to measure the performance of 30 of the largest</w:t>
      </w:r>
    </w:p>
    <w:p>
      <w:pPr>
        <w:spacing w:after="0" w:line="1" w:lineRule="exact"/>
        <w:rPr>
          <w:sz w:val="20"/>
          <w:szCs w:val="20"/>
          <w:color w:val="auto"/>
        </w:rPr>
      </w:pPr>
    </w:p>
    <w:p>
      <w:pPr>
        <w:ind w:right="480"/>
        <w:spacing w:after="0" w:line="204" w:lineRule="auto"/>
        <w:rPr>
          <w:sz w:val="20"/>
          <w:szCs w:val="20"/>
          <w:color w:val="auto"/>
        </w:rPr>
      </w:pPr>
      <w:r>
        <w:rPr>
          <w:rFonts w:ascii="Arial" w:cs="Arial" w:eastAsia="Arial" w:hAnsi="Arial"/>
          <w:sz w:val="16"/>
          <w:szCs w:val="16"/>
          <w:color w:val="404040"/>
        </w:rPr>
        <w:t>companies in global clean energy related businesses from both developed and emerging markets.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is reported by Bloomberg L.P. under the ticker symbol “SPGTCLEN.”</w:t>
      </w:r>
    </w:p>
    <w:p>
      <w:pPr>
        <w:spacing w:after="0" w:line="234" w:lineRule="auto"/>
        <w:rPr>
          <w:sz w:val="20"/>
          <w:szCs w:val="20"/>
          <w:color w:val="auto"/>
        </w:rPr>
      </w:pPr>
      <w:r>
        <w:rPr>
          <w:rFonts w:ascii="Arial" w:cs="Arial" w:eastAsia="Arial" w:hAnsi="Arial"/>
          <w:sz w:val="16"/>
          <w:szCs w:val="16"/>
          <w:b w:val="1"/>
          <w:bCs w:val="1"/>
          <w:color w:val="54301A"/>
        </w:rPr>
        <w:t>The S&amp;P Global Clean Energy Index</w:t>
      </w:r>
      <w:r>
        <w:rPr>
          <w:rFonts w:ascii="Arial" w:cs="Arial" w:eastAsia="Arial" w:hAnsi="Arial"/>
          <w:sz w:val="26"/>
          <w:szCs w:val="26"/>
          <w:b w:val="1"/>
          <w:bCs w:val="1"/>
          <w:color w:val="54301A"/>
          <w:vertAlign w:val="superscript"/>
        </w:rPr>
        <w:t>TM</w:t>
      </w:r>
      <w:r>
        <w:rPr>
          <w:rFonts w:ascii="Arial" w:cs="Arial" w:eastAsia="Arial" w:hAnsi="Arial"/>
          <w:sz w:val="16"/>
          <w:szCs w:val="16"/>
          <w:b w:val="1"/>
          <w:bCs w:val="1"/>
          <w:color w:val="54301A"/>
        </w:rPr>
        <w:t xml:space="preserve"> Eligibility</w:t>
      </w:r>
    </w:p>
    <w:p>
      <w:pPr>
        <w:spacing w:after="0" w:line="226" w:lineRule="auto"/>
        <w:rPr>
          <w:sz w:val="20"/>
          <w:szCs w:val="20"/>
          <w:color w:val="auto"/>
        </w:rPr>
      </w:pPr>
      <w:r>
        <w:rPr>
          <w:rFonts w:ascii="Arial" w:cs="Arial" w:eastAsia="Arial" w:hAnsi="Arial"/>
          <w:sz w:val="15"/>
          <w:szCs w:val="15"/>
          <w:color w:val="404040"/>
        </w:rPr>
        <w:t xml:space="preserve">To be eligible for inclusion in the S&amp;P Global Clean Energy Index </w:t>
      </w:r>
      <w:r>
        <w:rPr>
          <w:rFonts w:ascii="Arial" w:cs="Arial" w:eastAsia="Arial" w:hAnsi="Arial"/>
          <w:sz w:val="25"/>
          <w:szCs w:val="25"/>
          <w:color w:val="404040"/>
          <w:vertAlign w:val="superscript"/>
        </w:rPr>
        <w:t>TM</w:t>
      </w:r>
      <w:r>
        <w:rPr>
          <w:rFonts w:ascii="Arial" w:cs="Arial" w:eastAsia="Arial" w:hAnsi="Arial"/>
          <w:sz w:val="15"/>
          <w:szCs w:val="15"/>
          <w:color w:val="404040"/>
        </w:rPr>
        <w:t>, an eligible stock must have a minimum total market capitalization of US$ 300 million and a minimum float-adjusted market capitalization of US$ 100 million. Eligible stocks must also maintain a 3-month Average Daily Value Traded Liquidity Threshold of US$ 3 million for new constituents and US$ 2 million for current constituents. Eligible stocks must be trading on a developed market exchange and included</w:t>
      </w:r>
    </w:p>
    <w:p>
      <w:pPr>
        <w:spacing w:after="0" w:line="1" w:lineRule="exact"/>
        <w:rPr>
          <w:sz w:val="20"/>
          <w:szCs w:val="20"/>
          <w:color w:val="auto"/>
        </w:rPr>
      </w:pPr>
    </w:p>
    <w:p>
      <w:pPr>
        <w:ind w:right="160"/>
        <w:spacing w:after="0" w:line="180" w:lineRule="auto"/>
        <w:rPr>
          <w:sz w:val="20"/>
          <w:szCs w:val="20"/>
          <w:color w:val="auto"/>
        </w:rPr>
      </w:pPr>
      <w:r>
        <w:rPr>
          <w:rFonts w:ascii="Arial" w:cs="Arial" w:eastAsia="Arial" w:hAnsi="Arial"/>
          <w:sz w:val="16"/>
          <w:szCs w:val="16"/>
          <w:color w:val="404040"/>
        </w:rPr>
        <w:t>in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in order to be considered for inclusion in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For more information about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Index’s constituent selection process, please see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Constituent Selection” below.</w:t>
      </w:r>
    </w:p>
    <w:p>
      <w:pPr>
        <w:spacing w:after="0" w:line="235" w:lineRule="auto"/>
        <w:rPr>
          <w:sz w:val="20"/>
          <w:szCs w:val="20"/>
          <w:color w:val="auto"/>
        </w:rPr>
      </w:pPr>
      <w:r>
        <w:rPr>
          <w:rFonts w:ascii="Arial" w:cs="Arial" w:eastAsia="Arial" w:hAnsi="Arial"/>
          <w:sz w:val="16"/>
          <w:szCs w:val="16"/>
          <w:b w:val="1"/>
          <w:bCs w:val="1"/>
          <w:color w:val="54301A"/>
        </w:rPr>
        <w:t>The S&amp;P</w:t>
      </w:r>
      <w:r>
        <w:rPr>
          <w:rFonts w:ascii="Arial" w:cs="Arial" w:eastAsia="Arial" w:hAnsi="Arial"/>
          <w:sz w:val="26"/>
          <w:szCs w:val="26"/>
          <w:b w:val="1"/>
          <w:bCs w:val="1"/>
          <w:color w:val="54301A"/>
          <w:vertAlign w:val="superscript"/>
        </w:rPr>
        <w:t>®</w:t>
      </w:r>
      <w:r>
        <w:rPr>
          <w:rFonts w:ascii="Arial" w:cs="Arial" w:eastAsia="Arial" w:hAnsi="Arial"/>
          <w:sz w:val="16"/>
          <w:szCs w:val="16"/>
          <w:b w:val="1"/>
          <w:bCs w:val="1"/>
          <w:color w:val="54301A"/>
        </w:rPr>
        <w:t xml:space="preserve"> Global BMI Constituent Selection</w:t>
      </w:r>
    </w:p>
    <w:p>
      <w:pPr>
        <w:spacing w:after="0" w:line="1" w:lineRule="exact"/>
        <w:rPr>
          <w:sz w:val="20"/>
          <w:szCs w:val="20"/>
          <w:color w:val="auto"/>
        </w:rPr>
      </w:pPr>
    </w:p>
    <w:p>
      <w:pPr>
        <w:ind w:right="340"/>
        <w:spacing w:after="0" w:line="188" w:lineRule="auto"/>
        <w:rPr>
          <w:sz w:val="20"/>
          <w:szCs w:val="20"/>
          <w:color w:val="auto"/>
        </w:rPr>
      </w:pPr>
      <w:r>
        <w:rPr>
          <w:rFonts w:ascii="Arial" w:cs="Arial" w:eastAsia="Arial" w:hAnsi="Arial"/>
          <w:sz w:val="15"/>
          <w:szCs w:val="15"/>
          <w:color w:val="404040"/>
        </w:rPr>
        <w:t>The S&amp;P</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BMI Index is designed to measure global stock market performance. Securities issued by companies domiciled in countries classified as developing or emerging markets are eligible for inclusion in The S&amp;P</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BMI Index. The S&amp;P</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BMI covers all publicly listed equities with float-</w:t>
      </w:r>
    </w:p>
    <w:p>
      <w:pPr>
        <w:ind w:right="180"/>
        <w:spacing w:after="0" w:line="209" w:lineRule="auto"/>
        <w:rPr>
          <w:sz w:val="20"/>
          <w:szCs w:val="20"/>
          <w:color w:val="auto"/>
        </w:rPr>
      </w:pPr>
      <w:r>
        <w:rPr>
          <w:rFonts w:ascii="Arial" w:cs="Arial" w:eastAsia="Arial" w:hAnsi="Arial"/>
          <w:sz w:val="16"/>
          <w:szCs w:val="16"/>
          <w:color w:val="404040"/>
        </w:rPr>
        <w:t>adjusted market capitalizations of at least $100 million. At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reconstitution, an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constituent is removed if its float-adjusted market capitalization falls below US$ 75 million.</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404040"/>
        </w:rPr>
        <w:t>At the annual reconstitution, the liquidity of each stock being considered for inclusion is evaluated using two median daily value traded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7134860" cy="43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PS-13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00"/>
          </w:cols>
          <w:pgMar w:left="320" w:top="605" w:right="379" w:bottom="1440" w:gutter="0" w:footer="0" w:header="0"/>
        </w:sectPr>
      </w:pPr>
    </w:p>
    <w:bookmarkStart w:id="14" w:name="page15"/>
    <w:bookmarkEnd w:id="14"/>
    <w:p>
      <w:pPr>
        <w:ind w:left="640" w:hanging="316"/>
        <w:spacing w:after="0" w:line="249" w:lineRule="auto"/>
        <w:tabs>
          <w:tab w:leader="none" w:pos="640" w:val="left"/>
        </w:tabs>
        <w:numPr>
          <w:ilvl w:val="0"/>
          <w:numId w:val="14"/>
        </w:numPr>
        <w:rPr>
          <w:rFonts w:ascii="Arial" w:cs="Arial" w:eastAsia="Arial" w:hAnsi="Arial"/>
          <w:sz w:val="16"/>
          <w:szCs w:val="16"/>
          <w:color w:val="404040"/>
        </w:rPr>
      </w:pPr>
      <w:r>
        <w:rPr>
          <w:rFonts w:ascii="Arial" w:cs="Arial" w:eastAsia="Arial" w:hAnsi="Arial"/>
          <w:sz w:val="16"/>
          <w:szCs w:val="16"/>
          <w:color w:val="404040"/>
        </w:rPr>
        <w:t>Eligible stocks must have a minimum USD 12 month median value traded ratio (MVTR) to be eligible. The ratio is calculated by taking the US$ median daily value traded (MDVT) amount for each of the 12 months preceding the rebalancing reference date, multiplying the monthly amount by the number of days that the stock traded during that month, and then dividing by its end-of-month float-adjusted market capitalization, also calculated in US$. The sum of the 12 monthly values is the MVTR for that stock. If a stock has traded for less than 12 months, the average of the available monthly values is taken and multiplied by 12. Monthly MDVT is defined as the median of the daily value traded for a given company in a given month. The value traded is calculated by multiplying the number of shares traded by each stock’s price.</w:t>
      </w:r>
    </w:p>
    <w:p>
      <w:pPr>
        <w:spacing w:after="0" w:line="33" w:lineRule="exact"/>
        <w:rPr>
          <w:rFonts w:ascii="Arial" w:cs="Arial" w:eastAsia="Arial" w:hAnsi="Arial"/>
          <w:sz w:val="16"/>
          <w:szCs w:val="16"/>
          <w:color w:val="404040"/>
        </w:rPr>
      </w:pPr>
    </w:p>
    <w:p>
      <w:pPr>
        <w:ind w:left="640" w:right="240" w:hanging="316"/>
        <w:spacing w:after="0" w:line="261" w:lineRule="auto"/>
        <w:tabs>
          <w:tab w:leader="none" w:pos="640" w:val="left"/>
        </w:tabs>
        <w:numPr>
          <w:ilvl w:val="0"/>
          <w:numId w:val="14"/>
        </w:numPr>
        <w:rPr>
          <w:rFonts w:ascii="Arial" w:cs="Arial" w:eastAsia="Arial" w:hAnsi="Arial"/>
          <w:sz w:val="16"/>
          <w:szCs w:val="16"/>
          <w:color w:val="404040"/>
        </w:rPr>
      </w:pPr>
      <w:r>
        <w:rPr>
          <w:rFonts w:ascii="Arial" w:cs="Arial" w:eastAsia="Arial" w:hAnsi="Arial"/>
          <w:sz w:val="16"/>
          <w:szCs w:val="16"/>
          <w:color w:val="404040"/>
        </w:rPr>
        <w:t>Eligible stocks must have a minimum USD MDVT over the six months prior to the rebalancing reference date to be eligible. If a stock has traded for less than six months, the MDVT amount for as long as the stock has been trading is used. The requirements vary based on a stock’s country classification, whether emerging or developed. These requirements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194310</wp:posOffset>
            </wp:positionV>
            <wp:extent cx="5915025" cy="849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915025" cy="849630"/>
                    </a:xfrm>
                    <a:prstGeom prst="rect">
                      <a:avLst/>
                    </a:prstGeom>
                    <a:noFill/>
                  </pic:spPr>
                </pic:pic>
              </a:graphicData>
            </a:graphic>
          </wp:anchor>
        </w:drawing>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04040"/>
        </w:rPr>
        <w:t>Liquidity Thresholds for Potential Constituents</w:t>
      </w:r>
    </w:p>
    <w:p>
      <w:pPr>
        <w:spacing w:after="0" w:line="66" w:lineRule="exact"/>
        <w:rPr>
          <w:sz w:val="20"/>
          <w:szCs w:val="20"/>
          <w:color w:val="auto"/>
        </w:rPr>
      </w:pPr>
    </w:p>
    <w:tbl>
      <w:tblPr>
        <w:tblLayout w:type="fixed"/>
        <w:tblInd w:w="980" w:type="dxa"/>
        <w:tblCellMar>
          <w:top w:w="0" w:type="dxa"/>
          <w:left w:w="0" w:type="dxa"/>
          <w:bottom w:w="0" w:type="dxa"/>
          <w:right w:w="0" w:type="dxa"/>
        </w:tblCellMar>
      </w:tblPr>
      <w:tr>
        <w:trPr>
          <w:trHeight w:val="275"/>
        </w:trPr>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404040"/>
                <w:w w:val="98"/>
              </w:rPr>
              <w:t>Region</w:t>
            </w: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404040"/>
                <w:w w:val="99"/>
              </w:rPr>
              <w:t>12-Month MVTR (%)</w:t>
            </w:r>
          </w:p>
        </w:tc>
        <w:tc>
          <w:tcPr>
            <w:tcW w:w="304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404040"/>
              </w:rPr>
              <w:t>6-Month MDVT (US$M)</w:t>
            </w:r>
          </w:p>
        </w:tc>
      </w:tr>
      <w:tr>
        <w:trPr>
          <w:trHeight w:val="56"/>
        </w:trPr>
        <w:tc>
          <w:tcPr>
            <w:tcW w:w="318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55"/>
        </w:trPr>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404040"/>
                <w:w w:val="99"/>
              </w:rPr>
              <w:t>Emerging</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404040"/>
              </w:rPr>
              <w:t>10</w:t>
            </w:r>
          </w:p>
        </w:tc>
        <w:tc>
          <w:tcPr>
            <w:tcW w:w="3040" w:type="dxa"/>
            <w:vAlign w:val="bottom"/>
          </w:tcPr>
          <w:p>
            <w:pPr>
              <w:jc w:val="right"/>
              <w:ind w:right="1341"/>
              <w:spacing w:after="0"/>
              <w:rPr>
                <w:sz w:val="20"/>
                <w:szCs w:val="20"/>
                <w:color w:val="auto"/>
              </w:rPr>
            </w:pPr>
            <w:r>
              <w:rPr>
                <w:rFonts w:ascii="Arial" w:cs="Arial" w:eastAsia="Arial" w:hAnsi="Arial"/>
                <w:sz w:val="16"/>
                <w:szCs w:val="16"/>
                <w:color w:val="404040"/>
              </w:rPr>
              <w:t>0.1</w:t>
            </w:r>
          </w:p>
        </w:tc>
      </w:tr>
      <w:tr>
        <w:trPr>
          <w:trHeight w:val="56"/>
        </w:trPr>
        <w:tc>
          <w:tcPr>
            <w:tcW w:w="318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55"/>
        </w:trPr>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404040"/>
                <w:w w:val="99"/>
              </w:rPr>
              <w:t>Developed</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404040"/>
              </w:rPr>
              <w:t>20</w:t>
            </w:r>
          </w:p>
        </w:tc>
        <w:tc>
          <w:tcPr>
            <w:tcW w:w="3040" w:type="dxa"/>
            <w:vAlign w:val="bottom"/>
          </w:tcPr>
          <w:p>
            <w:pPr>
              <w:jc w:val="right"/>
              <w:ind w:right="1301"/>
              <w:spacing w:after="0"/>
              <w:rPr>
                <w:sz w:val="20"/>
                <w:szCs w:val="20"/>
                <w:color w:val="auto"/>
              </w:rPr>
            </w:pPr>
            <w:r>
              <w:rPr>
                <w:rFonts w:ascii="Arial" w:cs="Arial" w:eastAsia="Arial" w:hAnsi="Arial"/>
                <w:sz w:val="16"/>
                <w:szCs w:val="16"/>
                <w:color w:val="404040"/>
              </w:rPr>
              <w:t>0.25</w:t>
            </w:r>
          </w:p>
        </w:tc>
      </w:tr>
      <w:tr>
        <w:trPr>
          <w:trHeight w:val="56"/>
        </w:trPr>
        <w:tc>
          <w:tcPr>
            <w:tcW w:w="318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404040"/>
        </w:rPr>
        <w:t>At annual reconstitution, current constituents of the S&amp;P</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BMI are removed if either of the liquidity metrics fall below the thresholds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21590</wp:posOffset>
            </wp:positionV>
            <wp:extent cx="5915025" cy="849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915025" cy="849630"/>
                    </a:xfrm>
                    <a:prstGeom prst="rect">
                      <a:avLst/>
                    </a:prstGeom>
                    <a:noFill/>
                  </pic:spPr>
                </pic:pic>
              </a:graphicData>
            </a:graphic>
          </wp:anchor>
        </w:drawing>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04040"/>
        </w:rPr>
        <w:t>Liquidity Thresholds for Current Constituents</w:t>
      </w:r>
    </w:p>
    <w:p>
      <w:pPr>
        <w:spacing w:after="0" w:line="66" w:lineRule="exact"/>
        <w:rPr>
          <w:sz w:val="20"/>
          <w:szCs w:val="20"/>
          <w:color w:val="auto"/>
        </w:rPr>
      </w:pPr>
    </w:p>
    <w:tbl>
      <w:tblPr>
        <w:tblLayout w:type="fixed"/>
        <w:tblInd w:w="980" w:type="dxa"/>
        <w:tblCellMar>
          <w:top w:w="0" w:type="dxa"/>
          <w:left w:w="0" w:type="dxa"/>
          <w:bottom w:w="0" w:type="dxa"/>
          <w:right w:w="0" w:type="dxa"/>
        </w:tblCellMar>
      </w:tblPr>
      <w:tr>
        <w:trPr>
          <w:trHeight w:val="275"/>
        </w:trPr>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404040"/>
                <w:w w:val="98"/>
              </w:rPr>
              <w:t>Region</w:t>
            </w:r>
          </w:p>
        </w:tc>
        <w:tc>
          <w:tcPr>
            <w:tcW w:w="30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6"/>
                <w:szCs w:val="16"/>
                <w:color w:val="404040"/>
              </w:rPr>
              <w:t>12-Month MVTR (%)</w:t>
            </w:r>
          </w:p>
        </w:tc>
        <w:tc>
          <w:tcPr>
            <w:tcW w:w="304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404040"/>
              </w:rPr>
              <w:t>6-Month MDVT (US$M)</w:t>
            </w:r>
          </w:p>
        </w:tc>
      </w:tr>
      <w:tr>
        <w:trPr>
          <w:trHeight w:val="56"/>
        </w:trPr>
        <w:tc>
          <w:tcPr>
            <w:tcW w:w="318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55"/>
        </w:trPr>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404040"/>
                <w:w w:val="99"/>
              </w:rPr>
              <w:t>Emerging</w:t>
            </w:r>
          </w:p>
        </w:tc>
        <w:tc>
          <w:tcPr>
            <w:tcW w:w="3080" w:type="dxa"/>
            <w:vAlign w:val="bottom"/>
            <w:tcBorders>
              <w:right w:val="single" w:sz="8" w:color="auto"/>
            </w:tcBorders>
          </w:tcPr>
          <w:p>
            <w:pPr>
              <w:jc w:val="right"/>
              <w:ind w:right="1441"/>
              <w:spacing w:after="0"/>
              <w:rPr>
                <w:sz w:val="20"/>
                <w:szCs w:val="20"/>
                <w:color w:val="auto"/>
              </w:rPr>
            </w:pPr>
            <w:r>
              <w:rPr>
                <w:rFonts w:ascii="Arial" w:cs="Arial" w:eastAsia="Arial" w:hAnsi="Arial"/>
                <w:sz w:val="16"/>
                <w:szCs w:val="16"/>
                <w:color w:val="404040"/>
              </w:rPr>
              <w:t>7</w:t>
            </w:r>
          </w:p>
        </w:tc>
        <w:tc>
          <w:tcPr>
            <w:tcW w:w="3040" w:type="dxa"/>
            <w:vAlign w:val="bottom"/>
          </w:tcPr>
          <w:p>
            <w:pPr>
              <w:jc w:val="right"/>
              <w:ind w:right="1301"/>
              <w:spacing w:after="0"/>
              <w:rPr>
                <w:sz w:val="20"/>
                <w:szCs w:val="20"/>
                <w:color w:val="auto"/>
              </w:rPr>
            </w:pPr>
            <w:r>
              <w:rPr>
                <w:rFonts w:ascii="Arial" w:cs="Arial" w:eastAsia="Arial" w:hAnsi="Arial"/>
                <w:sz w:val="16"/>
                <w:szCs w:val="16"/>
                <w:color w:val="404040"/>
              </w:rPr>
              <w:t>0.07</w:t>
            </w:r>
          </w:p>
        </w:tc>
      </w:tr>
      <w:tr>
        <w:trPr>
          <w:trHeight w:val="56"/>
        </w:trPr>
        <w:tc>
          <w:tcPr>
            <w:tcW w:w="318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55"/>
        </w:trPr>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404040"/>
                <w:w w:val="99"/>
              </w:rPr>
              <w:t>Developed</w:t>
            </w:r>
          </w:p>
        </w:tc>
        <w:tc>
          <w:tcPr>
            <w:tcW w:w="3080" w:type="dxa"/>
            <w:vAlign w:val="bottom"/>
            <w:tcBorders>
              <w:right w:val="single" w:sz="8" w:color="auto"/>
            </w:tcBorders>
          </w:tcPr>
          <w:p>
            <w:pPr>
              <w:jc w:val="right"/>
              <w:ind w:right="1401"/>
              <w:spacing w:after="0"/>
              <w:rPr>
                <w:sz w:val="20"/>
                <w:szCs w:val="20"/>
                <w:color w:val="auto"/>
              </w:rPr>
            </w:pPr>
            <w:r>
              <w:rPr>
                <w:rFonts w:ascii="Arial" w:cs="Arial" w:eastAsia="Arial" w:hAnsi="Arial"/>
                <w:sz w:val="16"/>
                <w:szCs w:val="16"/>
                <w:color w:val="404040"/>
              </w:rPr>
              <w:t>14</w:t>
            </w:r>
          </w:p>
        </w:tc>
        <w:tc>
          <w:tcPr>
            <w:tcW w:w="3040" w:type="dxa"/>
            <w:vAlign w:val="bottom"/>
          </w:tcPr>
          <w:p>
            <w:pPr>
              <w:jc w:val="right"/>
              <w:ind w:right="1261"/>
              <w:spacing w:after="0"/>
              <w:rPr>
                <w:sz w:val="20"/>
                <w:szCs w:val="20"/>
                <w:color w:val="auto"/>
              </w:rPr>
            </w:pPr>
            <w:r>
              <w:rPr>
                <w:rFonts w:ascii="Arial" w:cs="Arial" w:eastAsia="Arial" w:hAnsi="Arial"/>
                <w:sz w:val="16"/>
                <w:szCs w:val="16"/>
                <w:color w:val="404040"/>
              </w:rPr>
              <w:t>0.175</w:t>
            </w:r>
          </w:p>
        </w:tc>
      </w:tr>
      <w:tr>
        <w:trPr>
          <w:trHeight w:val="56"/>
        </w:trPr>
        <w:tc>
          <w:tcPr>
            <w:tcW w:w="318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bl>
    <w:p>
      <w:pPr>
        <w:spacing w:after="0" w:line="50" w:lineRule="exact"/>
        <w:rPr>
          <w:sz w:val="20"/>
          <w:szCs w:val="20"/>
          <w:color w:val="auto"/>
        </w:rPr>
      </w:pPr>
    </w:p>
    <w:p>
      <w:pPr>
        <w:ind w:right="100"/>
        <w:spacing w:after="0" w:line="214" w:lineRule="auto"/>
        <w:rPr>
          <w:sz w:val="20"/>
          <w:szCs w:val="20"/>
          <w:color w:val="auto"/>
        </w:rPr>
      </w:pPr>
      <w:r>
        <w:rPr>
          <w:rFonts w:ascii="Arial" w:cs="Arial" w:eastAsia="Arial" w:hAnsi="Arial"/>
          <w:sz w:val="16"/>
          <w:szCs w:val="16"/>
          <w:color w:val="404040"/>
        </w:rPr>
        <w:t>All investable primary market share classes are included in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All publicly listed multiple share class lines are eligible for inclusion in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subject to meeting the eligibility criteria and foreign investors may hold shares in the class.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404040"/>
        </w:rPr>
        <w:t>If the practical available limit for an existing constituent (as defined by the known shares actually available to foreign investors) falls below 5%, then it will be</w:t>
      </w:r>
    </w:p>
    <w:p>
      <w:pPr>
        <w:ind w:right="20"/>
        <w:spacing w:after="0" w:line="209" w:lineRule="auto"/>
        <w:rPr>
          <w:sz w:val="20"/>
          <w:szCs w:val="20"/>
          <w:color w:val="auto"/>
        </w:rPr>
      </w:pPr>
      <w:r>
        <w:rPr>
          <w:rFonts w:ascii="Arial" w:cs="Arial" w:eastAsia="Arial" w:hAnsi="Arial"/>
          <w:sz w:val="16"/>
          <w:szCs w:val="16"/>
          <w:color w:val="404040"/>
        </w:rPr>
        <w:t>removed from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at the next quarterly rebalancing. A stock can be added only if the practical available limit is 10% or more. All stocks are reviewed for this at each quarterly rebalancing.</w:t>
      </w:r>
    </w:p>
    <w:p>
      <w:pPr>
        <w:spacing w:after="0" w:line="54"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404040"/>
        </w:rPr>
        <w:t>Initial Public Offerings (IPOs), as well as new listings on eligible exchanges and issues that emerged from bankruptcy status can be added to the S&amp;P</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BMI on a quarterly basis. The criteria for inclusion are the same as that used at the annual reconstitution. In addition, the stock must have a trading history of at least three months as of the reference date. The reference date for quarterly inclusions is five weeks prior to the effective rebalancing date, and additions are effective at the open of Monday following the third Friday of March, June, September, and December. Market cap and liquidity are evaluated as of the reference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404040"/>
        </w:rPr>
        <w:t>date. Since the stocks will have traded less than a full year, the trading value data that is available is annualized to determine S&amp;P</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Global BMI Index eligibility.</w:t>
      </w:r>
    </w:p>
    <w:p>
      <w:pPr>
        <w:spacing w:after="0" w:line="226" w:lineRule="auto"/>
        <w:rPr>
          <w:sz w:val="20"/>
          <w:szCs w:val="20"/>
          <w:color w:val="auto"/>
        </w:rPr>
      </w:pPr>
      <w:r>
        <w:rPr>
          <w:rFonts w:ascii="Arial" w:cs="Arial" w:eastAsia="Arial" w:hAnsi="Arial"/>
          <w:sz w:val="16"/>
          <w:szCs w:val="16"/>
          <w:color w:val="404040"/>
        </w:rPr>
        <w:t>Certain large IPOs are eligible for fast track entry to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subject to the following conditions:</w:t>
      </w:r>
    </w:p>
    <w:p>
      <w:pPr>
        <w:spacing w:after="0" w:line="1" w:lineRule="exact"/>
        <w:rPr>
          <w:sz w:val="20"/>
          <w:szCs w:val="20"/>
          <w:color w:val="auto"/>
        </w:rPr>
      </w:pPr>
    </w:p>
    <w:p>
      <w:pPr>
        <w:ind w:left="640" w:right="400" w:hanging="316"/>
        <w:spacing w:after="0" w:line="274" w:lineRule="auto"/>
        <w:tabs>
          <w:tab w:leader="none" w:pos="640" w:val="left"/>
        </w:tabs>
        <w:numPr>
          <w:ilvl w:val="0"/>
          <w:numId w:val="15"/>
        </w:numPr>
        <w:rPr>
          <w:rFonts w:ascii="Times New Roman" w:cs="Times New Roman" w:eastAsia="Times New Roman" w:hAnsi="Times New Roman"/>
          <w:sz w:val="16"/>
          <w:szCs w:val="16"/>
          <w:color w:val="404040"/>
        </w:rPr>
      </w:pPr>
      <w:r>
        <w:rPr>
          <w:rFonts w:ascii="Arial" w:cs="Arial" w:eastAsia="Arial" w:hAnsi="Arial"/>
          <w:sz w:val="16"/>
          <w:szCs w:val="16"/>
          <w:color w:val="404040"/>
        </w:rPr>
        <w:t>Only newly public IPOs and direct placement listings will be considered eligible for fast track entry. Formerly bankrupt companies that switch from Over-the-Counter Exchange (“OTC”) or a non-covered exchange to an S&amp;P Dow Jones covered exchange are ineligible.</w:t>
      </w:r>
    </w:p>
    <w:p>
      <w:pPr>
        <w:spacing w:after="0" w:line="25" w:lineRule="exact"/>
        <w:rPr>
          <w:rFonts w:ascii="Times New Roman" w:cs="Times New Roman" w:eastAsia="Times New Roman" w:hAnsi="Times New Roman"/>
          <w:sz w:val="16"/>
          <w:szCs w:val="16"/>
          <w:color w:val="404040"/>
        </w:rPr>
      </w:pPr>
    </w:p>
    <w:p>
      <w:pPr>
        <w:ind w:left="640" w:right="20" w:hanging="316"/>
        <w:spacing w:after="0" w:line="260" w:lineRule="auto"/>
        <w:tabs>
          <w:tab w:leader="none" w:pos="640" w:val="left"/>
        </w:tabs>
        <w:numPr>
          <w:ilvl w:val="0"/>
          <w:numId w:val="15"/>
        </w:numPr>
        <w:rPr>
          <w:rFonts w:ascii="Times New Roman" w:cs="Times New Roman" w:eastAsia="Times New Roman" w:hAnsi="Times New Roman"/>
          <w:sz w:val="16"/>
          <w:szCs w:val="16"/>
          <w:color w:val="404040"/>
        </w:rPr>
      </w:pPr>
      <w:r>
        <w:rPr>
          <w:rFonts w:ascii="Arial" w:cs="Arial" w:eastAsia="Arial" w:hAnsi="Arial"/>
          <w:sz w:val="16"/>
          <w:szCs w:val="16"/>
          <w:color w:val="404040"/>
        </w:rPr>
        <w:t>Fast track IPO additions must meet a minimum float-adjusted market capitalization (“FMC”) threshold of US$ 2 billion, calculated using the shares offered (excluding over-allotment options) and the closing price on the first day of trading on an eligible exchange. The threshold level is reviewed from time to time and updated as needed to assure consistency with market conditions.</w:t>
      </w:r>
    </w:p>
    <w:p>
      <w:pPr>
        <w:spacing w:after="0" w:line="25" w:lineRule="exact"/>
        <w:rPr>
          <w:rFonts w:ascii="Times New Roman" w:cs="Times New Roman" w:eastAsia="Times New Roman" w:hAnsi="Times New Roman"/>
          <w:sz w:val="16"/>
          <w:szCs w:val="16"/>
          <w:color w:val="404040"/>
        </w:rPr>
      </w:pPr>
    </w:p>
    <w:p>
      <w:pPr>
        <w:ind w:left="640" w:right="20" w:hanging="316"/>
        <w:spacing w:after="0" w:line="196" w:lineRule="auto"/>
        <w:tabs>
          <w:tab w:leader="none" w:pos="640" w:val="left"/>
        </w:tabs>
        <w:numPr>
          <w:ilvl w:val="0"/>
          <w:numId w:val="15"/>
        </w:numPr>
        <w:rPr>
          <w:rFonts w:ascii="Times New Roman" w:cs="Times New Roman" w:eastAsia="Times New Roman" w:hAnsi="Times New Roman"/>
          <w:sz w:val="32"/>
          <w:szCs w:val="32"/>
          <w:color w:val="404040"/>
          <w:vertAlign w:val="superscript"/>
        </w:rPr>
      </w:pPr>
      <w:r>
        <w:rPr>
          <w:rFonts w:ascii="Arial" w:cs="Arial" w:eastAsia="Arial" w:hAnsi="Arial"/>
          <w:sz w:val="16"/>
          <w:szCs w:val="16"/>
          <w:color w:val="404040"/>
        </w:rPr>
        <w:t>In addition, the IPO will need to meet all other applicable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eligibility rules except for the liquidity requirement. If all necessary public information is available, S&amp;P Dow Jones verifies that the fast track conditions have been met. Once S&amp;P Dow Jones announces that the IPO is eligible for fast track addition, it is added to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with five business days lead time. Fast track IPO additions eligible to be added during a quarterly rebalancing freeze period will be added on the rebalancing effective date.</w:t>
      </w:r>
    </w:p>
    <w:p>
      <w:pPr>
        <w:spacing w:after="0" w:line="43" w:lineRule="exact"/>
        <w:rPr>
          <w:sz w:val="20"/>
          <w:szCs w:val="20"/>
          <w:color w:val="auto"/>
        </w:rPr>
      </w:pPr>
    </w:p>
    <w:p>
      <w:pPr>
        <w:ind w:right="560"/>
        <w:spacing w:after="0" w:line="217" w:lineRule="auto"/>
        <w:rPr>
          <w:sz w:val="20"/>
          <w:szCs w:val="20"/>
          <w:color w:val="auto"/>
        </w:rPr>
      </w:pPr>
      <w:r>
        <w:rPr>
          <w:rFonts w:ascii="Arial" w:cs="Arial" w:eastAsia="Arial" w:hAnsi="Arial"/>
          <w:sz w:val="16"/>
          <w:szCs w:val="16"/>
          <w:color w:val="404040"/>
        </w:rPr>
        <w:t>Between rebalancings, a company can be deleted from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due to corporate events such as mergers, acquisitions, delistings or bankruptcies. Companies that fall below US$ 25 million float-adjusted market capitalization are removed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7134860" cy="43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PS-14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572"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404040"/>
        </w:rPr>
        <w:t>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Evaluations are made quarterly using data from the reference date which is five weeks prior to the effect rebalancing date.</w:t>
      </w:r>
    </w:p>
    <w:p>
      <w:pPr>
        <w:spacing w:after="0"/>
        <w:rPr>
          <w:sz w:val="20"/>
          <w:szCs w:val="20"/>
          <w:color w:val="auto"/>
        </w:rPr>
      </w:pPr>
      <w:r>
        <w:rPr>
          <w:rFonts w:ascii="Arial" w:cs="Arial" w:eastAsia="Arial" w:hAnsi="Arial"/>
          <w:sz w:val="16"/>
          <w:szCs w:val="16"/>
          <w:color w:val="404040"/>
        </w:rPr>
        <w:t>Deletions are effective at the open of Monday following the third Friday in March, June, September and December.</w:t>
      </w:r>
    </w:p>
    <w:p>
      <w:pPr>
        <w:spacing w:after="0" w:line="233" w:lineRule="auto"/>
        <w:rPr>
          <w:sz w:val="20"/>
          <w:szCs w:val="20"/>
          <w:color w:val="auto"/>
        </w:rPr>
      </w:pPr>
      <w:r>
        <w:rPr>
          <w:rFonts w:ascii="Arial" w:cs="Arial" w:eastAsia="Arial" w:hAnsi="Arial"/>
          <w:sz w:val="16"/>
          <w:szCs w:val="16"/>
          <w:color w:val="404040"/>
        </w:rPr>
        <w:t>A company is deleted from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if it is involved in a merger, acquisition or significant restructuring such that it no longer meets the</w:t>
      </w:r>
    </w:p>
    <w:p>
      <w:pPr>
        <w:jc w:val="both"/>
        <w:ind w:right="240"/>
        <w:spacing w:after="0" w:line="218" w:lineRule="auto"/>
        <w:rPr>
          <w:sz w:val="20"/>
          <w:szCs w:val="20"/>
          <w:color w:val="auto"/>
        </w:rPr>
      </w:pPr>
      <w:r>
        <w:rPr>
          <w:rFonts w:ascii="Arial" w:cs="Arial" w:eastAsia="Arial" w:hAnsi="Arial"/>
          <w:sz w:val="16"/>
          <w:szCs w:val="16"/>
          <w:color w:val="404040"/>
        </w:rPr>
        <w:t>eligibility criteria. If a company’s shares are no longer available or are no longer trading, the company is deleted from the S&amp;P</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Global BMI Index as soon as reasonably possible providing that five days’ notice is given. In the event the information of delisting, bankruptcy or ineligible status becomes public after the fact, the stock may be removed with a one-day notice period.</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The S&amp;P Global Clean Energy Index</w:t>
      </w:r>
      <w:r>
        <w:rPr>
          <w:rFonts w:ascii="Arial" w:cs="Arial" w:eastAsia="Arial" w:hAnsi="Arial"/>
          <w:sz w:val="26"/>
          <w:szCs w:val="26"/>
          <w:b w:val="1"/>
          <w:bCs w:val="1"/>
          <w:color w:val="54301A"/>
          <w:vertAlign w:val="superscript"/>
        </w:rPr>
        <w:t>TM</w:t>
      </w:r>
      <w:r>
        <w:rPr>
          <w:rFonts w:ascii="Arial" w:cs="Arial" w:eastAsia="Arial" w:hAnsi="Arial"/>
          <w:sz w:val="16"/>
          <w:szCs w:val="16"/>
          <w:b w:val="1"/>
          <w:bCs w:val="1"/>
          <w:color w:val="54301A"/>
        </w:rPr>
        <w:t xml:space="preserve"> Construction</w:t>
      </w:r>
    </w:p>
    <w:p>
      <w:pPr>
        <w:spacing w:after="0" w:line="1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404040"/>
        </w:rPr>
        <w:t>Stocks that meet the eligibility criteria are reviewed from specific practices related to clean energy in their business description. The universe of companies that may be considered eligible for potential index inclusion is determined by S&amp;P Dow Jones based on factors such as a company’s business description and its most recent reported revenue by segment. Companies are identified as being in the clean energy business for their involvement in the production of Clean Energy or provision of Clean Energy Technology &amp; Equipment, including but not limited to: Biofuel &amp; Biomass Energy Production, Biofuel &amp; Biomass Technology &amp; Equipment, Ethanol &amp; Fuel Alcohol Production, Fuel Cells Technology &amp; Equipment, Geothermal Energy Production, Hydro Electricity Production, Hydro-Electric Turbines &amp; Other Equipment, Photo Voltaic Cells &amp; Equipment, Solar Energy Production, Wind Energy Production, and Wind Turbines &amp; Other Wind Energy Equipment.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404040"/>
        </w:rPr>
        <w:t>After determining the eligible universe,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components are selected as follows:</w:t>
      </w:r>
    </w:p>
    <w:p>
      <w:pPr>
        <w:spacing w:after="0" w:line="2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6"/>
          <w:szCs w:val="16"/>
          <w:color w:val="404040"/>
        </w:rPr>
      </w:pPr>
      <w:r>
        <w:rPr>
          <w:rFonts w:ascii="Arial" w:cs="Arial" w:eastAsia="Arial" w:hAnsi="Arial"/>
          <w:sz w:val="16"/>
          <w:szCs w:val="16"/>
          <w:color w:val="404040"/>
        </w:rPr>
        <w:t>S&amp;P Dow Jones defines exposure scores for each company based on its primary business (see the following table).</w:t>
      </w:r>
    </w:p>
    <w:p>
      <w:pPr>
        <w:spacing w:after="0" w:line="47" w:lineRule="exact"/>
        <w:rPr>
          <w:rFonts w:ascii="Arial" w:cs="Arial" w:eastAsia="Arial" w:hAnsi="Arial"/>
          <w:sz w:val="16"/>
          <w:szCs w:val="16"/>
          <w:color w:val="404040"/>
        </w:rPr>
      </w:pPr>
    </w:p>
    <w:p>
      <w:pPr>
        <w:ind w:left="640" w:hanging="316"/>
        <w:spacing w:after="0"/>
        <w:tabs>
          <w:tab w:leader="none" w:pos="640" w:val="left"/>
        </w:tabs>
        <w:numPr>
          <w:ilvl w:val="0"/>
          <w:numId w:val="16"/>
        </w:numPr>
        <w:rPr>
          <w:rFonts w:ascii="Arial" w:cs="Arial" w:eastAsia="Arial" w:hAnsi="Arial"/>
          <w:sz w:val="16"/>
          <w:szCs w:val="16"/>
          <w:color w:val="404040"/>
        </w:rPr>
      </w:pPr>
      <w:r>
        <w:rPr>
          <w:rFonts w:ascii="Arial" w:cs="Arial" w:eastAsia="Arial" w:hAnsi="Arial"/>
          <w:sz w:val="16"/>
          <w:szCs w:val="16"/>
          <w:color w:val="404040"/>
        </w:rPr>
        <w:t>The 30 largest companies, as ranked by float-adjusted market capitalization, with exposure scores of 1 from the eligible universe are selected.</w:t>
      </w:r>
    </w:p>
    <w:p>
      <w:pPr>
        <w:spacing w:after="0" w:line="67" w:lineRule="exact"/>
        <w:rPr>
          <w:rFonts w:ascii="Arial" w:cs="Arial" w:eastAsia="Arial" w:hAnsi="Arial"/>
          <w:sz w:val="16"/>
          <w:szCs w:val="16"/>
          <w:color w:val="404040"/>
        </w:rPr>
      </w:pPr>
    </w:p>
    <w:p>
      <w:pPr>
        <w:ind w:left="640" w:right="200" w:hanging="316"/>
        <w:spacing w:after="0" w:line="280" w:lineRule="auto"/>
        <w:tabs>
          <w:tab w:leader="none" w:pos="640" w:val="left"/>
        </w:tabs>
        <w:numPr>
          <w:ilvl w:val="0"/>
          <w:numId w:val="16"/>
        </w:numPr>
        <w:rPr>
          <w:rFonts w:ascii="Arial" w:cs="Arial" w:eastAsia="Arial" w:hAnsi="Arial"/>
          <w:sz w:val="16"/>
          <w:szCs w:val="16"/>
          <w:color w:val="404040"/>
        </w:rPr>
      </w:pPr>
      <w:r>
        <w:rPr>
          <w:rFonts w:ascii="Arial" w:cs="Arial" w:eastAsia="Arial" w:hAnsi="Arial"/>
          <w:sz w:val="16"/>
          <w:szCs w:val="16"/>
          <w:color w:val="404040"/>
        </w:rPr>
        <w:t>In the event of fewer than 30 qualifying stocks with an exposure score of 1, the largest companies, as ranked by float-adjusted market capitalization, from within the eligible universe with an exposure score of 0.5 are selected until the count reaches 30.</w:t>
      </w:r>
    </w:p>
    <w:p>
      <w:pPr>
        <w:spacing w:after="0" w:line="21" w:lineRule="exact"/>
        <w:rPr>
          <w:rFonts w:ascii="Arial" w:cs="Arial" w:eastAsia="Arial" w:hAnsi="Arial"/>
          <w:sz w:val="16"/>
          <w:szCs w:val="16"/>
          <w:color w:val="404040"/>
        </w:rPr>
      </w:pPr>
    </w:p>
    <w:p>
      <w:pPr>
        <w:ind w:left="640" w:right="120" w:hanging="316"/>
        <w:spacing w:after="0" w:line="207" w:lineRule="auto"/>
        <w:tabs>
          <w:tab w:leader="none" w:pos="640" w:val="left"/>
        </w:tabs>
        <w:numPr>
          <w:ilvl w:val="0"/>
          <w:numId w:val="16"/>
        </w:numPr>
        <w:rPr>
          <w:rFonts w:ascii="Arial" w:cs="Arial" w:eastAsia="Arial" w:hAnsi="Arial"/>
          <w:sz w:val="16"/>
          <w:szCs w:val="16"/>
          <w:color w:val="404040"/>
        </w:rPr>
      </w:pPr>
      <w:r>
        <w:rPr>
          <w:rFonts w:ascii="Arial" w:cs="Arial" w:eastAsia="Arial" w:hAnsi="Arial"/>
          <w:sz w:val="16"/>
          <w:szCs w:val="16"/>
          <w:color w:val="404040"/>
        </w:rPr>
        <w:t>From the 30 companies selected in the prior steps, those with an S&amp;P Trucost Limited (“Trucost”) carbon-to-revenue footprint standard score greater than three are excluded from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inclusion and replaced with the next highest ranked stock in order to satisfy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’s target constituent count of 30. Replacement stocks must have a carbon-to-revenue footprint lower than those being replaced to qualify for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inclusion. Companies without Trucost coverage are eligible for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inclusion. The carbon-to-revenue footprint standard score is calculated by subtracting the mean carbon-to-revenue footprint of the 30 selections as of the rebalancing reference date from each selection’s carbon-to-revenue footprint and then dividing the difference by the standard deviation. The top and bottom five percent are excluded from the mean and standard deviation calculations. Companies without a Trucost carbon-to revenue footprint are excluded from the carbon-to-revenue footprint standard score calculation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156845</wp:posOffset>
            </wp:positionV>
            <wp:extent cx="6276340" cy="841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276340" cy="841375"/>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404040"/>
        </w:rPr>
        <w:t>Exposure Scores</w:t>
      </w:r>
    </w:p>
    <w:p>
      <w:pPr>
        <w:sectPr>
          <w:pgSz w:w="11900" w:h="16838" w:orient="portrait"/>
          <w:cols w:equalWidth="0" w:num="1">
            <w:col w:w="11240"/>
          </w:cols>
          <w:pgMar w:left="320" w:top="518" w:right="339" w:bottom="1440" w:gutter="0" w:footer="0" w:header="0"/>
        </w:sectPr>
      </w:pP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4"/>
          <w:szCs w:val="14"/>
          <w:color w:val="404040"/>
        </w:rPr>
        <w:t>0</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2920"/>
        <w:spacing w:after="0"/>
        <w:rPr>
          <w:sz w:val="20"/>
          <w:szCs w:val="20"/>
          <w:color w:val="auto"/>
        </w:rPr>
      </w:pPr>
      <w:r>
        <w:rPr>
          <w:rFonts w:ascii="Arial" w:cs="Arial" w:eastAsia="Arial" w:hAnsi="Arial"/>
          <w:sz w:val="15"/>
          <w:szCs w:val="15"/>
          <w:color w:val="404040"/>
        </w:rPr>
        <w:t>0.5</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404040"/>
        </w:rPr>
        <w:t>1</w:t>
      </w:r>
    </w:p>
    <w:p>
      <w:pPr>
        <w:spacing w:after="0" w:line="211" w:lineRule="exact"/>
        <w:rPr>
          <w:sz w:val="20"/>
          <w:szCs w:val="20"/>
          <w:color w:val="auto"/>
        </w:rPr>
      </w:pPr>
    </w:p>
    <w:p>
      <w:pPr>
        <w:sectPr>
          <w:pgSz w:w="11900" w:h="16838" w:orient="portrait"/>
          <w:cols w:equalWidth="0" w:num="3">
            <w:col w:w="4440" w:space="720"/>
            <w:col w:w="3140" w:space="720"/>
            <w:col w:w="2220"/>
          </w:cols>
          <w:pgMar w:left="320" w:top="518" w:right="339" w:bottom="1440" w:gutter="0" w:footer="0" w:header="0"/>
          <w:type w:val="continuous"/>
        </w:sectPr>
      </w:pPr>
    </w:p>
    <w:p>
      <w:pPr>
        <w:spacing w:after="0" w:line="65" w:lineRule="exact"/>
        <w:rPr>
          <w:sz w:val="20"/>
          <w:szCs w:val="20"/>
          <w:color w:val="auto"/>
        </w:rPr>
      </w:pPr>
    </w:p>
    <w:p>
      <w:pPr>
        <w:ind w:left="960"/>
        <w:spacing w:after="0"/>
        <w:rPr>
          <w:sz w:val="20"/>
          <w:szCs w:val="20"/>
          <w:color w:val="auto"/>
        </w:rPr>
      </w:pPr>
      <w:r>
        <w:rPr>
          <w:rFonts w:ascii="Arial" w:cs="Arial" w:eastAsia="Arial" w:hAnsi="Arial"/>
          <w:sz w:val="15"/>
          <w:szCs w:val="15"/>
          <w:color w:val="404040"/>
        </w:rPr>
        <w:t>Eliminated, no exposure.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404040"/>
        </w:rPr>
        <w:t>Multi-industry with significant clean energy exposure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404040"/>
        </w:rPr>
        <w:t>Primary business is clean energy</w:t>
      </w:r>
    </w:p>
    <w:p>
      <w:pPr>
        <w:spacing w:after="0" w:line="200" w:lineRule="exact"/>
        <w:rPr>
          <w:sz w:val="20"/>
          <w:szCs w:val="20"/>
          <w:color w:val="auto"/>
        </w:rPr>
      </w:pPr>
    </w:p>
    <w:p>
      <w:pPr>
        <w:sectPr>
          <w:pgSz w:w="11900" w:h="16838" w:orient="portrait"/>
          <w:cols w:equalWidth="0" w:num="3">
            <w:col w:w="2720" w:space="720"/>
            <w:col w:w="3720" w:space="720"/>
            <w:col w:w="3360"/>
          </w:cols>
          <w:pgMar w:left="320" w:top="518" w:right="339" w:bottom="1440" w:gutter="0" w:footer="0" w:header="0"/>
          <w:type w:val="continuous"/>
        </w:sectPr>
      </w:pPr>
    </w:p>
    <w:p>
      <w:pPr>
        <w:spacing w:after="0" w:line="330" w:lineRule="exact"/>
        <w:rPr>
          <w:sz w:val="20"/>
          <w:szCs w:val="20"/>
          <w:color w:val="auto"/>
        </w:rPr>
      </w:pPr>
    </w:p>
    <w:p>
      <w:pPr>
        <w:ind w:right="100"/>
        <w:spacing w:after="0" w:line="224" w:lineRule="auto"/>
        <w:rPr>
          <w:sz w:val="20"/>
          <w:szCs w:val="20"/>
          <w:color w:val="auto"/>
        </w:rPr>
      </w:pPr>
      <w:r>
        <w:rPr>
          <w:rFonts w:ascii="Arial" w:cs="Arial" w:eastAsia="Arial" w:hAnsi="Arial"/>
          <w:sz w:val="16"/>
          <w:szCs w:val="16"/>
          <w:color w:val="404040"/>
        </w:rPr>
        <w:t>The carbon-to-revenue footprint data used in the methodology is calculated by Trucost, and is defined as the company’s annual greenhouse gas (“GHG”) emissions (direct and first tier indirect), expressed as metric tons of carbon dioxide equivalent (tCO</w:t>
      </w:r>
      <w:r>
        <w:rPr>
          <w:rFonts w:ascii="Arial" w:cs="Arial" w:eastAsia="Arial" w:hAnsi="Arial"/>
          <w:sz w:val="26"/>
          <w:szCs w:val="26"/>
          <w:color w:val="404040"/>
          <w:vertAlign w:val="subscript"/>
        </w:rPr>
        <w:t>2</w:t>
      </w:r>
      <w:r>
        <w:rPr>
          <w:rFonts w:ascii="Arial" w:cs="Arial" w:eastAsia="Arial" w:hAnsi="Arial"/>
          <w:sz w:val="16"/>
          <w:szCs w:val="16"/>
          <w:color w:val="404040"/>
        </w:rPr>
        <w:t>e) emissions, divided by annual revenues for the corresponding year, expressed in millions of US dollars. Trucost’s annual research process evaluates environmental performance of a given company with one output of this process being its annual GHG emissions profile.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404040"/>
        </w:rPr>
        <w:t>Trucost Environmental Register Research Process</w:t>
      </w:r>
    </w:p>
    <w:p>
      <w:pPr>
        <w:spacing w:after="0" w:line="66" w:lineRule="exact"/>
        <w:rPr>
          <w:sz w:val="20"/>
          <w:szCs w:val="20"/>
          <w:color w:val="auto"/>
        </w:rPr>
      </w:pPr>
    </w:p>
    <w:p>
      <w:pPr>
        <w:ind w:left="400" w:right="100" w:hanging="315"/>
        <w:spacing w:after="0" w:line="283" w:lineRule="auto"/>
        <w:tabs>
          <w:tab w:leader="none" w:pos="400" w:val="left"/>
        </w:tabs>
        <w:numPr>
          <w:ilvl w:val="0"/>
          <w:numId w:val="17"/>
        </w:numPr>
        <w:rPr>
          <w:rFonts w:ascii="Arial" w:cs="Arial" w:eastAsia="Arial" w:hAnsi="Arial"/>
          <w:sz w:val="17"/>
          <w:szCs w:val="17"/>
          <w:color w:val="404040"/>
        </w:rPr>
      </w:pPr>
      <w:r>
        <w:rPr>
          <w:rFonts w:ascii="Arial" w:cs="Arial" w:eastAsia="Arial" w:hAnsi="Arial"/>
          <w:sz w:val="15"/>
          <w:szCs w:val="15"/>
          <w:i w:val="1"/>
          <w:iCs w:val="1"/>
          <w:color w:val="404040"/>
        </w:rPr>
        <w:t xml:space="preserve">Map company business segments. </w:t>
      </w:r>
      <w:r>
        <w:rPr>
          <w:rFonts w:ascii="Arial" w:cs="Arial" w:eastAsia="Arial" w:hAnsi="Arial"/>
          <w:sz w:val="15"/>
          <w:szCs w:val="15"/>
          <w:color w:val="404040"/>
        </w:rPr>
        <w:t>Trucost maps company business segments to more than 450 business activities in the Trucost model. The model is</w:t>
      </w:r>
      <w:r>
        <w:rPr>
          <w:rFonts w:ascii="Arial" w:cs="Arial" w:eastAsia="Arial" w:hAnsi="Arial"/>
          <w:sz w:val="15"/>
          <w:szCs w:val="15"/>
          <w:i w:val="1"/>
          <w:iCs w:val="1"/>
          <w:color w:val="404040"/>
        </w:rPr>
        <w:t xml:space="preserve"> </w:t>
      </w:r>
      <w:r>
        <w:rPr>
          <w:rFonts w:ascii="Arial" w:cs="Arial" w:eastAsia="Arial" w:hAnsi="Arial"/>
          <w:sz w:val="15"/>
          <w:szCs w:val="15"/>
          <w:color w:val="404040"/>
        </w:rPr>
        <w:t>based on the North American Industry Classification System (NAICS), but goes into greater granularity in some areas, such as power generating utilities.</w:t>
      </w:r>
    </w:p>
    <w:p>
      <w:pPr>
        <w:spacing w:after="0" w:line="16" w:lineRule="exact"/>
        <w:rPr>
          <w:rFonts w:ascii="Arial" w:cs="Arial" w:eastAsia="Arial" w:hAnsi="Arial"/>
          <w:sz w:val="17"/>
          <w:szCs w:val="17"/>
          <w:color w:val="404040"/>
        </w:rPr>
      </w:pPr>
    </w:p>
    <w:p>
      <w:pPr>
        <w:jc w:val="both"/>
        <w:ind w:left="400" w:hanging="315"/>
        <w:spacing w:after="0" w:line="246" w:lineRule="auto"/>
        <w:tabs>
          <w:tab w:leader="none" w:pos="400" w:val="left"/>
        </w:tabs>
        <w:numPr>
          <w:ilvl w:val="0"/>
          <w:numId w:val="17"/>
        </w:numPr>
        <w:rPr>
          <w:rFonts w:ascii="Arial" w:cs="Arial" w:eastAsia="Arial" w:hAnsi="Arial"/>
          <w:sz w:val="18"/>
          <w:szCs w:val="18"/>
          <w:color w:val="404040"/>
        </w:rPr>
      </w:pPr>
      <w:r>
        <w:rPr>
          <w:rFonts w:ascii="Arial" w:cs="Arial" w:eastAsia="Arial" w:hAnsi="Arial"/>
          <w:sz w:val="16"/>
          <w:szCs w:val="16"/>
          <w:i w:val="1"/>
          <w:iCs w:val="1"/>
          <w:color w:val="404040"/>
        </w:rPr>
        <w:t xml:space="preserve">Estimate data-modelled profile. </w:t>
      </w:r>
      <w:r>
        <w:rPr>
          <w:rFonts w:ascii="Arial" w:cs="Arial" w:eastAsia="Arial" w:hAnsi="Arial"/>
          <w:sz w:val="16"/>
          <w:szCs w:val="16"/>
          <w:color w:val="404040"/>
        </w:rPr>
        <w:t>Once company business segments have been mapped to Trucost sectors and their share of revenue apportioned to each,</w:t>
      </w:r>
      <w:r>
        <w:rPr>
          <w:rFonts w:ascii="Arial" w:cs="Arial" w:eastAsia="Arial" w:hAnsi="Arial"/>
          <w:sz w:val="16"/>
          <w:szCs w:val="16"/>
          <w:i w:val="1"/>
          <w:iCs w:val="1"/>
          <w:color w:val="404040"/>
        </w:rPr>
        <w:t xml:space="preserve"> </w:t>
      </w:r>
      <w:r>
        <w:rPr>
          <w:rFonts w:ascii="Arial" w:cs="Arial" w:eastAsia="Arial" w:hAnsi="Arial"/>
          <w:sz w:val="16"/>
          <w:szCs w:val="16"/>
          <w:color w:val="404040"/>
        </w:rPr>
        <w:t>Trucost is able to generate a data-modelled profile for the company. Trucost uses its environmentally extended input-output (EEIO) model to estimate data for over 800 environmental and operational metrics across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134860"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PS-15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40"/>
          </w:cols>
          <w:pgMar w:left="320" w:top="518" w:right="339" w:bottom="1440" w:gutter="0" w:footer="0" w:header="0"/>
          <w:type w:val="continuous"/>
        </w:sectPr>
      </w:pPr>
    </w:p>
    <w:bookmarkStart w:id="16" w:name="page17"/>
    <w:bookmarkEnd w:id="16"/>
    <w:p>
      <w:pPr>
        <w:ind w:left="420"/>
        <w:spacing w:after="0"/>
        <w:rPr>
          <w:sz w:val="20"/>
          <w:szCs w:val="20"/>
          <w:color w:val="auto"/>
        </w:rPr>
      </w:pPr>
      <w:r>
        <w:rPr>
          <w:rFonts w:ascii="Arial" w:cs="Arial" w:eastAsia="Arial" w:hAnsi="Arial"/>
          <w:sz w:val="15"/>
          <w:szCs w:val="15"/>
          <w:color w:val="404040"/>
        </w:rPr>
        <w:t>the entire operations of companies; from the raw materials they depend on in their supply chains to the electricity they purchase to power their operations.</w:t>
      </w:r>
    </w:p>
    <w:p>
      <w:pPr>
        <w:spacing w:after="0" w:line="93" w:lineRule="exact"/>
        <w:rPr>
          <w:sz w:val="20"/>
          <w:szCs w:val="20"/>
          <w:color w:val="auto"/>
        </w:rPr>
      </w:pPr>
    </w:p>
    <w:p>
      <w:pPr>
        <w:ind w:left="400" w:hanging="315"/>
        <w:spacing w:after="0" w:line="243" w:lineRule="auto"/>
        <w:tabs>
          <w:tab w:leader="none" w:pos="400" w:val="left"/>
        </w:tabs>
        <w:numPr>
          <w:ilvl w:val="0"/>
          <w:numId w:val="18"/>
        </w:numPr>
        <w:rPr>
          <w:rFonts w:ascii="Arial" w:cs="Arial" w:eastAsia="Arial" w:hAnsi="Arial"/>
          <w:sz w:val="18"/>
          <w:szCs w:val="18"/>
          <w:color w:val="404040"/>
        </w:rPr>
      </w:pPr>
      <w:r>
        <w:rPr>
          <w:rFonts w:ascii="Arial" w:cs="Arial" w:eastAsia="Arial" w:hAnsi="Arial"/>
          <w:sz w:val="16"/>
          <w:szCs w:val="16"/>
          <w:i w:val="1"/>
          <w:iCs w:val="1"/>
          <w:color w:val="404040"/>
        </w:rPr>
        <w:t xml:space="preserve">Collect public disclosure. </w:t>
      </w:r>
      <w:r>
        <w:rPr>
          <w:rFonts w:ascii="Arial" w:cs="Arial" w:eastAsia="Arial" w:hAnsi="Arial"/>
          <w:sz w:val="16"/>
          <w:szCs w:val="16"/>
          <w:color w:val="404040"/>
        </w:rPr>
        <w:t>Trucost searches for environmental performance information in annual reports, sustainability reports, websites and other publicly</w:t>
      </w:r>
      <w:r>
        <w:rPr>
          <w:rFonts w:ascii="Arial" w:cs="Arial" w:eastAsia="Arial" w:hAnsi="Arial"/>
          <w:sz w:val="16"/>
          <w:szCs w:val="16"/>
          <w:i w:val="1"/>
          <w:iCs w:val="1"/>
          <w:color w:val="404040"/>
        </w:rPr>
        <w:t xml:space="preserve"> </w:t>
      </w:r>
      <w:r>
        <w:rPr>
          <w:rFonts w:ascii="Arial" w:cs="Arial" w:eastAsia="Arial" w:hAnsi="Arial"/>
          <w:sz w:val="16"/>
          <w:szCs w:val="16"/>
          <w:color w:val="404040"/>
        </w:rPr>
        <w:t>disclosed sources. Third party datasets, like disclosures to the Carbon Disclosure Project (“CDP”), are also reviewed. Trucost then standardizes reported environmental performance data to best practice guidelines so that it can be compared across companies, regions, and business activities. To correct errors in company reporting, data control procedures are applied, including sector specialist data reviews, automated outlier identifications and year-on-year comparisons. Wherever a material metric is not disclosed, Trucost uses the modelled value, to estimate the missing data fields. CDP is a not-for-profit charity that surveys companies on Climate, Water and Forestry issues and aggregates the collected disclosures.</w:t>
      </w:r>
    </w:p>
    <w:p>
      <w:pPr>
        <w:spacing w:after="0" w:line="38" w:lineRule="exact"/>
        <w:rPr>
          <w:rFonts w:ascii="Arial" w:cs="Arial" w:eastAsia="Arial" w:hAnsi="Arial"/>
          <w:sz w:val="18"/>
          <w:szCs w:val="18"/>
          <w:color w:val="404040"/>
        </w:rPr>
      </w:pPr>
    </w:p>
    <w:p>
      <w:pPr>
        <w:ind w:left="400" w:right="60" w:hanging="315"/>
        <w:spacing w:after="0" w:line="268" w:lineRule="auto"/>
        <w:tabs>
          <w:tab w:leader="none" w:pos="400" w:val="left"/>
        </w:tabs>
        <w:numPr>
          <w:ilvl w:val="0"/>
          <w:numId w:val="18"/>
        </w:numPr>
        <w:rPr>
          <w:rFonts w:ascii="Arial" w:cs="Arial" w:eastAsia="Arial" w:hAnsi="Arial"/>
          <w:sz w:val="17"/>
          <w:szCs w:val="17"/>
          <w:color w:val="404040"/>
        </w:rPr>
      </w:pPr>
      <w:r>
        <w:rPr>
          <w:rFonts w:ascii="Arial" w:cs="Arial" w:eastAsia="Arial" w:hAnsi="Arial"/>
          <w:sz w:val="15"/>
          <w:szCs w:val="15"/>
          <w:i w:val="1"/>
          <w:iCs w:val="1"/>
          <w:color w:val="404040"/>
        </w:rPr>
        <w:t xml:space="preserve">Engage with company. </w:t>
      </w:r>
      <w:r>
        <w:rPr>
          <w:rFonts w:ascii="Arial" w:cs="Arial" w:eastAsia="Arial" w:hAnsi="Arial"/>
          <w:sz w:val="15"/>
          <w:szCs w:val="15"/>
          <w:color w:val="404040"/>
        </w:rPr>
        <w:t>Trucost then conducts an annual engagement with each company, providing the opportunity to verify environmental performance</w:t>
      </w:r>
      <w:r>
        <w:rPr>
          <w:rFonts w:ascii="Arial" w:cs="Arial" w:eastAsia="Arial" w:hAnsi="Arial"/>
          <w:sz w:val="15"/>
          <w:szCs w:val="15"/>
          <w:i w:val="1"/>
          <w:iCs w:val="1"/>
          <w:color w:val="404040"/>
        </w:rPr>
        <w:t xml:space="preserve"> </w:t>
      </w:r>
      <w:r>
        <w:rPr>
          <w:rFonts w:ascii="Arial" w:cs="Arial" w:eastAsia="Arial" w:hAnsi="Arial"/>
          <w:sz w:val="15"/>
          <w:szCs w:val="15"/>
          <w:color w:val="404040"/>
        </w:rPr>
        <w:t>and provide additional information. Companies are further welcomed to contact Trucost analysts at any point in their environmental reporting cycle to provide their most recently available data. This supports Trucost’s efforts to utilize the most up-to-date company information and to maximize data quality.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404040"/>
        </w:rPr>
        <w:t>Greenhouse Gas Emissions Data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404040"/>
        </w:rPr>
        <w:t>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xml:space="preserve"> uses Trucost’s greenhouse gas emissions data set. Quantities of greenhouse gas emissions are normalized by sales to</w:t>
      </w:r>
    </w:p>
    <w:p>
      <w:pPr>
        <w:ind w:right="40"/>
        <w:spacing w:after="0" w:line="209" w:lineRule="auto"/>
        <w:rPr>
          <w:sz w:val="20"/>
          <w:szCs w:val="20"/>
          <w:color w:val="auto"/>
        </w:rPr>
      </w:pPr>
      <w:r>
        <w:rPr>
          <w:rFonts w:ascii="Arial" w:cs="Arial" w:eastAsia="Arial" w:hAnsi="Arial"/>
          <w:sz w:val="16"/>
          <w:szCs w:val="16"/>
          <w:color w:val="404040"/>
        </w:rPr>
        <w:t>calculate the company’s carbon intensity, or “carbon-to-revenue footprint.”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uses direct and first-tier indirect emissions in the carbon-to-revenue footprints.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i w:val="1"/>
          <w:iCs w:val="1"/>
          <w:color w:val="404040"/>
        </w:rPr>
        <w:t>Constituent Weighting</w:t>
      </w:r>
    </w:p>
    <w:p>
      <w:pPr>
        <w:spacing w:after="0" w:line="66"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404040"/>
        </w:rPr>
        <w:t>Constituents are weighted based on the product of each constituent’s float-adjusted market capitalization and exposure score, subject to a single constituent weight cap of 4.5%.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The S&amp;P Global Clean Energy Index</w:t>
      </w:r>
      <w:r>
        <w:rPr>
          <w:rFonts w:ascii="Arial" w:cs="Arial" w:eastAsia="Arial" w:hAnsi="Arial"/>
          <w:sz w:val="26"/>
          <w:szCs w:val="26"/>
          <w:b w:val="1"/>
          <w:bCs w:val="1"/>
          <w:color w:val="54301A"/>
          <w:vertAlign w:val="superscript"/>
        </w:rPr>
        <w:t>TM</w:t>
      </w:r>
      <w:r>
        <w:rPr>
          <w:rFonts w:ascii="Arial" w:cs="Arial" w:eastAsia="Arial" w:hAnsi="Arial"/>
          <w:sz w:val="16"/>
          <w:szCs w:val="16"/>
          <w:b w:val="1"/>
          <w:bCs w:val="1"/>
          <w:color w:val="54301A"/>
        </w:rPr>
        <w:t xml:space="preserve"> Calculation</w:t>
      </w:r>
    </w:p>
    <w:p>
      <w:pPr>
        <w:spacing w:after="0" w:line="185" w:lineRule="auto"/>
        <w:rPr>
          <w:sz w:val="20"/>
          <w:szCs w:val="20"/>
          <w:color w:val="auto"/>
        </w:rPr>
      </w:pPr>
      <w:r>
        <w:rPr>
          <w:rFonts w:ascii="Arial" w:cs="Arial" w:eastAsia="Arial" w:hAnsi="Arial"/>
          <w:sz w:val="16"/>
          <w:szCs w:val="16"/>
          <w:color w:val="404040"/>
        </w:rPr>
        <w:t>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is a modified market capitalization-weighted index where index constituents have a defined weight in the S&amp;P Global</w:t>
      </w:r>
    </w:p>
    <w:p>
      <w:pPr>
        <w:spacing w:after="0" w:line="1" w:lineRule="exact"/>
        <w:rPr>
          <w:sz w:val="20"/>
          <w:szCs w:val="20"/>
          <w:color w:val="auto"/>
        </w:rPr>
      </w:pPr>
    </w:p>
    <w:p>
      <w:pPr>
        <w:ind w:right="120"/>
        <w:spacing w:after="0" w:line="209" w:lineRule="auto"/>
        <w:rPr>
          <w:sz w:val="20"/>
          <w:szCs w:val="20"/>
          <w:color w:val="auto"/>
        </w:rPr>
      </w:pPr>
      <w:r>
        <w:rPr>
          <w:rFonts w:ascii="Arial" w:cs="Arial" w:eastAsia="Arial" w:hAnsi="Arial"/>
          <w:sz w:val="16"/>
          <w:szCs w:val="16"/>
          <w:color w:val="404040"/>
        </w:rPr>
        <w:t>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The index value of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is simply the market value of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divided by the index divisor:</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color w:val="404040"/>
        </w:rPr>
        <w:t>Index Value = (Index Market Value) / Divisor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404040"/>
        </w:rPr>
        <w:t xml:space="preserve">Index Market Value = </w:t>
      </w:r>
      <w:r>
        <w:rPr>
          <w:sz w:val="1"/>
          <w:szCs w:val="1"/>
          <w:color w:val="auto"/>
        </w:rPr>
        <w:drawing>
          <wp:inline distT="0" distB="0" distL="0" distR="0">
            <wp:extent cx="201930" cy="1854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01930" cy="185420"/>
                    </a:xfrm>
                    <a:prstGeom prst="rect">
                      <a:avLst/>
                    </a:prstGeom>
                    <a:noFill/>
                    <a:ln>
                      <a:noFill/>
                    </a:ln>
                  </pic:spPr>
                </pic:pic>
              </a:graphicData>
            </a:graphic>
          </wp:inline>
        </w:drawing>
      </w:r>
      <w:r>
        <w:rPr>
          <w:rFonts w:ascii="Arial" w:cs="Arial" w:eastAsia="Arial" w:hAnsi="Arial"/>
          <w:sz w:val="16"/>
          <w:szCs w:val="16"/>
          <w:color w:val="404040"/>
        </w:rPr>
        <w:t xml:space="preserve"> × Shares</w:t>
      </w:r>
      <w:r>
        <w:rPr>
          <w:rFonts w:ascii="Arial" w:cs="Arial" w:eastAsia="Arial" w:hAnsi="Arial"/>
          <w:sz w:val="26"/>
          <w:szCs w:val="26"/>
          <w:color w:val="404040"/>
          <w:vertAlign w:val="subscript"/>
        </w:rPr>
        <w:t>i</w:t>
      </w:r>
      <w:r>
        <w:rPr>
          <w:rFonts w:ascii="Arial" w:cs="Arial" w:eastAsia="Arial" w:hAnsi="Arial"/>
          <w:sz w:val="16"/>
          <w:szCs w:val="16"/>
          <w:color w:val="404040"/>
        </w:rPr>
        <w:t xml:space="preserve"> × </w:t>
      </w:r>
      <w:r>
        <w:rPr>
          <w:rFonts w:ascii="Arial" w:cs="Arial" w:eastAsia="Arial" w:hAnsi="Arial"/>
          <w:sz w:val="16"/>
          <w:szCs w:val="16"/>
          <w:i w:val="1"/>
          <w:iCs w:val="1"/>
          <w:color w:val="404040"/>
        </w:rPr>
        <w:t>IWF</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 </w:t>
      </w:r>
      <w:r>
        <w:rPr>
          <w:rFonts w:ascii="Arial" w:cs="Arial" w:eastAsia="Arial" w:hAnsi="Arial"/>
          <w:sz w:val="16"/>
          <w:szCs w:val="16"/>
          <w:i w:val="1"/>
          <w:iCs w:val="1"/>
          <w:color w:val="404040"/>
        </w:rPr>
        <w:t>FxRate</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 </w:t>
      </w:r>
      <w:r>
        <w:rPr>
          <w:rFonts w:ascii="Arial" w:cs="Arial" w:eastAsia="Arial" w:hAnsi="Arial"/>
          <w:sz w:val="16"/>
          <w:szCs w:val="16"/>
          <w:i w:val="1"/>
          <w:iCs w:val="1"/>
          <w:color w:val="404040"/>
        </w:rPr>
        <w:t>AWF</w:t>
      </w:r>
      <w:r>
        <w:rPr>
          <w:rFonts w:ascii="Arial" w:cs="Arial" w:eastAsia="Arial" w:hAnsi="Arial"/>
          <w:sz w:val="26"/>
          <w:szCs w:val="26"/>
          <w:i w:val="1"/>
          <w:iCs w:val="1"/>
          <w:color w:val="404040"/>
          <w:vertAlign w:val="subscript"/>
        </w:rPr>
        <w:t>i</w:t>
      </w:r>
    </w:p>
    <w:p>
      <w:pPr>
        <w:spacing w:after="0" w:line="68"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404040"/>
        </w:rPr>
        <w:t xml:space="preserve">where, </w:t>
      </w:r>
      <w:r>
        <w:rPr>
          <w:rFonts w:ascii="Arial" w:cs="Arial" w:eastAsia="Arial" w:hAnsi="Arial"/>
          <w:sz w:val="16"/>
          <w:szCs w:val="16"/>
          <w:i w:val="1"/>
          <w:iCs w:val="1"/>
          <w:color w:val="404040"/>
        </w:rPr>
        <w:t>P</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the price of stock </w:t>
      </w:r>
      <w:r>
        <w:rPr>
          <w:rFonts w:ascii="Arial" w:cs="Arial" w:eastAsia="Arial" w:hAnsi="Arial"/>
          <w:sz w:val="16"/>
          <w:szCs w:val="16"/>
          <w:i w:val="1"/>
          <w:iCs w:val="1"/>
          <w:color w:val="404040"/>
        </w:rPr>
        <w:t>i</w:t>
      </w:r>
      <w:r>
        <w:rPr>
          <w:rFonts w:ascii="Arial" w:cs="Arial" w:eastAsia="Arial" w:hAnsi="Arial"/>
          <w:sz w:val="16"/>
          <w:szCs w:val="16"/>
          <w:color w:val="404040"/>
        </w:rPr>
        <w:t xml:space="preserve">, </w:t>
      </w:r>
      <w:r>
        <w:rPr>
          <w:rFonts w:ascii="Arial" w:cs="Arial" w:eastAsia="Arial" w:hAnsi="Arial"/>
          <w:sz w:val="16"/>
          <w:szCs w:val="16"/>
          <w:i w:val="1"/>
          <w:iCs w:val="1"/>
          <w:color w:val="404040"/>
        </w:rPr>
        <w:t>Shares</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are the oustanding shares of stock </w:t>
      </w:r>
      <w:r>
        <w:rPr>
          <w:rFonts w:ascii="Arial" w:cs="Arial" w:eastAsia="Arial" w:hAnsi="Arial"/>
          <w:sz w:val="16"/>
          <w:szCs w:val="16"/>
          <w:i w:val="1"/>
          <w:iCs w:val="1"/>
          <w:color w:val="404040"/>
        </w:rPr>
        <w:t>i</w:t>
      </w:r>
      <w:r>
        <w:rPr>
          <w:rFonts w:ascii="Arial" w:cs="Arial" w:eastAsia="Arial" w:hAnsi="Arial"/>
          <w:sz w:val="16"/>
          <w:szCs w:val="16"/>
          <w:color w:val="404040"/>
        </w:rPr>
        <w:t xml:space="preserve">, </w:t>
      </w:r>
      <w:r>
        <w:rPr>
          <w:rFonts w:ascii="Arial" w:cs="Arial" w:eastAsia="Arial" w:hAnsi="Arial"/>
          <w:sz w:val="16"/>
          <w:szCs w:val="16"/>
          <w:i w:val="1"/>
          <w:iCs w:val="1"/>
          <w:color w:val="404040"/>
        </w:rPr>
        <w:t>IWF</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is the float factor of stock i (as defined below), </w:t>
      </w:r>
      <w:r>
        <w:rPr>
          <w:rFonts w:ascii="Arial" w:cs="Arial" w:eastAsia="Arial" w:hAnsi="Arial"/>
          <w:sz w:val="16"/>
          <w:szCs w:val="16"/>
          <w:i w:val="1"/>
          <w:iCs w:val="1"/>
          <w:color w:val="404040"/>
        </w:rPr>
        <w:t>AWF</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is the adjustment factor of stock </w:t>
      </w:r>
      <w:r>
        <w:rPr>
          <w:rFonts w:ascii="Arial" w:cs="Arial" w:eastAsia="Arial" w:hAnsi="Arial"/>
          <w:sz w:val="16"/>
          <w:szCs w:val="16"/>
          <w:i w:val="1"/>
          <w:iCs w:val="1"/>
          <w:color w:val="404040"/>
        </w:rPr>
        <w:t>i</w:t>
      </w:r>
      <w:r>
        <w:rPr>
          <w:rFonts w:ascii="Arial" w:cs="Arial" w:eastAsia="Arial" w:hAnsi="Arial"/>
          <w:sz w:val="16"/>
          <w:szCs w:val="16"/>
          <w:color w:val="404040"/>
        </w:rPr>
        <w:t xml:space="preserve"> assigned at each index rebalancing date, </w:t>
      </w:r>
      <w:r>
        <w:rPr>
          <w:rFonts w:ascii="Arial" w:cs="Arial" w:eastAsia="Arial" w:hAnsi="Arial"/>
          <w:sz w:val="16"/>
          <w:szCs w:val="16"/>
          <w:i w:val="1"/>
          <w:iCs w:val="1"/>
          <w:color w:val="404040"/>
        </w:rPr>
        <w:t>t</w:t>
      </w:r>
      <w:r>
        <w:rPr>
          <w:rFonts w:ascii="Arial" w:cs="Arial" w:eastAsia="Arial" w:hAnsi="Arial"/>
          <w:sz w:val="16"/>
          <w:szCs w:val="16"/>
          <w:color w:val="404040"/>
        </w:rPr>
        <w:t xml:space="preserve">, which adjusts the market capitalization for all index constituents to achieve the user-defined weight, while maintaining the total market value of the overall index and </w:t>
      </w:r>
      <w:r>
        <w:rPr>
          <w:rFonts w:ascii="Arial" w:cs="Arial" w:eastAsia="Arial" w:hAnsi="Arial"/>
          <w:sz w:val="16"/>
          <w:szCs w:val="16"/>
          <w:i w:val="1"/>
          <w:iCs w:val="1"/>
          <w:color w:val="404040"/>
        </w:rPr>
        <w:t>FxRate</w:t>
      </w:r>
      <w:r>
        <w:rPr>
          <w:rFonts w:ascii="Arial" w:cs="Arial" w:eastAsia="Arial" w:hAnsi="Arial"/>
          <w:sz w:val="26"/>
          <w:szCs w:val="26"/>
          <w:i w:val="1"/>
          <w:iCs w:val="1"/>
          <w:color w:val="404040"/>
          <w:vertAlign w:val="subscript"/>
        </w:rPr>
        <w:t>i</w:t>
      </w:r>
      <w:r>
        <w:rPr>
          <w:rFonts w:ascii="Arial" w:cs="Arial" w:eastAsia="Arial" w:hAnsi="Arial"/>
          <w:sz w:val="16"/>
          <w:szCs w:val="16"/>
          <w:color w:val="404040"/>
        </w:rPr>
        <w:t xml:space="preserve"> is the exchange rate from the local currency into index currency for stock </w:t>
      </w:r>
      <w:r>
        <w:rPr>
          <w:rFonts w:ascii="Arial" w:cs="Arial" w:eastAsia="Arial" w:hAnsi="Arial"/>
          <w:sz w:val="16"/>
          <w:szCs w:val="16"/>
          <w:i w:val="1"/>
          <w:iCs w:val="1"/>
          <w:color w:val="404040"/>
        </w:rPr>
        <w:t>i</w:t>
      </w:r>
      <w:r>
        <w:rPr>
          <w:rFonts w:ascii="Arial" w:cs="Arial" w:eastAsia="Arial" w:hAnsi="Arial"/>
          <w:sz w:val="16"/>
          <w:szCs w:val="16"/>
          <w:color w:val="404040"/>
        </w:rPr>
        <w:t xml:space="preserve">. The </w:t>
      </w:r>
      <w:r>
        <w:rPr>
          <w:rFonts w:ascii="Arial" w:cs="Arial" w:eastAsia="Arial" w:hAnsi="Arial"/>
          <w:sz w:val="16"/>
          <w:szCs w:val="16"/>
          <w:i w:val="1"/>
          <w:iCs w:val="1"/>
          <w:color w:val="404040"/>
        </w:rPr>
        <w:t>AWF</w:t>
      </w:r>
      <w:r>
        <w:rPr>
          <w:rFonts w:ascii="Arial" w:cs="Arial" w:eastAsia="Arial" w:hAnsi="Arial"/>
          <w:sz w:val="16"/>
          <w:szCs w:val="16"/>
          <w:color w:val="404040"/>
        </w:rPr>
        <w:t xml:space="preserve"> for each index constituent, </w:t>
      </w:r>
      <w:r>
        <w:rPr>
          <w:rFonts w:ascii="Arial" w:cs="Arial" w:eastAsia="Arial" w:hAnsi="Arial"/>
          <w:sz w:val="16"/>
          <w:szCs w:val="16"/>
          <w:i w:val="1"/>
          <w:iCs w:val="1"/>
          <w:color w:val="404040"/>
        </w:rPr>
        <w:t>i</w:t>
      </w:r>
      <w:r>
        <w:rPr>
          <w:rFonts w:ascii="Arial" w:cs="Arial" w:eastAsia="Arial" w:hAnsi="Arial"/>
          <w:sz w:val="16"/>
          <w:szCs w:val="16"/>
          <w:color w:val="404040"/>
        </w:rPr>
        <w:t xml:space="preserve">, at rebalancing date, </w:t>
      </w:r>
      <w:r>
        <w:rPr>
          <w:rFonts w:ascii="Arial" w:cs="Arial" w:eastAsia="Arial" w:hAnsi="Arial"/>
          <w:sz w:val="16"/>
          <w:szCs w:val="16"/>
          <w:i w:val="1"/>
          <w:iCs w:val="1"/>
          <w:color w:val="404040"/>
        </w:rPr>
        <w:t>t</w:t>
      </w:r>
      <w:r>
        <w:rPr>
          <w:rFonts w:ascii="Arial" w:cs="Arial" w:eastAsia="Arial" w:hAnsi="Arial"/>
          <w:sz w:val="16"/>
          <w:szCs w:val="16"/>
          <w:color w:val="404040"/>
        </w:rPr>
        <w:t>, is calculated by:</w:t>
      </w:r>
    </w:p>
    <w:p>
      <w:pPr>
        <w:ind w:left="640"/>
        <w:spacing w:after="0" w:line="230" w:lineRule="auto"/>
        <w:rPr>
          <w:sz w:val="20"/>
          <w:szCs w:val="20"/>
          <w:color w:val="auto"/>
        </w:rPr>
      </w:pPr>
      <w:r>
        <w:rPr>
          <w:rFonts w:ascii="Arial" w:cs="Arial" w:eastAsia="Arial" w:hAnsi="Arial"/>
          <w:sz w:val="16"/>
          <w:szCs w:val="16"/>
          <w:color w:val="404040"/>
        </w:rPr>
        <w:t>AWF</w:t>
      </w:r>
      <w:r>
        <w:rPr>
          <w:rFonts w:ascii="Arial" w:cs="Arial" w:eastAsia="Arial" w:hAnsi="Arial"/>
          <w:sz w:val="26"/>
          <w:szCs w:val="26"/>
          <w:color w:val="404040"/>
          <w:vertAlign w:val="subscript"/>
        </w:rPr>
        <w:t>i,t</w:t>
      </w:r>
      <w:r>
        <w:rPr>
          <w:rFonts w:ascii="Arial" w:cs="Arial" w:eastAsia="Arial" w:hAnsi="Arial"/>
          <w:sz w:val="16"/>
          <w:szCs w:val="16"/>
          <w:color w:val="404040"/>
        </w:rPr>
        <w:t xml:space="preserve"> = Z / FloatAdjustedMarketValue</w:t>
      </w:r>
      <w:r>
        <w:rPr>
          <w:rFonts w:ascii="Arial" w:cs="Arial" w:eastAsia="Arial" w:hAnsi="Arial"/>
          <w:sz w:val="26"/>
          <w:szCs w:val="26"/>
          <w:color w:val="404040"/>
          <w:vertAlign w:val="subscript"/>
        </w:rPr>
        <w:t>i,t</w:t>
      </w:r>
      <w:r>
        <w:rPr>
          <w:rFonts w:ascii="Arial" w:cs="Arial" w:eastAsia="Arial" w:hAnsi="Arial"/>
          <w:sz w:val="16"/>
          <w:szCs w:val="16"/>
          <w:color w:val="404040"/>
        </w:rPr>
        <w:t xml:space="preserve"> × W</w:t>
      </w:r>
      <w:r>
        <w:rPr>
          <w:rFonts w:ascii="Arial" w:cs="Arial" w:eastAsia="Arial" w:hAnsi="Arial"/>
          <w:sz w:val="26"/>
          <w:szCs w:val="26"/>
          <w:color w:val="404040"/>
          <w:vertAlign w:val="subscript"/>
        </w:rPr>
        <w:t>i,t</w:t>
      </w:r>
      <w:r>
        <w:rPr>
          <w:rFonts w:ascii="Arial" w:cs="Arial" w:eastAsia="Arial" w:hAnsi="Arial"/>
          <w:sz w:val="16"/>
          <w:szCs w:val="16"/>
          <w:color w:val="404040"/>
        </w:rPr>
        <w:t xml:space="preserve"> × FxRate</w:t>
      </w:r>
      <w:r>
        <w:rPr>
          <w:rFonts w:ascii="Arial" w:cs="Arial" w:eastAsia="Arial" w:hAnsi="Arial"/>
          <w:sz w:val="26"/>
          <w:szCs w:val="26"/>
          <w:i w:val="1"/>
          <w:iCs w:val="1"/>
          <w:color w:val="404040"/>
          <w:vertAlign w:val="subscript"/>
        </w:rPr>
        <w:t>i</w:t>
      </w:r>
    </w:p>
    <w:p>
      <w:pPr>
        <w:spacing w:after="0" w:line="139"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404040"/>
        </w:rPr>
        <w:t xml:space="preserve">where </w:t>
      </w:r>
      <w:r>
        <w:rPr>
          <w:rFonts w:ascii="Arial" w:cs="Arial" w:eastAsia="Arial" w:hAnsi="Arial"/>
          <w:sz w:val="16"/>
          <w:szCs w:val="16"/>
          <w:i w:val="1"/>
          <w:iCs w:val="1"/>
          <w:color w:val="404040"/>
        </w:rPr>
        <w:t>Z</w:t>
      </w:r>
      <w:r>
        <w:rPr>
          <w:rFonts w:ascii="Arial" w:cs="Arial" w:eastAsia="Arial" w:hAnsi="Arial"/>
          <w:sz w:val="16"/>
          <w:szCs w:val="16"/>
          <w:color w:val="404040"/>
        </w:rPr>
        <w:t xml:space="preserve"> is an index specific constant set for the purpose of deriving the AWF and, therefore, each stock’s share count used in the index calculation (often referred to as modified index shares). W</w:t>
      </w:r>
      <w:r>
        <w:rPr>
          <w:rFonts w:ascii="Arial" w:cs="Arial" w:eastAsia="Arial" w:hAnsi="Arial"/>
          <w:sz w:val="26"/>
          <w:szCs w:val="26"/>
          <w:i w:val="1"/>
          <w:iCs w:val="1"/>
          <w:color w:val="404040"/>
          <w:vertAlign w:val="subscript"/>
        </w:rPr>
        <w:t>i,t</w:t>
      </w:r>
      <w:r>
        <w:rPr>
          <w:rFonts w:ascii="Arial" w:cs="Arial" w:eastAsia="Arial" w:hAnsi="Arial"/>
          <w:sz w:val="16"/>
          <w:szCs w:val="16"/>
          <w:color w:val="404040"/>
        </w:rPr>
        <w:t xml:space="preserve"> is the user-defined weight of stock i on rebalancing date </w:t>
      </w:r>
      <w:r>
        <w:rPr>
          <w:rFonts w:ascii="Arial" w:cs="Arial" w:eastAsia="Arial" w:hAnsi="Arial"/>
          <w:sz w:val="16"/>
          <w:szCs w:val="16"/>
          <w:i w:val="1"/>
          <w:iCs w:val="1"/>
          <w:color w:val="404040"/>
        </w:rPr>
        <w:t>t</w:t>
      </w:r>
      <w:r>
        <w:rPr>
          <w:rFonts w:ascii="Arial" w:cs="Arial" w:eastAsia="Arial" w:hAnsi="Arial"/>
          <w:sz w:val="16"/>
          <w:szCs w:val="16"/>
          <w:color w:val="404040"/>
        </w:rPr>
        <w:t xml:space="preserve"> and </w:t>
      </w:r>
      <w:r>
        <w:rPr>
          <w:rFonts w:ascii="Arial" w:cs="Arial" w:eastAsia="Arial" w:hAnsi="Arial"/>
          <w:sz w:val="16"/>
          <w:szCs w:val="16"/>
          <w:i w:val="1"/>
          <w:iCs w:val="1"/>
          <w:color w:val="404040"/>
        </w:rPr>
        <w:t>FxRate</w:t>
      </w:r>
      <w:r>
        <w:rPr>
          <w:rFonts w:ascii="Arial" w:cs="Arial" w:eastAsia="Arial" w:hAnsi="Arial"/>
          <w:sz w:val="16"/>
          <w:szCs w:val="16"/>
          <w:color w:val="404040"/>
        </w:rPr>
        <w:t xml:space="preserve"> is the exchange rate from the local currency into index currency for stock </w:t>
      </w:r>
      <w:r>
        <w:rPr>
          <w:rFonts w:ascii="Arial" w:cs="Arial" w:eastAsia="Arial" w:hAnsi="Arial"/>
          <w:sz w:val="16"/>
          <w:szCs w:val="16"/>
          <w:i w:val="1"/>
          <w:iCs w:val="1"/>
          <w:color w:val="404040"/>
        </w:rPr>
        <w:t>i</w:t>
      </w:r>
      <w:r>
        <w:rPr>
          <w:rFonts w:ascii="Arial" w:cs="Arial" w:eastAsia="Arial" w:hAnsi="Arial"/>
          <w:sz w:val="16"/>
          <w:szCs w:val="16"/>
          <w:color w:val="404040"/>
        </w:rPr>
        <w:t>.</w:t>
      </w:r>
    </w:p>
    <w:p>
      <w:pPr>
        <w:spacing w:after="0" w:line="51"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404040"/>
        </w:rPr>
        <w:t>Float Adjustment. Float adjustment means that the number of shares outstanding is reduced to exclude closely held shares from the calculation of the index value because such shares are not available to investors. The goal of float adjustment is to distinguish between long-term, strategic shareholders, whose holdings are not considered to not be available to the market, and shareholders who are considered more short-term in nature.</w:t>
      </w:r>
    </w:p>
    <w:p>
      <w:pPr>
        <w:spacing w:after="0" w:line="22" w:lineRule="exact"/>
        <w:rPr>
          <w:sz w:val="20"/>
          <w:szCs w:val="20"/>
          <w:color w:val="auto"/>
        </w:rPr>
      </w:pPr>
    </w:p>
    <w:p>
      <w:pPr>
        <w:ind w:right="360"/>
        <w:spacing w:after="0" w:line="245" w:lineRule="auto"/>
        <w:rPr>
          <w:sz w:val="20"/>
          <w:szCs w:val="20"/>
          <w:color w:val="auto"/>
        </w:rPr>
      </w:pPr>
      <w:r>
        <w:rPr>
          <w:rFonts w:ascii="Arial" w:cs="Arial" w:eastAsia="Arial" w:hAnsi="Arial"/>
          <w:sz w:val="16"/>
          <w:szCs w:val="16"/>
          <w:color w:val="404040"/>
        </w:rPr>
        <w:t>For each component, S&amp;P Dow Jones calculates an Investable Weight Factor (“IWF”), which represents the portion of the total shares outstanding that are considered part of the public float for purposes of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w:t>
      </w:r>
    </w:p>
    <w:p>
      <w:pPr>
        <w:spacing w:after="0" w:line="181" w:lineRule="auto"/>
        <w:rPr>
          <w:sz w:val="20"/>
          <w:szCs w:val="20"/>
          <w:color w:val="auto"/>
        </w:rPr>
      </w:pPr>
      <w:r>
        <w:rPr>
          <w:rFonts w:ascii="Arial" w:cs="Arial" w:eastAsia="Arial" w:hAnsi="Arial"/>
          <w:sz w:val="16"/>
          <w:szCs w:val="16"/>
          <w:color w:val="404040"/>
        </w:rPr>
        <w:t>The purpose of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divisor is to maintain continuity of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level following the</w:t>
      </w:r>
    </w:p>
    <w:p>
      <w:pPr>
        <w:spacing w:after="0" w:line="1" w:lineRule="exact"/>
        <w:rPr>
          <w:sz w:val="20"/>
          <w:szCs w:val="20"/>
          <w:color w:val="auto"/>
        </w:rPr>
      </w:pPr>
    </w:p>
    <w:p>
      <w:pPr>
        <w:ind w:right="40"/>
        <w:spacing w:after="0" w:line="214" w:lineRule="auto"/>
        <w:rPr>
          <w:sz w:val="20"/>
          <w:szCs w:val="20"/>
          <w:color w:val="auto"/>
        </w:rPr>
      </w:pPr>
      <w:r>
        <w:rPr>
          <w:rFonts w:ascii="Arial" w:cs="Arial" w:eastAsia="Arial" w:hAnsi="Arial"/>
          <w:sz w:val="15"/>
          <w:szCs w:val="15"/>
          <w:color w:val="404040"/>
        </w:rPr>
        <w:t>implementation of corporate actions, index rebalancing events, or other non-market driven actions. To assure that 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’s value, or level, does not change when stocks are added or deleted, the divisor is adjusted to offset the change in market value of the S&amp;P Global Clean Energy</w:t>
      </w:r>
    </w:p>
    <w:p>
      <w:pPr>
        <w:spacing w:after="0" w:line="1" w:lineRule="exact"/>
        <w:rPr>
          <w:sz w:val="20"/>
          <w:szCs w:val="20"/>
          <w:color w:val="auto"/>
        </w:rPr>
      </w:pPr>
    </w:p>
    <w:p>
      <w:pPr>
        <w:jc w:val="both"/>
        <w:ind w:right="240"/>
        <w:spacing w:after="0" w:line="204" w:lineRule="auto"/>
        <w:rPr>
          <w:sz w:val="20"/>
          <w:szCs w:val="20"/>
          <w:color w:val="auto"/>
        </w:rPr>
      </w:pPr>
      <w:r>
        <w:rPr>
          <w:rFonts w:ascii="Arial" w:cs="Arial" w:eastAsia="Arial" w:hAnsi="Arial"/>
          <w:sz w:val="16"/>
          <w:szCs w:val="16"/>
          <w:color w:val="404040"/>
        </w:rPr>
        <w:t>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Thus, the divisor plays a critical role in the S&amp;P Global Clean Energy Index </w:t>
      </w:r>
      <w:r>
        <w:rPr>
          <w:rFonts w:ascii="Arial" w:cs="Arial" w:eastAsia="Arial" w:hAnsi="Arial"/>
          <w:sz w:val="26"/>
          <w:szCs w:val="26"/>
          <w:color w:val="404040"/>
          <w:vertAlign w:val="superscript"/>
        </w:rPr>
        <w:t>TM</w:t>
      </w:r>
      <w:r>
        <w:rPr>
          <w:rFonts w:ascii="Arial" w:cs="Arial" w:eastAsia="Arial" w:hAnsi="Arial"/>
          <w:sz w:val="16"/>
          <w:szCs w:val="16"/>
          <w:color w:val="404040"/>
        </w:rPr>
        <w:t>’s ability to provide a continuous measure of market valuation when faced with changes to the stocks included in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In a similar manner, some corporate actions that cause changes in the market value of the stocks in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should not be reflected in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level. Adjustments are made to the divisor to eliminate the impact of these corporate actions on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43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PS-16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p>
      <w:pPr>
        <w:sectPr>
          <w:pgSz w:w="11900" w:h="16838" w:orient="portrait"/>
          <w:cols w:equalWidth="0" w:num="1">
            <w:col w:w="11220"/>
          </w:cols>
          <w:pgMar w:left="320" w:top="638"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54301A"/>
        </w:rPr>
        <w:t>The S&amp;P Global Clean Energy Index</w:t>
      </w:r>
      <w:r>
        <w:rPr>
          <w:rFonts w:ascii="Arial" w:cs="Arial" w:eastAsia="Arial" w:hAnsi="Arial"/>
          <w:sz w:val="26"/>
          <w:szCs w:val="26"/>
          <w:b w:val="1"/>
          <w:bCs w:val="1"/>
          <w:color w:val="54301A"/>
          <w:vertAlign w:val="superscript"/>
        </w:rPr>
        <w:t>TM</w:t>
      </w:r>
      <w:r>
        <w:rPr>
          <w:rFonts w:ascii="Arial" w:cs="Arial" w:eastAsia="Arial" w:hAnsi="Arial"/>
          <w:sz w:val="16"/>
          <w:szCs w:val="16"/>
          <w:b w:val="1"/>
          <w:bCs w:val="1"/>
          <w:color w:val="54301A"/>
        </w:rPr>
        <w:t xml:space="preserve"> Maintenance and Adjustments</w:t>
      </w:r>
    </w:p>
    <w:p>
      <w:pPr>
        <w:spacing w:after="0" w:line="11" w:lineRule="exact"/>
        <w:rPr>
          <w:sz w:val="20"/>
          <w:szCs w:val="20"/>
          <w:color w:val="auto"/>
        </w:rPr>
      </w:pPr>
    </w:p>
    <w:p>
      <w:pPr>
        <w:ind w:right="480"/>
        <w:spacing w:after="0" w:line="209" w:lineRule="auto"/>
        <w:rPr>
          <w:sz w:val="20"/>
          <w:szCs w:val="20"/>
          <w:color w:val="auto"/>
        </w:rPr>
      </w:pPr>
      <w:r>
        <w:rPr>
          <w:rFonts w:ascii="Arial" w:cs="Arial" w:eastAsia="Arial" w:hAnsi="Arial"/>
          <w:sz w:val="16"/>
          <w:szCs w:val="16"/>
          <w:color w:val="404040"/>
        </w:rPr>
        <w:t>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is rebalanced on the last trading of March and September based on the last trading date of February and August,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404040"/>
        </w:rPr>
        <w:t>The table below summarizes the type of index maintenance adjustments and indicate whether or not an index adjustment is required.</w:t>
      </w:r>
    </w:p>
    <w:p>
      <w:pPr>
        <w:sectPr>
          <w:pgSz w:w="11900" w:h="16838" w:orient="portrait"/>
          <w:cols w:equalWidth="0" w:num="1">
            <w:col w:w="11240"/>
          </w:cols>
          <w:pgMar w:left="320" w:top="571" w:right="339" w:bottom="1440" w:gutter="0" w:footer="0" w:header="0"/>
        </w:sectPr>
      </w:pPr>
    </w:p>
    <w:p>
      <w:pPr>
        <w:spacing w:after="0" w:line="6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404040"/>
        </w:rPr>
        <w:t>Type of</w:t>
      </w:r>
    </w:p>
    <w:p>
      <w:pPr>
        <w:spacing w:after="0" w:line="2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404040"/>
        </w:rPr>
        <w:t>Corporate</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404040"/>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6140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404040"/>
        </w:rPr>
        <w:t>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6"/>
          <w:szCs w:val="16"/>
          <w:color w:val="404040"/>
        </w:rPr>
        <w:t>Constituent</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404040"/>
        </w:rPr>
        <w:t>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54301A"/>
        </w:rPr>
        <w:t>Index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6"/>
          <w:szCs w:val="16"/>
          <w:color w:val="404040"/>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121920</wp:posOffset>
            </wp:positionV>
            <wp:extent cx="43078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4307840" cy="8255"/>
                    </a:xfrm>
                    <a:prstGeom prst="rect">
                      <a:avLst/>
                    </a:prstGeom>
                    <a:noFill/>
                  </pic:spPr>
                </pic:pic>
              </a:graphicData>
            </a:graphic>
          </wp:anchor>
        </w:drawing>
      </w:r>
    </w:p>
    <w:p>
      <w:pPr>
        <w:spacing w:after="0" w:line="235" w:lineRule="exact"/>
        <w:rPr>
          <w:sz w:val="20"/>
          <w:szCs w:val="20"/>
          <w:color w:val="auto"/>
        </w:rPr>
      </w:pPr>
    </w:p>
    <w:p>
      <w:pPr>
        <w:ind w:left="100" w:right="1020"/>
        <w:spacing w:after="0" w:line="217" w:lineRule="auto"/>
        <w:rPr>
          <w:sz w:val="20"/>
          <w:szCs w:val="20"/>
          <w:color w:val="auto"/>
        </w:rPr>
      </w:pPr>
      <w:r>
        <w:rPr>
          <w:rFonts w:ascii="Arial" w:cs="Arial" w:eastAsia="Arial" w:hAnsi="Arial"/>
          <w:sz w:val="16"/>
          <w:szCs w:val="16"/>
          <w:color w:val="404040"/>
        </w:rPr>
        <w:t>All spun-off companies are added to and remain in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until the subsequent rebalancing.</w:t>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6"/>
          <w:szCs w:val="16"/>
          <w:color w:val="404040"/>
        </w:rPr>
        <w:t>There are no intra-rebalancing additions with the exception of spin-offs.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right="1020"/>
        <w:spacing w:after="0" w:line="223" w:lineRule="auto"/>
        <w:rPr>
          <w:sz w:val="20"/>
          <w:szCs w:val="20"/>
          <w:color w:val="auto"/>
        </w:rPr>
      </w:pPr>
      <w:r>
        <w:rPr>
          <w:rFonts w:ascii="Arial" w:cs="Arial" w:eastAsia="Arial" w:hAnsi="Arial"/>
          <w:sz w:val="15"/>
          <w:szCs w:val="15"/>
          <w:color w:val="404040"/>
        </w:rPr>
        <w:t>Deletions due to delistings, acquisition or any other corporate event resulting in the deletion of the stock from 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xml:space="preserve"> will cause the weights of</w:t>
      </w:r>
    </w:p>
    <w:p>
      <w:pPr>
        <w:spacing w:after="0" w:line="1" w:lineRule="exact"/>
        <w:rPr>
          <w:sz w:val="20"/>
          <w:szCs w:val="20"/>
          <w:color w:val="auto"/>
        </w:rPr>
      </w:pPr>
    </w:p>
    <w:p>
      <w:pPr>
        <w:ind w:left="100" w:right="1520"/>
        <w:spacing w:after="0" w:line="209" w:lineRule="auto"/>
        <w:rPr>
          <w:sz w:val="20"/>
          <w:szCs w:val="20"/>
          <w:color w:val="auto"/>
        </w:rPr>
      </w:pPr>
      <w:r>
        <w:rPr>
          <w:rFonts w:ascii="Arial" w:cs="Arial" w:eastAsia="Arial" w:hAnsi="Arial"/>
          <w:sz w:val="16"/>
          <w:szCs w:val="16"/>
          <w:color w:val="404040"/>
        </w:rPr>
        <w:t>the rest of the stocks in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to change. Relative weights will stay the same.</w:t>
      </w:r>
    </w:p>
    <w:p>
      <w:pPr>
        <w:spacing w:after="0" w:line="200" w:lineRule="exact"/>
        <w:rPr>
          <w:sz w:val="20"/>
          <w:szCs w:val="20"/>
          <w:color w:val="auto"/>
        </w:rPr>
      </w:pPr>
    </w:p>
    <w:p>
      <w:pPr>
        <w:spacing w:after="0" w:line="384" w:lineRule="exact"/>
        <w:rPr>
          <w:sz w:val="20"/>
          <w:szCs w:val="20"/>
          <w:color w:val="auto"/>
        </w:rPr>
      </w:pPr>
    </w:p>
    <w:p>
      <w:pPr>
        <w:ind w:left="100" w:right="1020"/>
        <w:spacing w:after="0" w:line="217" w:lineRule="auto"/>
        <w:rPr>
          <w:sz w:val="20"/>
          <w:szCs w:val="20"/>
          <w:color w:val="auto"/>
        </w:rPr>
      </w:pPr>
      <w:r>
        <w:rPr>
          <w:rFonts w:ascii="Arial" w:cs="Arial" w:eastAsia="Arial" w:hAnsi="Arial"/>
          <w:sz w:val="16"/>
          <w:szCs w:val="16"/>
          <w:color w:val="404040"/>
        </w:rPr>
        <w:t>Constituents changing their GICS</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classification to a non-eligible GICS</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classification will be removed at the next rebalancing.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404040"/>
        </w:rPr>
        <w:t>Rebalancing changes including additions, deletions and weight changes.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404040"/>
        </w:rPr>
        <w:t>Divisor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404040"/>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175260</wp:posOffset>
            </wp:positionV>
            <wp:extent cx="8159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404040"/>
        </w:rPr>
        <w:t>No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40404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404040"/>
        </w:rPr>
        <w:t>Yes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404040"/>
        </w:rPr>
        <w: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404040"/>
        </w:rPr>
        <w:t>Yes</w:t>
      </w:r>
    </w:p>
    <w:p>
      <w:pPr>
        <w:spacing w:after="0" w:line="427" w:lineRule="exact"/>
        <w:rPr>
          <w:sz w:val="20"/>
          <w:szCs w:val="20"/>
          <w:color w:val="auto"/>
        </w:rPr>
      </w:pPr>
    </w:p>
    <w:p>
      <w:pPr>
        <w:sectPr>
          <w:pgSz w:w="11900" w:h="16838" w:orient="portrait"/>
          <w:cols w:equalWidth="0" w:num="3">
            <w:col w:w="1580" w:space="720"/>
            <w:col w:w="7420" w:space="720"/>
            <w:col w:w="800"/>
          </w:cols>
          <w:pgMar w:left="320" w:top="571" w:right="339" w:bottom="1440" w:gutter="0" w:footer="0" w:header="0"/>
          <w:type w:val="continuous"/>
        </w:sectPr>
      </w:pPr>
    </w:p>
    <w:p>
      <w:pPr>
        <w:ind w:right="240"/>
        <w:spacing w:after="0" w:line="194" w:lineRule="auto"/>
        <w:rPr>
          <w:sz w:val="20"/>
          <w:szCs w:val="20"/>
          <w:color w:val="auto"/>
        </w:rPr>
      </w:pPr>
      <w:r>
        <w:rPr>
          <w:rFonts w:ascii="Arial" w:cs="Arial" w:eastAsia="Arial" w:hAnsi="Arial"/>
          <w:sz w:val="15"/>
          <w:szCs w:val="15"/>
          <w:color w:val="404040"/>
        </w:rPr>
        <w:t>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xml:space="preserve"> is maintained by the Index Committee. The Index Committee meets regularly. At each meeting, the Index Committee may review pending corporate actions that may affect the S&amp;P Global Clean Energy Index</w:t>
      </w:r>
      <w:r>
        <w:rPr>
          <w:rFonts w:ascii="Arial" w:cs="Arial" w:eastAsia="Arial" w:hAnsi="Arial"/>
          <w:sz w:val="25"/>
          <w:szCs w:val="25"/>
          <w:color w:val="404040"/>
          <w:vertAlign w:val="superscript"/>
        </w:rPr>
        <w:t>TM</w:t>
      </w:r>
      <w:r>
        <w:rPr>
          <w:rFonts w:ascii="Arial" w:cs="Arial" w:eastAsia="Arial" w:hAnsi="Arial"/>
          <w:sz w:val="15"/>
          <w:szCs w:val="15"/>
          <w:color w:val="404040"/>
        </w:rPr>
        <w:t xml:space="preserve"> constituents, statistics comparing the composition of the S&amp;P</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6"/>
          <w:szCs w:val="16"/>
          <w:color w:val="404040"/>
        </w:rPr>
        <w:t>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to the market, companies that are being considered as candidates for addition to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and any significant market events. In addition, the Index Committee may revise index policy covering rules for selecting companies, treatment of dividends, share counts or other matters.</w:t>
      </w:r>
    </w:p>
    <w:p>
      <w:pPr>
        <w:spacing w:after="0" w:line="41" w:lineRule="exact"/>
        <w:rPr>
          <w:sz w:val="20"/>
          <w:szCs w:val="20"/>
          <w:color w:val="auto"/>
        </w:rPr>
      </w:pPr>
    </w:p>
    <w:p>
      <w:pPr>
        <w:ind w:right="540"/>
        <w:spacing w:after="0" w:line="217" w:lineRule="auto"/>
        <w:rPr>
          <w:sz w:val="20"/>
          <w:szCs w:val="20"/>
          <w:color w:val="auto"/>
        </w:rPr>
      </w:pPr>
      <w:r>
        <w:rPr>
          <w:rFonts w:ascii="Arial" w:cs="Arial" w:eastAsia="Arial" w:hAnsi="Arial"/>
          <w:sz w:val="16"/>
          <w:szCs w:val="16"/>
          <w:color w:val="404040"/>
        </w:rPr>
        <w:t>S&amp;P Dow Jones considers information about changes to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and related matters to be potentially market moving and material. Therefore, all Index Committee discussions are confidential.</w:t>
      </w:r>
    </w:p>
    <w:p>
      <w:pPr>
        <w:spacing w:after="0" w:line="5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404040"/>
        </w:rPr>
        <w:t>The Index Committee reserves the right to make exceptions when applying the methodology if the need arises. In any scenario where the treatment differs from the general rules S&amp;P Dow Jones will provide sufficient notice, whenever possible.</w:t>
      </w:r>
    </w:p>
    <w:p>
      <w:pPr>
        <w:spacing w:after="0" w:line="201" w:lineRule="auto"/>
        <w:rPr>
          <w:sz w:val="20"/>
          <w:szCs w:val="20"/>
          <w:color w:val="auto"/>
        </w:rPr>
      </w:pPr>
      <w:r>
        <w:rPr>
          <w:rFonts w:ascii="Arial" w:cs="Arial" w:eastAsia="Arial" w:hAnsi="Arial"/>
          <w:sz w:val="16"/>
          <w:szCs w:val="16"/>
          <w:color w:val="404040"/>
        </w:rPr>
        <w:t>In addition to the daily governance of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and maintenance of index methodologies, at least once within any 12-month</w:t>
      </w:r>
    </w:p>
    <w:p>
      <w:pPr>
        <w:ind w:right="40"/>
        <w:spacing w:after="0" w:line="209" w:lineRule="auto"/>
        <w:rPr>
          <w:sz w:val="20"/>
          <w:szCs w:val="20"/>
          <w:color w:val="auto"/>
        </w:rPr>
      </w:pPr>
      <w:r>
        <w:rPr>
          <w:rFonts w:ascii="Arial" w:cs="Arial" w:eastAsia="Arial" w:hAnsi="Arial"/>
          <w:sz w:val="16"/>
          <w:szCs w:val="16"/>
          <w:color w:val="404040"/>
        </w:rPr>
        <w:t>period, the Index Committee reviews the methodology to ensure the S&amp;P Global Clean Energy Index</w:t>
      </w:r>
      <w:r>
        <w:rPr>
          <w:rFonts w:ascii="Arial" w:cs="Arial" w:eastAsia="Arial" w:hAnsi="Arial"/>
          <w:sz w:val="26"/>
          <w:szCs w:val="26"/>
          <w:color w:val="404040"/>
          <w:vertAlign w:val="superscript"/>
        </w:rPr>
        <w:t>TM</w:t>
      </w:r>
      <w:r>
        <w:rPr>
          <w:rFonts w:ascii="Arial" w:cs="Arial" w:eastAsia="Arial" w:hAnsi="Arial"/>
          <w:sz w:val="16"/>
          <w:szCs w:val="16"/>
          <w:color w:val="404040"/>
        </w:rPr>
        <w:t xml:space="preserve"> continues to achieve the stated objectives, and that the data and methodology remain effective. In certain instances, S&amp;P Dow Jones may publish a consultation inviting comments from external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713486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7F7F7F"/>
        </w:rPr>
        <w:t>PS-17 | Structured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808080"/>
        </w:rPr>
        <w:t>Auto Callable Contingent Interest Notes Linked to the iShares</w:t>
      </w:r>
      <w:r>
        <w:rPr>
          <w:rFonts w:ascii="Arial" w:cs="Arial" w:eastAsia="Arial" w:hAnsi="Arial"/>
          <w:sz w:val="23"/>
          <w:szCs w:val="23"/>
          <w:color w:val="808080"/>
          <w:vertAlign w:val="superscript"/>
        </w:rPr>
        <w:t>®</w:t>
      </w:r>
      <w:r>
        <w:rPr>
          <w:rFonts w:ascii="Arial" w:cs="Arial" w:eastAsia="Arial" w:hAnsi="Arial"/>
          <w:sz w:val="14"/>
          <w:szCs w:val="14"/>
          <w:color w:val="808080"/>
        </w:rPr>
        <w:t xml:space="preserve"> Global Clean Energy ETF</w:t>
      </w:r>
    </w:p>
    <w:sectPr>
      <w:pgSz w:w="11900" w:h="16838" w:orient="portrait"/>
      <w:cols w:equalWidth="0" w:num="1">
        <w:col w:w="11240"/>
      </w:cols>
      <w:pgMar w:left="320" w:top="5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jpe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34" Type="http://schemas.openxmlformats.org/officeDocument/2006/relationships/hyperlink" Target="http://www.sec.gov/Archives/edgar/data/19617/000095010320021467/crt_dp139322-424b2.pdf" TargetMode="External"/><Relationship Id="rId35" Type="http://schemas.openxmlformats.org/officeDocument/2006/relationships/hyperlink" Target="http://www.sec.gov/Archives/edgar/data/19617/000095010320021471/crt_dp139381-424b2.pdf" TargetMode="External"/><Relationship Id="rId36" Type="http://schemas.openxmlformats.org/officeDocument/2006/relationships/hyperlink" Target="http://www.sec.gov/Archives/edgar/data/19617/000095010320007214/crt_dp12436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2021-01-26T15:06:50Z</dcterms:created>
  <dcterms:modified xsi:type="dcterms:W3CDTF">2021-01-26T15:06:50Z</dcterms:modified>
</cp:coreProperties>
</file>