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6940-01_fwp.htm"/>
      <w:bookmarkStart w:id="1" w:name="ksea0306940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28,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24.5-Month SNOW Auto-Callable Dual Directional Trigger PLUS</w:t>
      </w:r>
    </w:p>
    <w:p>
      <w:pPr>
        <w:pStyle w:val="TextBody"/>
        <w:bidi w:val="0"/>
        <w:spacing w:before="40" w:after="40"/>
        <w:ind w:left="40"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Snowflake Inc. (Bloomberg ticker: SNOW UN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$1,293.50 per Trigger PLUS. The actual early redemption payment will be provided in the pricing supplement and will not be less than $1,293.50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99" w:right="30" w:hanging="399"/>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October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October 25,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October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October 31, 2028</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November 3, 2028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36"/>
                        <w:gridCol w:w="8969"/>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69" w:type="dxa"/>
                            <w:tcBorders/>
                            <w:shd w:fill="DCEBF4" w:val="clear"/>
                            <w:vAlign w:val="center"/>
                          </w:tcPr>
                          <w:p>
                            <w:pPr>
                              <w:pStyle w:val="TableContents"/>
                              <w:bidi w:val="0"/>
                              <w:spacing w:before="0" w:after="283"/>
                              <w:jc w:val="left"/>
                              <w:rPr>
                                <w:sz w:val="16"/>
                              </w:rPr>
                            </w:pPr>
                            <w:r>
                              <w:rPr>
                                <w:sz w:val="16"/>
                              </w:rPr>
                              <w:t>JPMorgan Chase Financial Company LLC (“JPMorgan Financial”)</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69" w:type="dxa"/>
                            <w:tcBorders/>
                            <w:vAlign w:val="center"/>
                          </w:tcPr>
                          <w:p>
                            <w:pPr>
                              <w:pStyle w:val="TableContents"/>
                              <w:bidi w:val="0"/>
                              <w:spacing w:before="0" w:after="283"/>
                              <w:jc w:val="left"/>
                              <w:rPr>
                                <w:sz w:val="16"/>
                              </w:rPr>
                            </w:pPr>
                            <w:r>
                              <w:rPr>
                                <w:sz w:val="16"/>
                              </w:rPr>
                              <w:t>JPMorgan Chase &amp; Co.</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Underlying stock:</w:t>
                            </w:r>
                          </w:p>
                        </w:tc>
                        <w:tc>
                          <w:tcPr>
                            <w:tcW w:w="8969" w:type="dxa"/>
                            <w:tcBorders/>
                            <w:shd w:fill="DCEBF4" w:val="clear"/>
                            <w:vAlign w:val="center"/>
                          </w:tcPr>
                          <w:p>
                            <w:pPr>
                              <w:pStyle w:val="TableContents"/>
                              <w:bidi w:val="0"/>
                              <w:spacing w:before="0" w:after="283"/>
                              <w:jc w:val="left"/>
                              <w:rPr>
                                <w:sz w:val="16"/>
                              </w:rPr>
                            </w:pPr>
                            <w:r>
                              <w:rPr>
                                <w:sz w:val="16"/>
                              </w:rPr>
                              <w:t>Common stock of Snowflake Inc. (Bloomberg ticker: SNOW UN Equity)</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w:t>
                            </w:r>
                          </w:p>
                        </w:tc>
                        <w:tc>
                          <w:tcPr>
                            <w:tcW w:w="8969" w:type="dxa"/>
                            <w:tcBorders/>
                            <w:vAlign w:val="center"/>
                          </w:tcPr>
                          <w:p>
                            <w:pPr>
                              <w:pStyle w:val="TableContents"/>
                              <w:bidi w:val="0"/>
                              <w:spacing w:before="0" w:after="283"/>
                              <w:jc w:val="left"/>
                              <w:rPr>
                                <w:sz w:val="16"/>
                              </w:rPr>
                            </w:pPr>
                            <w:r>
                              <w:rPr>
                                <w:sz w:val="16"/>
                              </w:rPr>
                              <w:t xml:space="preserve">If, on the redemption observation date, the closing price of one share of the underlying stock is </w:t>
                            </w:r>
                            <w:r>
                              <w:rPr>
                                <w:b/>
                                <w:sz w:val="16"/>
                              </w:rPr>
                              <w:t>greater than or equal to</w:t>
                            </w:r>
                            <w:r>
                              <w:rPr>
                                <w:sz w:val="16"/>
                              </w:rPr>
                              <w:t xml:space="preserve"> the initial stock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stock price is greater than the initial stock price or the absolute return feature that applies to the payment at maturity if the final stock price is less than or equal to the initial stock price but is greater than or equal to the trigger level.  Moreover, if the Trigger PLUS are automatically redeemed, your investment may underperform the underlying stock, and the early redemption payment may be significantly less than the payment at maturity you would receive for the same level of appreciation of the underlying stock had the Trigger PLUS not been automatically redeemed and instead remained outstanding until maturity.</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969" w:type="dxa"/>
                            <w:tcBorders/>
                            <w:shd w:fill="DCEBF4" w:val="clear"/>
                            <w:vAlign w:val="center"/>
                          </w:tcPr>
                          <w:p>
                            <w:pPr>
                              <w:pStyle w:val="TableContents"/>
                              <w:bidi w:val="0"/>
                              <w:spacing w:before="0" w:after="283"/>
                              <w:jc w:val="left"/>
                              <w:rPr>
                                <w:sz w:val="15"/>
                              </w:rPr>
                            </w:pPr>
                            <w:r>
                              <w:rPr>
                                <w:sz w:val="15"/>
                              </w:rPr>
                              <w:t>At least $1,293.50 per Trigger PLUS. The actual early redemption payment will be provided in the pricing supplement and will not be less than $1,293.50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69" w:type="dxa"/>
                            <w:tcBorders/>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99" w:right="3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stock price, for each $1,000 stated principal amount Trigger PLUS: $1,000 + leveraged upside payment</w:t>
                            </w:r>
                          </w:p>
                          <w:p>
                            <w:pPr>
                              <w:pStyle w:val="TableContents"/>
                              <w:bidi w:val="0"/>
                              <w:spacing w:before="30" w:after="30"/>
                              <w:ind w:left="399" w:right="3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stock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 + ($1,000 × absolute stock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underlying stock. In no event will this amount exceed the stated principal amount plus $400.00. Accordingly, the maximum downside payment at maturity is $1,400.00 per Trigger PLUS.</w:t>
                            </w:r>
                          </w:p>
                          <w:p>
                            <w:pPr>
                              <w:pStyle w:val="TableContents"/>
                              <w:bidi w:val="0"/>
                              <w:spacing w:before="30" w:after="30"/>
                              <w:ind w:left="399" w:right="30" w:hanging="399"/>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stock price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stock performance factor</w:t>
                            </w:r>
                          </w:p>
                          <w:p>
                            <w:pPr>
                              <w:pStyle w:val="TableContents"/>
                              <w:bidi w:val="0"/>
                              <w:spacing w:before="20" w:after="20"/>
                              <w:ind w:left="20" w:right="2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40%, and possibly all, of your investment.</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69" w:type="dxa"/>
                            <w:tcBorders/>
                            <w:shd w:fill="DCEBF4" w:val="clear"/>
                            <w:vAlign w:val="center"/>
                          </w:tcPr>
                          <w:p>
                            <w:pPr>
                              <w:pStyle w:val="TableContents"/>
                              <w:bidi w:val="0"/>
                              <w:spacing w:before="0" w:after="283"/>
                              <w:jc w:val="left"/>
                              <w:rPr>
                                <w:sz w:val="16"/>
                              </w:rPr>
                            </w:pPr>
                            <w:r>
                              <w:rPr>
                                <w:sz w:val="16"/>
                              </w:rPr>
                              <w:t>$1,000 × leverage factor × stock percent change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percent change:</w:t>
                            </w:r>
                          </w:p>
                        </w:tc>
                        <w:tc>
                          <w:tcPr>
                            <w:tcW w:w="8969" w:type="dxa"/>
                            <w:tcBorders/>
                            <w:vAlign w:val="center"/>
                          </w:tcPr>
                          <w:p>
                            <w:pPr>
                              <w:pStyle w:val="TableContents"/>
                              <w:bidi w:val="0"/>
                              <w:spacing w:before="0" w:after="283"/>
                              <w:jc w:val="left"/>
                              <w:rPr>
                                <w:sz w:val="16"/>
                              </w:rPr>
                            </w:pPr>
                            <w:r>
                              <w:rPr>
                                <w:sz w:val="16"/>
                              </w:rPr>
                              <w:t>(final stock price – initial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stock return:</w:t>
                            </w:r>
                          </w:p>
                        </w:tc>
                        <w:tc>
                          <w:tcPr>
                            <w:tcW w:w="8969" w:type="dxa"/>
                            <w:tcBorders/>
                            <w:shd w:fill="DCEBF4" w:val="clear"/>
                            <w:vAlign w:val="center"/>
                          </w:tcPr>
                          <w:p>
                            <w:pPr>
                              <w:pStyle w:val="TableContents"/>
                              <w:bidi w:val="0"/>
                              <w:spacing w:before="0" w:after="283"/>
                              <w:jc w:val="left"/>
                              <w:rPr>
                                <w:sz w:val="16"/>
                              </w:rPr>
                            </w:pPr>
                            <w:r>
                              <w:rPr>
                                <w:sz w:val="16"/>
                              </w:rPr>
                              <w:t>The absolute value of the stock percent change.  For example, a -5% stock percent change will result in a +5% absolute stock return.  </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stock price: </w:t>
                            </w:r>
                          </w:p>
                        </w:tc>
                        <w:tc>
                          <w:tcPr>
                            <w:tcW w:w="8969" w:type="dxa"/>
                            <w:tcBorders/>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969" w:type="dxa"/>
                            <w:tcBorders/>
                            <w:shd w:fill="DCEBF4" w:val="clear"/>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69" w:type="dxa"/>
                            <w:tcBorders/>
                            <w:vAlign w:val="center"/>
                          </w:tcPr>
                          <w:p>
                            <w:pPr>
                              <w:pStyle w:val="TableContents"/>
                              <w:bidi w:val="0"/>
                              <w:spacing w:before="0" w:after="283"/>
                              <w:jc w:val="left"/>
                              <w:rPr>
                                <w:sz w:val="16"/>
                              </w:rPr>
                            </w:pPr>
                            <w:r>
                              <w:rPr>
                                <w:sz w:val="16"/>
                              </w:rPr>
                              <w:t>60% of the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69" w:type="dxa"/>
                            <w:tcBorders/>
                            <w:shd w:fill="DCEBF4" w:val="clear"/>
                            <w:vAlign w:val="center"/>
                          </w:tcPr>
                          <w:p>
                            <w:pPr>
                              <w:pStyle w:val="TableContents"/>
                              <w:bidi w:val="0"/>
                              <w:spacing w:before="0" w:after="283"/>
                              <w:jc w:val="left"/>
                              <w:rPr>
                                <w:sz w:val="16"/>
                              </w:rPr>
                            </w:pPr>
                            <w:r>
                              <w:rPr>
                                <w:sz w:val="16"/>
                              </w:rPr>
                              <w:t>150%</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969" w:type="dxa"/>
                            <w:tcBorders/>
                            <w:vAlign w:val="center"/>
                          </w:tcPr>
                          <w:p>
                            <w:pPr>
                              <w:pStyle w:val="TableContents"/>
                              <w:bidi w:val="0"/>
                              <w:spacing w:before="0" w:after="283"/>
                              <w:jc w:val="left"/>
                              <w:rPr>
                                <w:sz w:val="16"/>
                              </w:rPr>
                            </w:pPr>
                            <w:r>
                              <w:rPr>
                                <w:sz w:val="16"/>
                              </w:rPr>
                              <w:t>final stock price / initial stock price</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969"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69" w:type="dxa"/>
                            <w:tcBorders/>
                            <w:vAlign w:val="center"/>
                          </w:tcPr>
                          <w:p>
                            <w:pPr>
                              <w:pStyle w:val="TableContents"/>
                              <w:bidi w:val="0"/>
                              <w:spacing w:before="0" w:after="283"/>
                              <w:jc w:val="left"/>
                              <w:rPr>
                                <w:sz w:val="16"/>
                              </w:rPr>
                            </w:pPr>
                            <w:r>
                              <w:rPr>
                                <w:sz w:val="16"/>
                              </w:rPr>
                              <w:t>$1,000 per Trigger PLUS</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69" w:type="dxa"/>
                            <w:tcBorders/>
                            <w:shd w:fill="DCEBF4" w:val="clear"/>
                            <w:vAlign w:val="center"/>
                          </w:tcPr>
                          <w:p>
                            <w:pPr>
                              <w:pStyle w:val="TableContents"/>
                              <w:bidi w:val="0"/>
                              <w:spacing w:before="0" w:after="283"/>
                              <w:jc w:val="left"/>
                              <w:rPr>
                                <w:sz w:val="16"/>
                              </w:rPr>
                            </w:pPr>
                            <w:r>
                              <w:rPr>
                                <w:sz w:val="16"/>
                              </w:rPr>
                              <w:t>$1,000 per Trigger PLUS</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69" w:type="dxa"/>
                            <w:tcBorders/>
                            <w:vAlign w:val="center"/>
                          </w:tcPr>
                          <w:p>
                            <w:pPr>
                              <w:pStyle w:val="TableContents"/>
                              <w:bidi w:val="0"/>
                              <w:spacing w:before="0" w:after="283"/>
                              <w:jc w:val="left"/>
                              <w:rPr>
                                <w:sz w:val="16"/>
                              </w:rPr>
                            </w:pPr>
                            <w:r>
                              <w:rPr>
                                <w:sz w:val="16"/>
                              </w:rPr>
                              <w:t>Expected to be October 16, 2026</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69"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observation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October 25, 2027</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October 28, 2027</w:t>
                            </w:r>
                          </w:p>
                        </w:tc>
                      </w:tr>
                      <w:tr>
                        <w:trPr/>
                        <w:tc>
                          <w:tcPr>
                            <w:tcW w:w="12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69" w:type="dxa"/>
                            <w:tcBorders/>
                            <w:vAlign w:val="center"/>
                          </w:tcPr>
                          <w:p>
                            <w:pPr>
                              <w:pStyle w:val="TableContents"/>
                              <w:bidi w:val="0"/>
                              <w:spacing w:before="0" w:after="283"/>
                              <w:jc w:val="left"/>
                              <w:rPr>
                                <w:sz w:val="16"/>
                              </w:rPr>
                            </w:pPr>
                            <w:r>
                              <w:rPr>
                                <w:sz w:val="16"/>
                              </w:rPr>
                              <w:t>October 31, 2028</w:t>
                            </w:r>
                          </w:p>
                        </w:tc>
                      </w:tr>
                      <w:tr>
                        <w:trPr/>
                        <w:tc>
                          <w:tcPr>
                            <w:tcW w:w="1236"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69" w:type="dxa"/>
                            <w:tcBorders/>
                            <w:shd w:fill="DCEBF4" w:val="clear"/>
                            <w:vAlign w:val="center"/>
                          </w:tcPr>
                          <w:p>
                            <w:pPr>
                              <w:pStyle w:val="TableContents"/>
                              <w:bidi w:val="0"/>
                              <w:spacing w:before="0" w:after="283"/>
                              <w:jc w:val="left"/>
                              <w:rPr>
                                <w:sz w:val="16"/>
                              </w:rPr>
                            </w:pPr>
                            <w:r>
                              <w:rPr>
                                <w:sz w:val="16"/>
                              </w:rPr>
                              <w:t>November 3, 2028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7615" w:type="dxa"/>
                              <w:jc w:val="left"/>
                              <w:tblInd w:w="0" w:type="dxa"/>
                              <w:tblLayout w:type="fixed"/>
                              <w:tblCellMar>
                                <w:top w:w="0" w:type="dxa"/>
                                <w:left w:w="0" w:type="dxa"/>
                                <w:bottom w:w="0" w:type="dxa"/>
                                <w:right w:w="0" w:type="dxa"/>
                              </w:tblCellMar>
                            </w:tblPr>
                            <w:tblGrid>
                              <w:gridCol w:w="2615"/>
                              <w:gridCol w:w="5000"/>
                            </w:tblGrid>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5000" w:type="dxa"/>
                                  <w:tcBorders/>
                                  <w:vAlign w:val="center"/>
                                </w:tcPr>
                                <w:p>
                                  <w:pPr>
                                    <w:pStyle w:val="TableContents"/>
                                    <w:bidi w:val="0"/>
                                    <w:spacing w:before="0" w:after="283"/>
                                    <w:jc w:val="left"/>
                                    <w:rPr>
                                      <w:sz w:val="16"/>
                                    </w:rPr>
                                  </w:pPr>
                                  <w:r>
                                    <w:rPr>
                                      <w:sz w:val="16"/>
                                    </w:rPr>
                                    <w:t>46661PDB0 / US46661PDB04</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5000" w:type="dxa"/>
                                  <w:tcBorders/>
                                  <w:shd w:fill="DCEBF4" w:val="clear"/>
                                  <w:vAlign w:val="center"/>
                                </w:tcPr>
                                <w:p>
                                  <w:pPr>
                                    <w:pStyle w:val="TableContents"/>
                                    <w:bidi w:val="0"/>
                                    <w:spacing w:before="0" w:after="283"/>
                                    <w:jc w:val="left"/>
                                    <w:rPr/>
                                  </w:pPr>
                                  <w:hyperlink r:id="rId2">
                                    <w:r>
                                      <w:rPr>
                                        <w:rStyle w:val="InternetLink"/>
                                        <w:sz w:val="16"/>
                                      </w:rPr>
                                      <w:t>http://www.sec.gov/Archives/edgar/data/19617/000121390026104067/</w:t>
                                      <w:br/>
                                      <w:t>ea0306887-01_424b2.htm</w:t>
                                    </w:r>
                                  </w:hyperlink>
                                </w:p>
                              </w:tc>
                            </w:tr>
                          </w:tbl>
                          <w:p>
                            <w:pPr>
                              <w:pStyle w:val="TextBody"/>
                              <w:bidi w:val="0"/>
                              <w:spacing w:before="20" w:after="20"/>
                              <w:ind w:left="20" w:right="2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315" w:type="dxa"/>
                              <w:jc w:val="left"/>
                              <w:tblInd w:w="0" w:type="dxa"/>
                              <w:tblLayout w:type="fixed"/>
                              <w:tblCellMar>
                                <w:top w:w="0" w:type="dxa"/>
                                <w:left w:w="0" w:type="dxa"/>
                                <w:bottom w:w="0" w:type="dxa"/>
                                <w:right w:w="0" w:type="dxa"/>
                              </w:tblCellMar>
                            </w:tblPr>
                            <w:tblGrid>
                              <w:gridCol w:w="6315"/>
                            </w:tblGrid>
                            <w:tr>
                              <w:trPr/>
                              <w:tc>
                                <w:tcPr>
                                  <w:tcW w:w="6315"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315" w:type="dxa"/>
                                  <w:tcBorders/>
                                  <w:vAlign w:val="center"/>
                                </w:tcPr>
                                <w:p>
                                  <w:pPr>
                                    <w:pStyle w:val="TableContents"/>
                                    <w:bidi w:val="0"/>
                                    <w:spacing w:before="0" w:after="283"/>
                                    <w:jc w:val="center"/>
                                    <w:rPr/>
                                  </w:pPr>
                                  <w:r>
                                    <w:rPr/>
                                    <w:drawing>
                                      <wp:inline distT="0" distB="0" distL="0" distR="0">
                                        <wp:extent cx="3990975" cy="2571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990975" cy="25717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7615" w:type="dxa"/>
                        <w:jc w:val="left"/>
                        <w:tblInd w:w="0" w:type="dxa"/>
                        <w:tblLayout w:type="fixed"/>
                        <w:tblCellMar>
                          <w:top w:w="0" w:type="dxa"/>
                          <w:left w:w="0" w:type="dxa"/>
                          <w:bottom w:w="0" w:type="dxa"/>
                          <w:right w:w="0" w:type="dxa"/>
                        </w:tblCellMar>
                      </w:tblPr>
                      <w:tblGrid>
                        <w:gridCol w:w="2615"/>
                        <w:gridCol w:w="5000"/>
                      </w:tblGrid>
                      <w:tr>
                        <w:trPr/>
                        <w:tc>
                          <w:tcPr>
                            <w:tcW w:w="261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CUSIP / ISIN:</w:t>
                            </w:r>
                          </w:p>
                        </w:tc>
                        <w:tc>
                          <w:tcPr>
                            <w:tcW w:w="5000" w:type="dxa"/>
                            <w:tcBorders/>
                            <w:vAlign w:val="center"/>
                          </w:tcPr>
                          <w:p>
                            <w:pPr>
                              <w:pStyle w:val="TableContents"/>
                              <w:bidi w:val="0"/>
                              <w:spacing w:before="0" w:after="283"/>
                              <w:jc w:val="left"/>
                              <w:rPr>
                                <w:sz w:val="16"/>
                              </w:rPr>
                            </w:pPr>
                            <w:r>
                              <w:rPr>
                                <w:sz w:val="16"/>
                              </w:rPr>
                              <w:t>46661PDB0 / US46661PDB04</w:t>
                            </w:r>
                          </w:p>
                        </w:tc>
                      </w:tr>
                      <w:tr>
                        <w:trPr/>
                        <w:tc>
                          <w:tcPr>
                            <w:tcW w:w="261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Preliminary pricing supplement: </w:t>
                            </w:r>
                          </w:p>
                        </w:tc>
                        <w:tc>
                          <w:tcPr>
                            <w:tcW w:w="5000" w:type="dxa"/>
                            <w:tcBorders/>
                            <w:shd w:fill="DCEBF4" w:val="clear"/>
                            <w:vAlign w:val="center"/>
                          </w:tcPr>
                          <w:p>
                            <w:pPr>
                              <w:pStyle w:val="TableContents"/>
                              <w:bidi w:val="0"/>
                              <w:spacing w:before="0" w:after="283"/>
                              <w:jc w:val="left"/>
                              <w:rPr/>
                            </w:pPr>
                            <w:hyperlink r:id="rId4">
                              <w:r>
                                <w:rPr>
                                  <w:rStyle w:val="InternetLink"/>
                                  <w:sz w:val="16"/>
                                </w:rPr>
                                <w:t>http://www.sec.gov/Archives/edgar/data/19617/000121390026104067/</w:t>
                                <w:br/>
                                <w:t>ea0306887-01_424b2.htm</w:t>
                              </w:r>
                            </w:hyperlink>
                          </w:p>
                        </w:tc>
                      </w:tr>
                    </w:tbl>
                    <w:p>
                      <w:pPr>
                        <w:pStyle w:val="TextBody"/>
                        <w:bidi w:val="0"/>
                        <w:spacing w:before="20" w:after="20"/>
                        <w:ind w:left="20" w:right="2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20" w:after="20"/>
                        <w:ind w:left="20" w:right="2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Trigger PLUS is subject to the credit risk of JPMorgan Financial, as issuer of the Trigger PLUS, and the credit risk of JPMorgan Chase &amp; Co., as guarantor of the Trigger PLUS.</w:t>
                      </w:r>
                    </w:p>
                    <w:tbl>
                      <w:tblPr>
                        <w:tblW w:w="6315" w:type="dxa"/>
                        <w:jc w:val="left"/>
                        <w:tblInd w:w="0" w:type="dxa"/>
                        <w:tblLayout w:type="fixed"/>
                        <w:tblCellMar>
                          <w:top w:w="0" w:type="dxa"/>
                          <w:left w:w="0" w:type="dxa"/>
                          <w:bottom w:w="0" w:type="dxa"/>
                          <w:right w:w="0" w:type="dxa"/>
                        </w:tblCellMar>
                      </w:tblPr>
                      <w:tblGrid>
                        <w:gridCol w:w="6315"/>
                      </w:tblGrid>
                      <w:tr>
                        <w:trPr/>
                        <w:tc>
                          <w:tcPr>
                            <w:tcW w:w="6315" w:type="dxa"/>
                            <w:tcBorders/>
                            <w:shd w:fill="DCEBF4" w:val="clear"/>
                            <w:vAlign w:val="center"/>
                          </w:tcPr>
                          <w:p>
                            <w:pPr>
                              <w:pStyle w:val="TableContents"/>
                              <w:bidi w:val="0"/>
                              <w:spacing w:before="0" w:after="283"/>
                              <w:jc w:val="center"/>
                              <w:rPr>
                                <w:rFonts w:ascii="Arial;Helvetica;Sans-Serif" w:hAnsi="Arial;Helvetica;Sans-Serif"/>
                                <w:b/>
                                <w:color w:val="296DC1"/>
                                <w:sz w:val="16"/>
                              </w:rPr>
                            </w:pPr>
                            <w:r>
                              <w:rPr>
                                <w:rFonts w:ascii="Arial;Helvetica;Sans-Serif" w:hAnsi="Arial;Helvetica;Sans-Serif"/>
                                <w:b/>
                                <w:color w:val="296DC1"/>
                                <w:sz w:val="16"/>
                              </w:rPr>
                              <w:t>Auto-Callable Dual Directional Trigger PLUS Payoff Diagram</w:t>
                            </w:r>
                          </w:p>
                        </w:tc>
                      </w:tr>
                      <w:tr>
                        <w:trPr/>
                        <w:tc>
                          <w:tcPr>
                            <w:tcW w:w="6315" w:type="dxa"/>
                            <w:tcBorders/>
                            <w:vAlign w:val="center"/>
                          </w:tcPr>
                          <w:p>
                            <w:pPr>
                              <w:pStyle w:val="TableContents"/>
                              <w:bidi w:val="0"/>
                              <w:spacing w:before="0" w:after="283"/>
                              <w:jc w:val="center"/>
                              <w:rPr/>
                            </w:pPr>
                            <w:r>
                              <w:rPr/>
                              <w:drawing>
                                <wp:inline distT="0" distB="0" distL="0" distR="0">
                                  <wp:extent cx="3990975" cy="2571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990975" cy="25717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060"/>
                        <w:gridCol w:w="206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Underlying Stock</w:t>
                            </w:r>
                          </w:p>
                        </w:tc>
                        <w:tc>
                          <w:tcPr>
                            <w:tcW w:w="206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-40.01%</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24.5-Month SNOW Auto-Callable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5" w:type="dxa"/>
            <w:tcBorders/>
            <w:vAlign w:val="center"/>
          </w:tcPr>
          <w:p>
            <w:pPr>
              <w:pStyle w:val="TableContents"/>
              <w:bidi w:val="0"/>
              <w:spacing w:before="0" w:after="283"/>
              <w:jc w:val="left"/>
              <w:rPr>
                <w:sz w:val="18"/>
              </w:rPr>
            </w:pPr>
            <w:r>
              <w:rPr>
                <w:sz w:val="18"/>
              </w:rPr>
              <w:t>Investing in the Trigger PLUS is not equivalent to investing in the underlying stock.</w:t>
            </w:r>
          </w:p>
        </w:tc>
      </w:tr>
    </w:tbl>
    <w:tbl>
      <w:tblPr>
        <w:tblW w:w="5000" w:type="pct"/>
        <w:jc w:val="left"/>
        <w:tblInd w:w="0" w:type="dxa"/>
        <w:tblLayout w:type="fixed"/>
        <w:tblCellMar>
          <w:top w:w="0" w:type="dxa"/>
          <w:left w:w="0" w:type="dxa"/>
          <w:bottom w:w="0" w:type="dxa"/>
          <w:right w:w="0" w:type="dxa"/>
        </w:tblCellMar>
      </w:tblPr>
      <w:tblGrid>
        <w:gridCol w:w="147"/>
        <w:gridCol w:w="485"/>
        <w:gridCol w:w="9573"/>
      </w:tblGrid>
      <w:tr>
        <w:trPr/>
        <w:tc>
          <w:tcPr>
            <w:tcW w:w="1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73" w:type="dxa"/>
            <w:tcBorders/>
            <w:vAlign w:val="center"/>
          </w:tcPr>
          <w:p>
            <w:pPr>
              <w:pStyle w:val="TableContents"/>
              <w:bidi w:val="0"/>
              <w:spacing w:before="0" w:after="283"/>
              <w:jc w:val="left"/>
              <w:rPr>
                <w:sz w:val="18"/>
              </w:rPr>
            </w:pPr>
            <w:r>
              <w:rPr>
                <w:sz w:val="18"/>
              </w:rPr>
              <w:t>No affiliation with Snowflake Inc.</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8"/>
              </w:rPr>
            </w:pPr>
            <w:r>
              <w:rPr>
                <w:sz w:val="18"/>
              </w:rPr>
              <w:t>We may engage in business with or involving Snowflake Inc. without regard to your interests.</w:t>
            </w:r>
          </w:p>
        </w:tc>
      </w:tr>
    </w:tbl>
    <w:tbl>
      <w:tblPr>
        <w:tblW w:w="5000" w:type="pct"/>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6" w:type="dxa"/>
            <w:tcBorders/>
            <w:vAlign w:val="center"/>
          </w:tcPr>
          <w:p>
            <w:pPr>
              <w:pStyle w:val="TableContents"/>
              <w:bidi w:val="0"/>
              <w:spacing w:before="0" w:after="283"/>
              <w:jc w:val="left"/>
              <w:rPr>
                <w:sz w:val="18"/>
              </w:rPr>
            </w:pPr>
            <w:r>
              <w:rPr>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pBdr>
          <w:top w:val="single" w:sz="4" w:space="1" w:color="000000"/>
        </w:pBdr>
        <w:bidi w:val="0"/>
        <w:spacing w:before="120" w:after="120"/>
        <w:ind w:left="120" w:right="120" w:hanging="0"/>
        <w:jc w:val="left"/>
        <w:rPr>
          <w:caps w:val="false"/>
          <w:smallCaps w:val="false"/>
        </w:rPr>
      </w:pPr>
      <w:r>
        <w:rPr>
          <w:caps w:val="false"/>
          <w:smallCaps w:val="false"/>
        </w:rPr>
        <w:t> </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4067/ea0306887-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104067/ea0306887-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1660</Words>
  <Characters>8846</Characters>
  <CharactersWithSpaces>10396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